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1E0"/>
      </w:tblPr>
      <w:tblGrid>
        <w:gridCol w:w="4819"/>
        <w:gridCol w:w="4820"/>
      </w:tblGrid>
      <w:tr w:rsidR="00210185" w:rsidRPr="00D56C84">
        <w:trPr>
          <w:cantSplit/>
        </w:trPr>
        <w:tc>
          <w:tcPr>
            <w:tcW w:w="4819" w:type="dxa"/>
          </w:tcPr>
          <w:p w:rsidR="00210185" w:rsidRPr="00D56C84" w:rsidRDefault="00210185" w:rsidP="00F90F97">
            <w:pPr>
              <w:pStyle w:val="Info"/>
            </w:pPr>
            <w:bookmarkStart w:id="0" w:name="_GoBack"/>
            <w:bookmarkEnd w:id="0"/>
          </w:p>
        </w:tc>
        <w:tc>
          <w:tcPr>
            <w:tcW w:w="4820" w:type="dxa"/>
          </w:tcPr>
          <w:p w:rsidR="00210185" w:rsidRPr="00D56C84" w:rsidRDefault="000564EA" w:rsidP="004A3C7F">
            <w:pPr>
              <w:pStyle w:val="ParaMargin"/>
              <w:jc w:val="right"/>
            </w:pPr>
            <w:r w:rsidRPr="00D56C84">
              <w:rPr>
                <w:noProof/>
                <w:lang w:eastAsia="en-AU"/>
              </w:rPr>
              <w:drawing>
                <wp:inline distT="0" distB="0" distL="0" distR="0">
                  <wp:extent cx="1257300" cy="857250"/>
                  <wp:effectExtent l="19050" t="0" r="0" b="0"/>
                  <wp:docPr id="1" name="Picture 3"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erLogo_Blue_LowRes"/>
                          <pic:cNvPicPr>
                            <a:picLocks noChangeAspect="1" noChangeArrowheads="1"/>
                          </pic:cNvPicPr>
                        </pic:nvPicPr>
                        <pic:blipFill>
                          <a:blip r:embed="rId14" cstate="print"/>
                          <a:srcRect/>
                          <a:stretch>
                            <a:fillRect/>
                          </a:stretch>
                        </pic:blipFill>
                        <pic:spPr bwMode="auto">
                          <a:xfrm>
                            <a:off x="0" y="0"/>
                            <a:ext cx="1257300" cy="857250"/>
                          </a:xfrm>
                          <a:prstGeom prst="rect">
                            <a:avLst/>
                          </a:prstGeom>
                          <a:noFill/>
                          <a:ln w="9525">
                            <a:noFill/>
                            <a:miter lim="800000"/>
                            <a:headEnd/>
                            <a:tailEnd/>
                          </a:ln>
                        </pic:spPr>
                      </pic:pic>
                    </a:graphicData>
                  </a:graphic>
                </wp:inline>
              </w:drawing>
            </w:r>
          </w:p>
        </w:tc>
      </w:tr>
      <w:tr w:rsidR="008D2A08" w:rsidRPr="00D56C84">
        <w:trPr>
          <w:cantSplit/>
        </w:trPr>
        <w:tc>
          <w:tcPr>
            <w:tcW w:w="9639" w:type="dxa"/>
            <w:gridSpan w:val="2"/>
          </w:tcPr>
          <w:p w:rsidR="0036689C" w:rsidRPr="00D56C84" w:rsidRDefault="0036689C" w:rsidP="00737A4B">
            <w:pPr>
              <w:pStyle w:val="ParaMargin"/>
            </w:pPr>
          </w:p>
          <w:p w:rsidR="0036689C" w:rsidRPr="00D56C84" w:rsidRDefault="0036689C" w:rsidP="00737A4B">
            <w:pPr>
              <w:pStyle w:val="ParaMargin"/>
            </w:pPr>
          </w:p>
          <w:p w:rsidR="0036689C" w:rsidRPr="00D56C84" w:rsidRDefault="0036689C" w:rsidP="00737A4B">
            <w:pPr>
              <w:pStyle w:val="ParaMargin"/>
            </w:pPr>
          </w:p>
          <w:p w:rsidR="0036689C" w:rsidRPr="00D56C84" w:rsidRDefault="0036689C" w:rsidP="00737A4B">
            <w:pPr>
              <w:pStyle w:val="ParaMargin"/>
            </w:pPr>
          </w:p>
        </w:tc>
      </w:tr>
      <w:tr w:rsidR="00A90130" w:rsidRPr="00D56C84">
        <w:trPr>
          <w:cantSplit/>
        </w:trPr>
        <w:tc>
          <w:tcPr>
            <w:tcW w:w="9639" w:type="dxa"/>
            <w:gridSpan w:val="2"/>
          </w:tcPr>
          <w:p w:rsidR="00A90130" w:rsidRPr="00D56C84" w:rsidRDefault="00ED6CA0" w:rsidP="008503D1">
            <w:pPr>
              <w:pStyle w:val="HeadingTitle"/>
              <w:rPr>
                <w:sz w:val="36"/>
                <w:szCs w:val="36"/>
              </w:rPr>
            </w:pPr>
            <w:fldSimple w:instr=" DOCPROPERTY &quot;Client&quot;  \* MERGEFORMAT ">
              <w:r w:rsidR="00166111" w:rsidRPr="00166111">
                <w:rPr>
                  <w:caps w:val="0"/>
                  <w:sz w:val="36"/>
                  <w:szCs w:val="36"/>
                </w:rPr>
                <w:t>Department of Sustainability, Environment, Water, Population and Communities</w:t>
              </w:r>
            </w:fldSimple>
          </w:p>
        </w:tc>
      </w:tr>
      <w:tr w:rsidR="00A90130" w:rsidRPr="00D56C84">
        <w:trPr>
          <w:cantSplit/>
        </w:trPr>
        <w:tc>
          <w:tcPr>
            <w:tcW w:w="9639" w:type="dxa"/>
            <w:gridSpan w:val="2"/>
          </w:tcPr>
          <w:p w:rsidR="00A90130" w:rsidRPr="00D56C84" w:rsidRDefault="00ED6CA0" w:rsidP="00D647B0">
            <w:pPr>
              <w:pStyle w:val="HeadingSub"/>
              <w:rPr>
                <w:sz w:val="36"/>
                <w:szCs w:val="36"/>
              </w:rPr>
            </w:pPr>
            <w:fldSimple w:instr=" DOCPROPERTY &quot;Project&quot;  \* MERGEFORMAT ">
              <w:r w:rsidR="00166111" w:rsidRPr="00166111">
                <w:rPr>
                  <w:sz w:val="36"/>
                  <w:szCs w:val="36"/>
                </w:rPr>
                <w:t>Role and Performance of Local Government</w:t>
              </w:r>
            </w:fldSimple>
          </w:p>
        </w:tc>
      </w:tr>
      <w:tr w:rsidR="00A90130" w:rsidRPr="00D56C84">
        <w:trPr>
          <w:cantSplit/>
        </w:trPr>
        <w:tc>
          <w:tcPr>
            <w:tcW w:w="9639" w:type="dxa"/>
            <w:gridSpan w:val="2"/>
          </w:tcPr>
          <w:p w:rsidR="00A90130" w:rsidRPr="00D56C84" w:rsidRDefault="00ED6CA0" w:rsidP="008503D1">
            <w:pPr>
              <w:pStyle w:val="HeadingSub"/>
              <w:rPr>
                <w:sz w:val="32"/>
                <w:szCs w:val="32"/>
              </w:rPr>
            </w:pPr>
            <w:fldSimple w:instr=" DOCPROPERTY &quot;Title&quot;  \* MERGEFORMAT ">
              <w:r w:rsidR="00166111" w:rsidRPr="00166111">
                <w:rPr>
                  <w:caps w:val="0"/>
                  <w:sz w:val="32"/>
                  <w:szCs w:val="32"/>
                </w:rPr>
                <w:t>Waste and recycling related data and information</w:t>
              </w:r>
            </w:fldSimple>
          </w:p>
        </w:tc>
      </w:tr>
      <w:tr w:rsidR="008D2A08" w:rsidRPr="00D56C84">
        <w:trPr>
          <w:cantSplit/>
        </w:trPr>
        <w:tc>
          <w:tcPr>
            <w:tcW w:w="9639" w:type="dxa"/>
            <w:gridSpan w:val="2"/>
          </w:tcPr>
          <w:p w:rsidR="008D2A08" w:rsidRPr="00D56C84" w:rsidRDefault="00ED6CA0" w:rsidP="00737A4B">
            <w:pPr>
              <w:pStyle w:val="ParaMargin"/>
            </w:pPr>
            <w:r>
              <w:rPr>
                <w:noProof/>
                <w:lang w:eastAsia="en-AU"/>
              </w:rPr>
            </w:r>
            <w:r>
              <w:rPr>
                <w:noProof/>
                <w:lang w:eastAsia="en-AU"/>
              </w:rPr>
              <w:pict>
                <v:polyline id="Freeform 4" o:spid="_x0000_s1028"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" filled="f" strokecolor="#00519e" strokeweight="1pt">
                  <v:path arrowok="t" o:connecttype="custom" o:connectlocs="0,0;2147483647,0;2147483647,2147483647;2147483647,2147483647" o:connectangles="0,0,0,0"/>
                  <w10:wrap type="none"/>
                  <w10:anchorlock/>
                </v:polyline>
              </w:pict>
            </w:r>
          </w:p>
        </w:tc>
      </w:tr>
      <w:bookmarkStart w:id="1" w:name="ClientDocReport"/>
      <w:bookmarkStart w:id="2" w:name="ClientDoc"/>
      <w:bookmarkEnd w:id="1"/>
      <w:bookmarkEnd w:id="2"/>
      <w:tr w:rsidR="008D2A08" w:rsidRPr="00D56C84">
        <w:trPr>
          <w:cantSplit/>
        </w:trPr>
        <w:tc>
          <w:tcPr>
            <w:tcW w:w="9639" w:type="dxa"/>
            <w:gridSpan w:val="2"/>
          </w:tcPr>
          <w:p w:rsidR="008D2A08" w:rsidRPr="00D56C84" w:rsidRDefault="00ED6CA0" w:rsidP="008D2A08">
            <w:pPr>
              <w:pStyle w:val="HeadingOther"/>
            </w:pPr>
            <w:r w:rsidRPr="00D56C84">
              <w:fldChar w:fldCharType="begin"/>
            </w:r>
            <w:r w:rsidR="00FA2F26" w:rsidRPr="00D56C84">
              <w:instrText xml:space="preserve"> DOCPROPERTY "Subtitle"  \* MERGEFORMAT </w:instrText>
            </w:r>
            <w:r w:rsidRPr="00D56C84">
              <w:fldChar w:fldCharType="end"/>
            </w:r>
          </w:p>
        </w:tc>
      </w:tr>
      <w:tr w:rsidR="00AC7EC8" w:rsidRPr="00D56C84">
        <w:trPr>
          <w:cantSplit/>
        </w:trPr>
        <w:tc>
          <w:tcPr>
            <w:tcW w:w="9639" w:type="dxa"/>
            <w:gridSpan w:val="2"/>
          </w:tcPr>
          <w:p w:rsidR="00AC7EC8" w:rsidRPr="00D56C84" w:rsidRDefault="00AC7EC8" w:rsidP="00CE03C4">
            <w:pPr>
              <w:pStyle w:val="PathFileName"/>
            </w:pPr>
          </w:p>
        </w:tc>
      </w:tr>
    </w:tbl>
    <w:p w:rsidR="002B1738" w:rsidRPr="00D56C84" w:rsidRDefault="00856B67" w:rsidP="007247F5">
      <w:pPr>
        <w:pStyle w:val="ParaMargin"/>
        <w:jc w:val="center"/>
      </w:pPr>
      <w:r w:rsidRPr="00856B67">
        <w:rPr>
          <w:noProof/>
          <w:lang w:eastAsia="en-AU"/>
        </w:rPr>
        <w:drawing>
          <wp:inline distT="0" distB="0" distL="0" distR="0">
            <wp:extent cx="5542059" cy="4368740"/>
            <wp:effectExtent l="0" t="0" r="190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_Map.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3437" cy="4369826"/>
                    </a:xfrm>
                    <a:prstGeom prst="rect">
                      <a:avLst/>
                    </a:prstGeom>
                  </pic:spPr>
                </pic:pic>
              </a:graphicData>
            </a:graphic>
          </wp:inline>
        </w:drawing>
      </w:r>
    </w:p>
    <w:p w:rsidR="002B1738" w:rsidRDefault="002B1738" w:rsidP="00737A4B">
      <w:pPr>
        <w:pStyle w:val="ParaMargin"/>
      </w:pPr>
    </w:p>
    <w:p w:rsidR="00856B67" w:rsidRPr="00D56C84" w:rsidRDefault="00856B67" w:rsidP="00737A4B">
      <w:pPr>
        <w:pStyle w:val="ParaMargin"/>
        <w:sectPr w:rsidR="00856B67" w:rsidRPr="00D56C84" w:rsidSect="00A2013E">
          <w:footerReference w:type="even" r:id="rId16"/>
          <w:type w:val="continuous"/>
          <w:pgSz w:w="11907" w:h="16840" w:code="9"/>
          <w:pgMar w:top="1134" w:right="1134" w:bottom="1134" w:left="1134" w:header="567" w:footer="567" w:gutter="0"/>
          <w:cols w:space="708"/>
          <w:docGrid w:linePitch="360"/>
        </w:sectPr>
      </w:pPr>
    </w:p>
    <w:tbl>
      <w:tblPr>
        <w:tblW w:w="9639" w:type="dxa"/>
        <w:tblLayout w:type="fixed"/>
        <w:tblCellMar>
          <w:left w:w="0" w:type="dxa"/>
          <w:right w:w="0" w:type="dxa"/>
        </w:tblCellMar>
        <w:tblLook w:val="01E0"/>
      </w:tblPr>
      <w:tblGrid>
        <w:gridCol w:w="1700"/>
        <w:gridCol w:w="3119"/>
        <w:gridCol w:w="4820"/>
      </w:tblGrid>
      <w:tr w:rsidR="00B443E1" w:rsidRPr="00D56C84">
        <w:trPr>
          <w:cantSplit/>
        </w:trPr>
        <w:tc>
          <w:tcPr>
            <w:tcW w:w="4819" w:type="dxa"/>
            <w:gridSpan w:val="2"/>
          </w:tcPr>
          <w:p w:rsidR="0092595D" w:rsidRPr="00D56C84" w:rsidRDefault="00ED6CA0" w:rsidP="0092595D">
            <w:pPr>
              <w:pStyle w:val="InfoBold"/>
            </w:pPr>
            <w:r>
              <w:lastRenderedPageBreak/>
              <w:fldChar w:fldCharType="begin"/>
            </w:r>
            <w:r w:rsidR="001249B5">
              <w:instrText xml:space="preserve"> INCLUDETEXT "C:\\Program Files\\Microsoft Office\\Templates\\Info.doc" CoName \* MERGEFORMAT </w:instrText>
            </w:r>
            <w:r>
              <w:fldChar w:fldCharType="separate"/>
            </w:r>
            <w:bookmarkStart w:id="3" w:name="CoName"/>
            <w:proofErr w:type="spellStart"/>
            <w:r w:rsidR="0067186F">
              <w:t>Hyder</w:t>
            </w:r>
            <w:proofErr w:type="spellEnd"/>
            <w:r w:rsidR="0067186F">
              <w:t xml:space="preserve"> Consulting Pty Ltd</w:t>
            </w:r>
            <w:bookmarkEnd w:id="3"/>
            <w:r>
              <w:fldChar w:fldCharType="end"/>
            </w:r>
          </w:p>
          <w:p w:rsidR="0092595D" w:rsidRPr="00D56C84" w:rsidRDefault="00ED6CA0" w:rsidP="0092595D">
            <w:pPr>
              <w:pStyle w:val="Info"/>
            </w:pPr>
            <w:fldSimple w:instr=" INCLUDETEXT &quot;C:\\Program Files\\Microsoft Office\\Templates\\Info.doc&quot; CoNo \* MERGEFORMAT ">
              <w:bookmarkStart w:id="4" w:name="CoNo"/>
              <w:r w:rsidR="0067186F">
                <w:t>ABN 76 104 485 289</w:t>
              </w:r>
              <w:bookmarkEnd w:id="4"/>
            </w:fldSimple>
          </w:p>
          <w:p w:rsidR="0067186F" w:rsidRDefault="00ED6CA0" w:rsidP="0067186F">
            <w:pPr>
              <w:pStyle w:val="Info"/>
            </w:pPr>
            <w:r w:rsidRPr="00D56C84">
              <w:fldChar w:fldCharType="begin"/>
            </w:r>
            <w:r w:rsidR="0092595D" w:rsidRPr="00D56C84">
              <w:instrText xml:space="preserve"> INCLUDETEXT "C:\\Program Files\\Microsoft Office\\Templates\\Info.doc" Address \* MERGEFORMAT </w:instrText>
            </w:r>
            <w:r w:rsidRPr="00D56C84">
              <w:fldChar w:fldCharType="separate"/>
            </w:r>
            <w:bookmarkStart w:id="5" w:name="Address"/>
            <w:r w:rsidR="0067186F" w:rsidRPr="00182302">
              <w:t>Level 5, 141 Walker Street</w:t>
            </w:r>
            <w:r w:rsidR="0067186F">
              <w:br/>
            </w:r>
            <w:r w:rsidR="0067186F" w:rsidRPr="00182302">
              <w:t>Locked Bag 6503</w:t>
            </w:r>
            <w:r w:rsidR="0067186F">
              <w:br/>
            </w:r>
            <w:r w:rsidR="0067186F" w:rsidRPr="00182302">
              <w:t>North Sydney NSW 2060</w:t>
            </w:r>
            <w:r w:rsidR="0067186F">
              <w:br/>
            </w:r>
            <w:r w:rsidR="0067186F" w:rsidRPr="00182302">
              <w:t>Australia</w:t>
            </w:r>
          </w:p>
          <w:p w:rsidR="0067186F" w:rsidRDefault="0067186F" w:rsidP="0067186F">
            <w:pPr>
              <w:pStyle w:val="Info"/>
            </w:pPr>
            <w:r>
              <w:t xml:space="preserve">Tel:  </w:t>
            </w:r>
            <w:bookmarkStart w:id="6" w:name="Phone"/>
            <w:r w:rsidRPr="00182302">
              <w:t>+61 2 8907 9000</w:t>
            </w:r>
            <w:bookmarkEnd w:id="6"/>
          </w:p>
          <w:p w:rsidR="0092595D" w:rsidRPr="00D56C84" w:rsidRDefault="0067186F" w:rsidP="0092595D">
            <w:pPr>
              <w:pStyle w:val="Info"/>
            </w:pPr>
            <w:r>
              <w:t xml:space="preserve">Fax: </w:t>
            </w:r>
            <w:bookmarkStart w:id="7" w:name="Fax"/>
            <w:r w:rsidRPr="00182302">
              <w:t>+61 2 8907 9001</w:t>
            </w:r>
            <w:bookmarkEnd w:id="7"/>
            <w:bookmarkEnd w:id="5"/>
            <w:r w:rsidR="00ED6CA0" w:rsidRPr="00D56C84">
              <w:fldChar w:fldCharType="end"/>
            </w:r>
          </w:p>
          <w:p w:rsidR="00B443E1" w:rsidRPr="00D56C84" w:rsidRDefault="00ED6CA0" w:rsidP="0092595D">
            <w:pPr>
              <w:pStyle w:val="Info"/>
            </w:pPr>
            <w:fldSimple w:instr=" INCLUDETEXT &quot;C:\\Program Files\\Microsoft Office\\Templates\\Info.doc&quot; Web \* MERGEFORMAT ">
              <w:bookmarkStart w:id="8" w:name="Web"/>
              <w:r w:rsidR="0067186F">
                <w:t>www.hyderconsulting.com</w:t>
              </w:r>
              <w:bookmarkEnd w:id="8"/>
            </w:fldSimple>
          </w:p>
        </w:tc>
        <w:tc>
          <w:tcPr>
            <w:tcW w:w="4820" w:type="dxa"/>
          </w:tcPr>
          <w:p w:rsidR="00B443E1" w:rsidRPr="00D56C84" w:rsidRDefault="000564EA" w:rsidP="004A3C7F">
            <w:pPr>
              <w:pStyle w:val="ParaMargin"/>
              <w:jc w:val="right"/>
            </w:pPr>
            <w:r w:rsidRPr="00D56C84">
              <w:rPr>
                <w:noProof/>
                <w:lang w:eastAsia="en-AU"/>
              </w:rPr>
              <w:drawing>
                <wp:inline distT="0" distB="0" distL="0" distR="0">
                  <wp:extent cx="1257300" cy="857250"/>
                  <wp:effectExtent l="19050" t="0" r="0" b="0"/>
                  <wp:docPr id="4" name="Picture 5"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derLogo_Blue_LowRes"/>
                          <pic:cNvPicPr>
                            <a:picLocks noChangeAspect="1" noChangeArrowheads="1"/>
                          </pic:cNvPicPr>
                        </pic:nvPicPr>
                        <pic:blipFill>
                          <a:blip r:embed="rId14" cstate="print"/>
                          <a:srcRect/>
                          <a:stretch>
                            <a:fillRect/>
                          </a:stretch>
                        </pic:blipFill>
                        <pic:spPr bwMode="auto">
                          <a:xfrm>
                            <a:off x="0" y="0"/>
                            <a:ext cx="1257300" cy="857250"/>
                          </a:xfrm>
                          <a:prstGeom prst="rect">
                            <a:avLst/>
                          </a:prstGeom>
                          <a:noFill/>
                          <a:ln w="9525">
                            <a:noFill/>
                            <a:miter lim="800000"/>
                            <a:headEnd/>
                            <a:tailEnd/>
                          </a:ln>
                        </pic:spPr>
                      </pic:pic>
                    </a:graphicData>
                  </a:graphic>
                </wp:inline>
              </w:drawing>
            </w:r>
          </w:p>
        </w:tc>
      </w:tr>
      <w:tr w:rsidR="00B443E1" w:rsidRPr="00D56C84">
        <w:trPr>
          <w:cantSplit/>
        </w:trPr>
        <w:tc>
          <w:tcPr>
            <w:tcW w:w="9639" w:type="dxa"/>
            <w:gridSpan w:val="3"/>
          </w:tcPr>
          <w:p w:rsidR="00083617" w:rsidRPr="00D56C84" w:rsidRDefault="00083617" w:rsidP="008503D1">
            <w:pPr>
              <w:pStyle w:val="ParaMargin"/>
            </w:pPr>
          </w:p>
        </w:tc>
      </w:tr>
      <w:tr w:rsidR="00B443E1" w:rsidRPr="00D56C84">
        <w:trPr>
          <w:cantSplit/>
        </w:trPr>
        <w:tc>
          <w:tcPr>
            <w:tcW w:w="9639" w:type="dxa"/>
            <w:gridSpan w:val="3"/>
          </w:tcPr>
          <w:p w:rsidR="00B443E1" w:rsidRPr="00D56C84" w:rsidRDefault="00ED6CA0" w:rsidP="008503D1">
            <w:pPr>
              <w:pStyle w:val="HeadingTitle"/>
              <w:rPr>
                <w:sz w:val="36"/>
                <w:szCs w:val="36"/>
              </w:rPr>
            </w:pPr>
            <w:fldSimple w:instr=" DOCPROPERTY &quot;Client&quot;  \* MERGEFORMAT ">
              <w:r w:rsidR="00166111" w:rsidRPr="00166111">
                <w:rPr>
                  <w:caps w:val="0"/>
                  <w:sz w:val="36"/>
                  <w:szCs w:val="36"/>
                </w:rPr>
                <w:t>Department of Sustainability, Environment, Water, Population and Communities</w:t>
              </w:r>
            </w:fldSimple>
          </w:p>
        </w:tc>
      </w:tr>
      <w:tr w:rsidR="00B443E1" w:rsidRPr="00D56C84">
        <w:trPr>
          <w:cantSplit/>
        </w:trPr>
        <w:tc>
          <w:tcPr>
            <w:tcW w:w="9639" w:type="dxa"/>
            <w:gridSpan w:val="3"/>
          </w:tcPr>
          <w:p w:rsidR="00B443E1" w:rsidRPr="00D56C84" w:rsidRDefault="00ED6CA0" w:rsidP="00D647B0">
            <w:pPr>
              <w:pStyle w:val="HeadingSub"/>
              <w:rPr>
                <w:sz w:val="36"/>
                <w:szCs w:val="36"/>
              </w:rPr>
            </w:pPr>
            <w:fldSimple w:instr=" DOCPROPERTY &quot;Project&quot;  \* MERGEFORMAT ">
              <w:r w:rsidR="00166111" w:rsidRPr="00166111">
                <w:rPr>
                  <w:sz w:val="36"/>
                  <w:szCs w:val="36"/>
                </w:rPr>
                <w:t>Role and Performance of Local Government</w:t>
              </w:r>
            </w:fldSimple>
          </w:p>
        </w:tc>
      </w:tr>
      <w:tr w:rsidR="00B443E1" w:rsidRPr="00D56C84">
        <w:trPr>
          <w:cantSplit/>
        </w:trPr>
        <w:tc>
          <w:tcPr>
            <w:tcW w:w="9639" w:type="dxa"/>
            <w:gridSpan w:val="3"/>
          </w:tcPr>
          <w:p w:rsidR="00B443E1" w:rsidRPr="00D56C84" w:rsidRDefault="00ED6CA0" w:rsidP="008503D1">
            <w:pPr>
              <w:pStyle w:val="HeadingSub"/>
              <w:rPr>
                <w:sz w:val="32"/>
                <w:szCs w:val="32"/>
              </w:rPr>
            </w:pPr>
            <w:fldSimple w:instr=" DOCPROPERTY &quot;Title&quot;  \* MERGEFORMAT ">
              <w:r w:rsidR="00166111" w:rsidRPr="00166111">
                <w:rPr>
                  <w:caps w:val="0"/>
                  <w:sz w:val="32"/>
                  <w:szCs w:val="32"/>
                </w:rPr>
                <w:t>Waste and recycling related data and information</w:t>
              </w:r>
            </w:fldSimple>
          </w:p>
        </w:tc>
      </w:tr>
      <w:tr w:rsidR="00B443E1" w:rsidRPr="00D56C84">
        <w:trPr>
          <w:cantSplit/>
        </w:trPr>
        <w:tc>
          <w:tcPr>
            <w:tcW w:w="9639" w:type="dxa"/>
            <w:gridSpan w:val="3"/>
          </w:tcPr>
          <w:p w:rsidR="00B443E1" w:rsidRPr="00D56C84" w:rsidRDefault="00ED6CA0" w:rsidP="008503D1">
            <w:pPr>
              <w:pStyle w:val="ParaMargin"/>
            </w:pPr>
            <w:r>
              <w:rPr>
                <w:noProof/>
                <w:lang w:eastAsia="en-AU"/>
              </w:rPr>
            </w:r>
            <w:r>
              <w:rPr>
                <w:noProof/>
                <w:lang w:eastAsia="en-AU"/>
              </w:rPr>
              <w:pict>
                <v:polyline id="Freeform 3" o:spid="_x0000_s1027"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" filled="f" strokecolor="#00519e" strokeweight="1pt">
                  <v:path arrowok="t" o:connecttype="custom" o:connectlocs="0,0;2147483647,0;2147483647,2147483647;2147483647,2147483647" o:connectangles="0,0,0,0"/>
                  <w10:wrap type="none"/>
                  <w10:anchorlock/>
                </v:polyline>
              </w:pict>
            </w:r>
          </w:p>
        </w:tc>
      </w:tr>
      <w:tr w:rsidR="00B443E1" w:rsidRPr="00D56C84">
        <w:trPr>
          <w:cantSplit/>
        </w:trPr>
        <w:tc>
          <w:tcPr>
            <w:tcW w:w="9639" w:type="dxa"/>
            <w:gridSpan w:val="3"/>
          </w:tcPr>
          <w:p w:rsidR="00B443E1" w:rsidRPr="00D56C84" w:rsidRDefault="00ED6CA0" w:rsidP="008503D1">
            <w:pPr>
              <w:pStyle w:val="HeadingOther"/>
            </w:pPr>
            <w:r w:rsidRPr="00D56C84">
              <w:fldChar w:fldCharType="begin"/>
            </w:r>
            <w:r w:rsidR="00FA2F26" w:rsidRPr="00D56C84">
              <w:instrText xml:space="preserve"> DOCPROPERTY "Subtitle"  \* MERGEFORMAT </w:instrText>
            </w:r>
            <w:r w:rsidRPr="00D56C84">
              <w:fldChar w:fldCharType="end"/>
            </w:r>
          </w:p>
        </w:tc>
      </w:tr>
      <w:tr w:rsidR="007C6281" w:rsidRPr="00D56C84" w:rsidTr="00C13CA3">
        <w:trPr>
          <w:cantSplit/>
          <w:trHeight w:val="851"/>
        </w:trPr>
        <w:tc>
          <w:tcPr>
            <w:tcW w:w="1700" w:type="dxa"/>
            <w:vAlign w:val="bottom"/>
          </w:tcPr>
          <w:p w:rsidR="007C6281" w:rsidRPr="00D56C84" w:rsidRDefault="007C6281" w:rsidP="005850D4">
            <w:pPr>
              <w:pStyle w:val="ParaMargin"/>
              <w:rPr>
                <w:b/>
              </w:rPr>
            </w:pPr>
            <w:r w:rsidRPr="00D56C84">
              <w:rPr>
                <w:b/>
              </w:rPr>
              <w:t>Author</w:t>
            </w:r>
          </w:p>
        </w:tc>
        <w:tc>
          <w:tcPr>
            <w:tcW w:w="7939" w:type="dxa"/>
            <w:gridSpan w:val="2"/>
            <w:vAlign w:val="bottom"/>
          </w:tcPr>
          <w:p w:rsidR="007C6281" w:rsidRPr="00D56C84" w:rsidRDefault="00ED6CA0" w:rsidP="005850D4">
            <w:pPr>
              <w:pStyle w:val="ParaMargin"/>
            </w:pPr>
            <w:r>
              <w:fldChar w:fldCharType="begin"/>
            </w:r>
            <w:r w:rsidR="00EF2F97">
              <w:instrText xml:space="preserve"> DOCPROPERTY "Author"  \* MERGEFORMAT </w:instrText>
            </w:r>
            <w:r>
              <w:fldChar w:fldCharType="separate"/>
            </w:r>
            <w:r w:rsidR="00166111">
              <w:t xml:space="preserve">Garth Lamb, Emma </w:t>
            </w:r>
            <w:proofErr w:type="spellStart"/>
            <w:r w:rsidR="00166111">
              <w:t>Mountjoy</w:t>
            </w:r>
            <w:proofErr w:type="spellEnd"/>
            <w:r w:rsidR="00166111">
              <w:t xml:space="preserve">, Fraser </w:t>
            </w:r>
            <w:proofErr w:type="spellStart"/>
            <w:r w:rsidR="00166111">
              <w:t>Brindley</w:t>
            </w:r>
            <w:proofErr w:type="spellEnd"/>
            <w:r w:rsidR="00166111">
              <w:t xml:space="preserve">, Lisa </w:t>
            </w:r>
            <w:proofErr w:type="spellStart"/>
            <w:r w:rsidR="00166111">
              <w:t>Shadforth</w:t>
            </w:r>
            <w:proofErr w:type="spellEnd"/>
            <w:r>
              <w:fldChar w:fldCharType="end"/>
            </w:r>
          </w:p>
        </w:tc>
      </w:tr>
      <w:tr w:rsidR="007C6281" w:rsidRPr="00D56C84" w:rsidTr="00C13CA3">
        <w:trPr>
          <w:cantSplit/>
          <w:trHeight w:val="851"/>
        </w:trPr>
        <w:tc>
          <w:tcPr>
            <w:tcW w:w="1700" w:type="dxa"/>
            <w:vAlign w:val="bottom"/>
          </w:tcPr>
          <w:p w:rsidR="007C6281" w:rsidRPr="001A75C3" w:rsidRDefault="007C6281" w:rsidP="005850D4">
            <w:pPr>
              <w:pStyle w:val="ParaMargin"/>
              <w:rPr>
                <w:b/>
              </w:rPr>
            </w:pPr>
            <w:r w:rsidRPr="001A75C3">
              <w:rPr>
                <w:b/>
              </w:rPr>
              <w:t>Checker</w:t>
            </w:r>
          </w:p>
        </w:tc>
        <w:tc>
          <w:tcPr>
            <w:tcW w:w="7939" w:type="dxa"/>
            <w:gridSpan w:val="2"/>
            <w:vAlign w:val="bottom"/>
          </w:tcPr>
          <w:p w:rsidR="007C6281" w:rsidRPr="001A75C3" w:rsidRDefault="00ED6CA0" w:rsidP="005850D4">
            <w:pPr>
              <w:pStyle w:val="ParaMargin"/>
            </w:pPr>
            <w:fldSimple w:instr=" DOCPROPERTY &quot;Checker&quot;  \* MERGEFORMAT ">
              <w:r w:rsidR="00166111">
                <w:t>Victoria Bond</w:t>
              </w:r>
            </w:fldSimple>
          </w:p>
        </w:tc>
      </w:tr>
      <w:tr w:rsidR="007C6281" w:rsidRPr="00D56C84" w:rsidTr="00C13CA3">
        <w:trPr>
          <w:cantSplit/>
          <w:trHeight w:val="851"/>
        </w:trPr>
        <w:tc>
          <w:tcPr>
            <w:tcW w:w="1700" w:type="dxa"/>
            <w:vAlign w:val="bottom"/>
          </w:tcPr>
          <w:p w:rsidR="007C6281" w:rsidRPr="001A75C3" w:rsidRDefault="007C6281" w:rsidP="005850D4">
            <w:pPr>
              <w:pStyle w:val="ParaMargin"/>
              <w:rPr>
                <w:b/>
              </w:rPr>
            </w:pPr>
            <w:r w:rsidRPr="001A75C3">
              <w:rPr>
                <w:b/>
              </w:rPr>
              <w:t>Approver</w:t>
            </w:r>
          </w:p>
        </w:tc>
        <w:tc>
          <w:tcPr>
            <w:tcW w:w="7939" w:type="dxa"/>
            <w:gridSpan w:val="2"/>
            <w:vAlign w:val="bottom"/>
          </w:tcPr>
          <w:p w:rsidR="007C6281" w:rsidRPr="001A75C3" w:rsidRDefault="00ED6CA0" w:rsidP="005850D4">
            <w:pPr>
              <w:pStyle w:val="ParaMargin"/>
            </w:pPr>
            <w:fldSimple w:instr=" DOCPROPERTY &quot;Approver&quot;  \* MERGEFORMAT ">
              <w:r w:rsidR="00166111">
                <w:t>Victoria Bond</w:t>
              </w:r>
            </w:fldSimple>
          </w:p>
        </w:tc>
      </w:tr>
      <w:tr w:rsidR="00B443E1" w:rsidRPr="00D56C84">
        <w:trPr>
          <w:cantSplit/>
        </w:trPr>
        <w:tc>
          <w:tcPr>
            <w:tcW w:w="9639" w:type="dxa"/>
            <w:gridSpan w:val="3"/>
          </w:tcPr>
          <w:p w:rsidR="00B443E1" w:rsidRPr="00D56C84" w:rsidRDefault="00B443E1" w:rsidP="008503D1">
            <w:pPr>
              <w:pStyle w:val="ParaMargin"/>
            </w:pPr>
          </w:p>
        </w:tc>
      </w:tr>
      <w:tr w:rsidR="00B443E1" w:rsidRPr="00D56C84">
        <w:trPr>
          <w:cantSplit/>
        </w:trPr>
        <w:tc>
          <w:tcPr>
            <w:tcW w:w="1700" w:type="dxa"/>
          </w:tcPr>
          <w:p w:rsidR="00B443E1" w:rsidRPr="00D56C84" w:rsidRDefault="00B443E1" w:rsidP="008503D1">
            <w:pPr>
              <w:pStyle w:val="ParaMargin"/>
              <w:rPr>
                <w:b/>
              </w:rPr>
            </w:pPr>
          </w:p>
        </w:tc>
        <w:tc>
          <w:tcPr>
            <w:tcW w:w="7939" w:type="dxa"/>
            <w:gridSpan w:val="2"/>
          </w:tcPr>
          <w:p w:rsidR="00B443E1" w:rsidRPr="00D56C84" w:rsidRDefault="00ED6CA0" w:rsidP="008503D1">
            <w:pPr>
              <w:pStyle w:val="ParaMargin"/>
            </w:pPr>
            <w:r w:rsidRPr="00D56C84">
              <w:fldChar w:fldCharType="begin"/>
            </w:r>
            <w:r w:rsidR="00FA2F26" w:rsidRPr="00D56C84">
              <w:instrText xml:space="preserve"> DOCPROPERTY "Number"  \* MERGEFORMAT </w:instrText>
            </w:r>
            <w:r w:rsidRPr="00D56C84">
              <w:fldChar w:fldCharType="end"/>
            </w:r>
          </w:p>
        </w:tc>
      </w:tr>
      <w:tr w:rsidR="00A863B5" w:rsidRPr="00D56C84">
        <w:trPr>
          <w:cantSplit/>
        </w:trPr>
        <w:tc>
          <w:tcPr>
            <w:tcW w:w="1700" w:type="dxa"/>
          </w:tcPr>
          <w:p w:rsidR="00A863B5" w:rsidRPr="007345D0" w:rsidRDefault="00A863B5" w:rsidP="008503D1">
            <w:pPr>
              <w:pStyle w:val="ParaMargin"/>
              <w:rPr>
                <w:b/>
              </w:rPr>
            </w:pPr>
            <w:r w:rsidRPr="007345D0">
              <w:rPr>
                <w:b/>
              </w:rPr>
              <w:t>Date</w:t>
            </w:r>
          </w:p>
        </w:tc>
        <w:tc>
          <w:tcPr>
            <w:tcW w:w="7939" w:type="dxa"/>
            <w:gridSpan w:val="2"/>
            <w:vAlign w:val="bottom"/>
          </w:tcPr>
          <w:p w:rsidR="00A863B5" w:rsidRPr="007345D0" w:rsidRDefault="00ED6CA0" w:rsidP="00A863B5">
            <w:pPr>
              <w:pStyle w:val="ParaMargin"/>
              <w:rPr>
                <w:rFonts w:ascii="Arial Narrow" w:hAnsi="Arial Narrow"/>
              </w:rPr>
            </w:pPr>
            <w:fldSimple w:instr=" DOCPROPERTY &quot;Date&quot;  \* MERGEFORMAT ">
              <w:r w:rsidR="00166111">
                <w:t>27 October 2011</w:t>
              </w:r>
            </w:fldSimple>
          </w:p>
        </w:tc>
      </w:tr>
      <w:tr w:rsidR="00334A15" w:rsidRPr="00D56C84">
        <w:trPr>
          <w:cantSplit/>
        </w:trPr>
        <w:tc>
          <w:tcPr>
            <w:tcW w:w="1700" w:type="dxa"/>
          </w:tcPr>
          <w:p w:rsidR="00334A15" w:rsidRPr="00D56C84" w:rsidRDefault="00ED6CA0" w:rsidP="008503D1">
            <w:pPr>
              <w:pStyle w:val="ParaMargin"/>
              <w:rPr>
                <w:b/>
              </w:rPr>
            </w:pPr>
            <w:fldSimple w:instr=" DOCPROPERTY &quot;RevisionText&quot;  \* MERGEFORMAT ">
              <w:r w:rsidR="00166111" w:rsidRPr="00166111">
                <w:rPr>
                  <w:b/>
                </w:rPr>
                <w:t xml:space="preserve"> </w:t>
              </w:r>
            </w:fldSimple>
            <w:r w:rsidR="004038E0" w:rsidRPr="00D56C84">
              <w:rPr>
                <w:b/>
              </w:rPr>
              <w:t xml:space="preserve">   </w:t>
            </w:r>
          </w:p>
        </w:tc>
        <w:tc>
          <w:tcPr>
            <w:tcW w:w="7939" w:type="dxa"/>
            <w:gridSpan w:val="2"/>
            <w:vAlign w:val="bottom"/>
          </w:tcPr>
          <w:p w:rsidR="00334A15" w:rsidRPr="00D56C84" w:rsidRDefault="00ED6CA0" w:rsidP="008503D1">
            <w:pPr>
              <w:pStyle w:val="ParaMargin"/>
              <w:rPr>
                <w:rFonts w:ascii="Arial Narrow" w:hAnsi="Arial Narrow"/>
              </w:rPr>
            </w:pPr>
            <w:fldSimple w:instr=" DOCPROPERTY &quot;RevisionInfo&quot;  \* MERGEFORMAT ">
              <w:r w:rsidR="00166111">
                <w:t xml:space="preserve"> </w:t>
              </w:r>
            </w:fldSimple>
            <w:r w:rsidR="004038E0" w:rsidRPr="00D56C84">
              <w:t xml:space="preserve">   </w:t>
            </w:r>
          </w:p>
        </w:tc>
      </w:tr>
      <w:tr w:rsidR="007C6281" w:rsidRPr="00D56C84" w:rsidTr="00C13CA3">
        <w:trPr>
          <w:cantSplit/>
        </w:trPr>
        <w:tc>
          <w:tcPr>
            <w:tcW w:w="9639" w:type="dxa"/>
            <w:gridSpan w:val="3"/>
          </w:tcPr>
          <w:p w:rsidR="007C6281" w:rsidRPr="00D56C84" w:rsidRDefault="007C6281" w:rsidP="008503D1">
            <w:pPr>
              <w:pStyle w:val="ParaMargin"/>
            </w:pPr>
            <w:r w:rsidRPr="00D56C84">
              <w:t xml:space="preserve">This report has been prepared for </w:t>
            </w:r>
            <w:fldSimple w:instr=" DOCPROPERTY &quot;Client&quot;  \* MERGEFORMAT ">
              <w:r w:rsidR="00166111">
                <w:t>Department of Sustainability, Environment, Water, Population and Communities</w:t>
              </w:r>
            </w:fldSimple>
            <w:r w:rsidRPr="00D56C84">
              <w:t xml:space="preserve"> in accordance with the terms and conditions of appointment for</w:t>
            </w:r>
            <w:r w:rsidR="00D647B0" w:rsidRPr="00D56C84">
              <w:t xml:space="preserve"> the study into the </w:t>
            </w:r>
            <w:r w:rsidR="00D647B0" w:rsidRPr="00D56C84">
              <w:rPr>
                <w:i/>
              </w:rPr>
              <w:t xml:space="preserve">Role and performance of local government - </w:t>
            </w:r>
            <w:fldSimple w:instr=" DOCPROPERTY &quot;Title&quot;  \* MERGEFORMAT ">
              <w:r w:rsidR="00166111" w:rsidRPr="00166111">
                <w:rPr>
                  <w:i/>
                </w:rPr>
                <w:t>Waste and recycling related data and information</w:t>
              </w:r>
            </w:fldSimple>
            <w:r w:rsidRPr="00D56C84">
              <w:t xml:space="preserve"> dated </w:t>
            </w:r>
            <w:r w:rsidR="00BD0ACC" w:rsidRPr="00D56C84">
              <w:t>29</w:t>
            </w:r>
            <w:r w:rsidR="005B78CB" w:rsidRPr="00D56C84">
              <w:t xml:space="preserve"> April 2011</w:t>
            </w:r>
            <w:r w:rsidR="00ED6CA0" w:rsidRPr="00D56C84">
              <w:fldChar w:fldCharType="begin"/>
            </w:r>
            <w:r w:rsidRPr="00D56C84">
              <w:instrText xml:space="preserve"> DOCPROPERTY "AppointmentDate"  \* MERGEFORMAT </w:instrText>
            </w:r>
            <w:r w:rsidR="00ED6CA0" w:rsidRPr="00D56C84">
              <w:fldChar w:fldCharType="end"/>
            </w:r>
            <w:r w:rsidRPr="00D56C84">
              <w:t xml:space="preserve">. </w:t>
            </w:r>
            <w:r w:rsidR="00ED6CA0">
              <w:fldChar w:fldCharType="begin"/>
            </w:r>
            <w:r w:rsidR="001249B5">
              <w:instrText xml:space="preserve"> INCLUDETEXT "C:\\Program Files\\Microsoft Office\\Templates\\Info.doc" CoName \* MERGEFORMAT </w:instrText>
            </w:r>
            <w:r w:rsidR="00ED6CA0">
              <w:fldChar w:fldCharType="separate"/>
            </w:r>
            <w:proofErr w:type="spellStart"/>
            <w:r w:rsidR="0067186F" w:rsidRPr="0067186F">
              <w:rPr>
                <w:bCs/>
              </w:rPr>
              <w:t>Hyder</w:t>
            </w:r>
            <w:proofErr w:type="spellEnd"/>
            <w:r w:rsidR="0067186F">
              <w:t xml:space="preserve"> Consulting Pty Ltd</w:t>
            </w:r>
            <w:r w:rsidR="00ED6CA0">
              <w:fldChar w:fldCharType="end"/>
            </w:r>
            <w:r w:rsidRPr="00D56C84">
              <w:t xml:space="preserve"> (</w:t>
            </w:r>
            <w:fldSimple w:instr=" INCLUDETEXT &quot;C:\\Program Files\\Microsoft Office\\Templates\\Info.doc&quot; CoNo \* MERGEFORMAT ">
              <w:r w:rsidR="0067186F" w:rsidRPr="0067186F">
                <w:rPr>
                  <w:bCs/>
                </w:rPr>
                <w:t>ABN</w:t>
              </w:r>
              <w:r w:rsidR="0067186F">
                <w:t xml:space="preserve"> 76 104 485 289</w:t>
              </w:r>
            </w:fldSimple>
            <w:r w:rsidRPr="00D56C84">
              <w:t>) cannot accept any responsibility for any use of or reliance on the contents of this report by any third party.</w:t>
            </w:r>
          </w:p>
          <w:p w:rsidR="007C6281" w:rsidRPr="00D56C84" w:rsidRDefault="007C6281" w:rsidP="008503D1">
            <w:pPr>
              <w:pStyle w:val="ParaMargin"/>
            </w:pPr>
            <w:r w:rsidRPr="00D56C84">
              <w:t>The views and opinions expressed in this publication are those of the authors and do not necessarily reflect those of the Australian Government or the Minister for the Environment, Heritage and the Arts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tc>
      </w:tr>
    </w:tbl>
    <w:p w:rsidR="00582ED5" w:rsidRPr="00D56C84" w:rsidRDefault="00582ED5" w:rsidP="00737A4B">
      <w:pPr>
        <w:pStyle w:val="ParaMargin"/>
      </w:pPr>
    </w:p>
    <w:p w:rsidR="002B1738" w:rsidRPr="00D56C84" w:rsidRDefault="002B1738" w:rsidP="00737A4B">
      <w:pPr>
        <w:pStyle w:val="ParaMargin"/>
      </w:pPr>
    </w:p>
    <w:p w:rsidR="002B1738" w:rsidRPr="00D56C84" w:rsidRDefault="002B1738" w:rsidP="00737A4B">
      <w:pPr>
        <w:pStyle w:val="ParaMargin"/>
        <w:sectPr w:rsidR="002B1738" w:rsidRPr="00D56C84" w:rsidSect="00A2013E">
          <w:footerReference w:type="default" r:id="rId17"/>
          <w:type w:val="oddPage"/>
          <w:pgSz w:w="11907" w:h="16840" w:code="9"/>
          <w:pgMar w:top="1134" w:right="1134" w:bottom="1134" w:left="1134" w:header="567" w:footer="567" w:gutter="0"/>
          <w:cols w:space="708"/>
          <w:docGrid w:linePitch="360"/>
        </w:sectPr>
      </w:pPr>
    </w:p>
    <w:tbl>
      <w:tblPr>
        <w:tblW w:w="9875" w:type="dxa"/>
        <w:tblLayout w:type="fixed"/>
        <w:tblCellMar>
          <w:left w:w="0" w:type="dxa"/>
          <w:right w:w="0" w:type="dxa"/>
        </w:tblCellMar>
        <w:tblLook w:val="01E0"/>
      </w:tblPr>
      <w:tblGrid>
        <w:gridCol w:w="4819"/>
        <w:gridCol w:w="5056"/>
      </w:tblGrid>
      <w:tr w:rsidR="00C434FF" w:rsidRPr="00D56C84" w:rsidTr="00C77697">
        <w:trPr>
          <w:cantSplit/>
        </w:trPr>
        <w:tc>
          <w:tcPr>
            <w:tcW w:w="4819" w:type="dxa"/>
          </w:tcPr>
          <w:p w:rsidR="005121A6" w:rsidRPr="00D56C84" w:rsidRDefault="005121A6" w:rsidP="008503D1">
            <w:pPr>
              <w:pStyle w:val="ParaMargin"/>
            </w:pPr>
            <w:bookmarkStart w:id="9" w:name="RevisionsPage"/>
            <w:bookmarkEnd w:id="9"/>
          </w:p>
        </w:tc>
        <w:tc>
          <w:tcPr>
            <w:tcW w:w="5056" w:type="dxa"/>
          </w:tcPr>
          <w:p w:rsidR="00C434FF" w:rsidRPr="00D56C84" w:rsidRDefault="000564EA" w:rsidP="004A3C7F">
            <w:pPr>
              <w:pStyle w:val="ParaMargin"/>
              <w:jc w:val="right"/>
            </w:pPr>
            <w:r w:rsidRPr="00D56C84">
              <w:rPr>
                <w:noProof/>
                <w:lang w:eastAsia="en-AU"/>
              </w:rPr>
              <w:drawing>
                <wp:inline distT="0" distB="0" distL="0" distR="0">
                  <wp:extent cx="1257300" cy="857250"/>
                  <wp:effectExtent l="19050" t="0" r="0" b="0"/>
                  <wp:docPr id="6" name="Picture 6" descr="HyderLogo_Blu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derLogo_Blue_LowRes"/>
                          <pic:cNvPicPr>
                            <a:picLocks noChangeAspect="1" noChangeArrowheads="1"/>
                          </pic:cNvPicPr>
                        </pic:nvPicPr>
                        <pic:blipFill>
                          <a:blip r:embed="rId14" cstate="print"/>
                          <a:srcRect/>
                          <a:stretch>
                            <a:fillRect/>
                          </a:stretch>
                        </pic:blipFill>
                        <pic:spPr bwMode="auto">
                          <a:xfrm>
                            <a:off x="0" y="0"/>
                            <a:ext cx="1257300" cy="857250"/>
                          </a:xfrm>
                          <a:prstGeom prst="rect">
                            <a:avLst/>
                          </a:prstGeom>
                          <a:noFill/>
                          <a:ln w="9525">
                            <a:noFill/>
                            <a:miter lim="800000"/>
                            <a:headEnd/>
                            <a:tailEnd/>
                          </a:ln>
                        </pic:spPr>
                      </pic:pic>
                    </a:graphicData>
                  </a:graphic>
                </wp:inline>
              </w:drawing>
            </w:r>
          </w:p>
        </w:tc>
      </w:tr>
      <w:tr w:rsidR="00C434FF" w:rsidRPr="00D56C84" w:rsidTr="00C77697">
        <w:trPr>
          <w:cantSplit/>
        </w:trPr>
        <w:tc>
          <w:tcPr>
            <w:tcW w:w="9875" w:type="dxa"/>
            <w:gridSpan w:val="2"/>
          </w:tcPr>
          <w:p w:rsidR="00C434FF" w:rsidRPr="00D56C84" w:rsidRDefault="00C434FF" w:rsidP="008503D1">
            <w:pPr>
              <w:pStyle w:val="ParaMargin"/>
            </w:pPr>
          </w:p>
        </w:tc>
      </w:tr>
      <w:tr w:rsidR="00C434FF" w:rsidRPr="00D56C84" w:rsidTr="00C77697">
        <w:trPr>
          <w:cantSplit/>
        </w:trPr>
        <w:tc>
          <w:tcPr>
            <w:tcW w:w="9875" w:type="dxa"/>
            <w:gridSpan w:val="2"/>
          </w:tcPr>
          <w:p w:rsidR="00C434FF" w:rsidRPr="00D56C84" w:rsidRDefault="0056371C" w:rsidP="008503D1">
            <w:pPr>
              <w:pStyle w:val="HeadingTitle"/>
            </w:pPr>
            <w:r w:rsidRPr="00D56C84">
              <w:t>CONTENTS</w:t>
            </w:r>
          </w:p>
        </w:tc>
      </w:tr>
      <w:tr w:rsidR="00C434FF" w:rsidRPr="00D56C84" w:rsidTr="00C77697">
        <w:tblPrEx>
          <w:tblCellMar>
            <w:left w:w="108" w:type="dxa"/>
            <w:right w:w="108" w:type="dxa"/>
          </w:tblCellMar>
        </w:tblPrEx>
        <w:trPr>
          <w:cantSplit/>
        </w:trPr>
        <w:tc>
          <w:tcPr>
            <w:tcW w:w="9875" w:type="dxa"/>
            <w:gridSpan w:val="2"/>
          </w:tcPr>
          <w:p w:rsidR="00C434FF" w:rsidRPr="00D56C84" w:rsidRDefault="00ED6CA0" w:rsidP="008503D1">
            <w:pPr>
              <w:pStyle w:val="ParaMargin"/>
            </w:pPr>
            <w:r>
              <w:rPr>
                <w:noProof/>
                <w:lang w:eastAsia="en-AU"/>
              </w:rPr>
            </w:r>
            <w:r>
              <w:rPr>
                <w:noProof/>
                <w:lang w:eastAsia="en-AU"/>
              </w:rPr>
              <w:pict>
                <v:polyline id="Freeform 2" o:spid="_x0000_s1026" style="visibility:visible;mso-wrap-style:square;mso-left-percent:-10001;mso-top-percent:-10001;mso-position-horizontal:absolute;mso-position-horizontal-relative:char;mso-position-vertical:absolute;mso-position-vertical-relative:line;mso-left-percent:-10001;mso-top-percent:-10001;v-text-anchor:top" points="0,0,330pt,0,344pt,14.5pt,479pt,14.5pt" coordsize="958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" filled="f" strokecolor="#00519e" strokeweight="1pt">
                  <v:path arrowok="t" o:connecttype="custom" o:connectlocs="0,0;2147483647,0;2147483647,2147483647;2147483647,2147483647" o:connectangles="0,0,0,0"/>
                  <w10:wrap type="none"/>
                  <w10:anchorlock/>
                </v:polyline>
              </w:pict>
            </w:r>
          </w:p>
        </w:tc>
      </w:tr>
      <w:bookmarkStart w:id="10" w:name="TOC1"/>
      <w:bookmarkEnd w:id="10"/>
      <w:tr w:rsidR="00C81FB5" w:rsidRPr="00D56C84" w:rsidTr="004F0083">
        <w:tblPrEx>
          <w:tblCellMar>
            <w:left w:w="108" w:type="dxa"/>
            <w:right w:w="108" w:type="dxa"/>
          </w:tblCellMar>
        </w:tblPrEx>
        <w:trPr>
          <w:trHeight w:val="10205"/>
        </w:trPr>
        <w:tc>
          <w:tcPr>
            <w:tcW w:w="9875" w:type="dxa"/>
            <w:gridSpan w:val="2"/>
          </w:tcPr>
          <w:p w:rsidR="00043DD9" w:rsidRDefault="00ED6CA0">
            <w:pPr>
              <w:pStyle w:val="TOC1"/>
              <w:rPr>
                <w:rFonts w:asciiTheme="minorHAnsi" w:eastAsiaTheme="minorEastAsia" w:hAnsiTheme="minorHAnsi" w:cstheme="minorBidi"/>
                <w:noProof/>
                <w:color w:val="auto"/>
                <w:sz w:val="22"/>
                <w:szCs w:val="22"/>
                <w:lang w:eastAsia="en-AU"/>
              </w:rPr>
            </w:pPr>
            <w:r w:rsidRPr="00D56C84">
              <w:fldChar w:fldCharType="begin"/>
            </w:r>
            <w:r w:rsidR="009A0E01" w:rsidRPr="00D56C84">
              <w:instrText xml:space="preserve"> TOC \t "_Heading1,1,_Heading2,2" </w:instrText>
            </w:r>
            <w:r w:rsidRPr="00D56C84">
              <w:fldChar w:fldCharType="separate"/>
            </w:r>
            <w:r w:rsidR="00043DD9">
              <w:rPr>
                <w:noProof/>
              </w:rPr>
              <w:t>EXECUTIVE SUMMARY</w:t>
            </w:r>
            <w:r w:rsidR="00043DD9">
              <w:rPr>
                <w:noProof/>
              </w:rPr>
              <w:tab/>
            </w:r>
            <w:r>
              <w:rPr>
                <w:noProof/>
              </w:rPr>
              <w:fldChar w:fldCharType="begin"/>
            </w:r>
            <w:r w:rsidR="00043DD9">
              <w:rPr>
                <w:noProof/>
              </w:rPr>
              <w:instrText xml:space="preserve"> PAGEREF _Toc307470413 \h </w:instrText>
            </w:r>
            <w:r>
              <w:rPr>
                <w:noProof/>
              </w:rPr>
            </w:r>
            <w:r>
              <w:rPr>
                <w:noProof/>
              </w:rPr>
              <w:fldChar w:fldCharType="separate"/>
            </w:r>
            <w:r w:rsidR="00166111">
              <w:rPr>
                <w:noProof/>
              </w:rPr>
              <w:t>1</w:t>
            </w:r>
            <w:r>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w:t>
            </w:r>
            <w:r>
              <w:rPr>
                <w:rFonts w:asciiTheme="minorHAnsi" w:eastAsiaTheme="minorEastAsia" w:hAnsiTheme="minorHAnsi" w:cstheme="minorBidi"/>
                <w:noProof/>
                <w:color w:val="auto"/>
                <w:sz w:val="22"/>
                <w:szCs w:val="22"/>
                <w:lang w:eastAsia="en-AU"/>
              </w:rPr>
              <w:tab/>
            </w:r>
            <w:r>
              <w:rPr>
                <w:noProof/>
              </w:rPr>
              <w:t>Glossary</w:t>
            </w:r>
            <w:r>
              <w:rPr>
                <w:noProof/>
              </w:rPr>
              <w:tab/>
            </w:r>
            <w:r w:rsidR="00ED6CA0">
              <w:rPr>
                <w:noProof/>
              </w:rPr>
              <w:fldChar w:fldCharType="begin"/>
            </w:r>
            <w:r>
              <w:rPr>
                <w:noProof/>
              </w:rPr>
              <w:instrText xml:space="preserve"> PAGEREF _Toc307470414 \h </w:instrText>
            </w:r>
            <w:r w:rsidR="00ED6CA0">
              <w:rPr>
                <w:noProof/>
              </w:rPr>
            </w:r>
            <w:r w:rsidR="00ED6CA0">
              <w:rPr>
                <w:noProof/>
              </w:rPr>
              <w:fldChar w:fldCharType="separate"/>
            </w:r>
            <w:r w:rsidR="00166111">
              <w:rPr>
                <w:noProof/>
              </w:rPr>
              <w:t>2</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2</w:t>
            </w:r>
            <w:r>
              <w:rPr>
                <w:rFonts w:asciiTheme="minorHAnsi" w:eastAsiaTheme="minorEastAsia" w:hAnsiTheme="minorHAnsi" w:cstheme="minorBidi"/>
                <w:noProof/>
                <w:color w:val="auto"/>
                <w:sz w:val="22"/>
                <w:szCs w:val="22"/>
                <w:lang w:eastAsia="en-AU"/>
              </w:rPr>
              <w:tab/>
            </w:r>
            <w:r>
              <w:rPr>
                <w:noProof/>
              </w:rPr>
              <w:t>Introduction</w:t>
            </w:r>
            <w:r>
              <w:rPr>
                <w:noProof/>
              </w:rPr>
              <w:tab/>
            </w:r>
            <w:r w:rsidR="00ED6CA0">
              <w:rPr>
                <w:noProof/>
              </w:rPr>
              <w:fldChar w:fldCharType="begin"/>
            </w:r>
            <w:r>
              <w:rPr>
                <w:noProof/>
              </w:rPr>
              <w:instrText xml:space="preserve"> PAGEREF _Toc307470415 \h </w:instrText>
            </w:r>
            <w:r w:rsidR="00ED6CA0">
              <w:rPr>
                <w:noProof/>
              </w:rPr>
            </w:r>
            <w:r w:rsidR="00ED6CA0">
              <w:rPr>
                <w:noProof/>
              </w:rPr>
              <w:fldChar w:fldCharType="separate"/>
            </w:r>
            <w:r w:rsidR="00166111">
              <w:rPr>
                <w:noProof/>
              </w:rPr>
              <w:t>3</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3</w:t>
            </w:r>
            <w:r>
              <w:rPr>
                <w:rFonts w:asciiTheme="minorHAnsi" w:eastAsiaTheme="minorEastAsia" w:hAnsiTheme="minorHAnsi" w:cstheme="minorBidi"/>
                <w:noProof/>
                <w:color w:val="auto"/>
                <w:sz w:val="22"/>
                <w:szCs w:val="22"/>
                <w:lang w:eastAsia="en-AU"/>
              </w:rPr>
              <w:tab/>
            </w:r>
            <w:r>
              <w:rPr>
                <w:noProof/>
              </w:rPr>
              <w:t>Information needs of key users</w:t>
            </w:r>
            <w:r>
              <w:rPr>
                <w:noProof/>
              </w:rPr>
              <w:tab/>
            </w:r>
            <w:r w:rsidR="00ED6CA0">
              <w:rPr>
                <w:noProof/>
              </w:rPr>
              <w:fldChar w:fldCharType="begin"/>
            </w:r>
            <w:r>
              <w:rPr>
                <w:noProof/>
              </w:rPr>
              <w:instrText xml:space="preserve"> PAGEREF _Toc307470416 \h </w:instrText>
            </w:r>
            <w:r w:rsidR="00ED6CA0">
              <w:rPr>
                <w:noProof/>
              </w:rPr>
            </w:r>
            <w:r w:rsidR="00ED6CA0">
              <w:rPr>
                <w:noProof/>
              </w:rPr>
              <w:fldChar w:fldCharType="separate"/>
            </w:r>
            <w:r w:rsidR="00166111">
              <w:rPr>
                <w:noProof/>
              </w:rPr>
              <w:t>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Overview</w:t>
            </w:r>
            <w:r>
              <w:rPr>
                <w:noProof/>
              </w:rPr>
              <w:tab/>
            </w:r>
            <w:r w:rsidR="00ED6CA0">
              <w:rPr>
                <w:noProof/>
              </w:rPr>
              <w:fldChar w:fldCharType="begin"/>
            </w:r>
            <w:r>
              <w:rPr>
                <w:noProof/>
              </w:rPr>
              <w:instrText xml:space="preserve"> PAGEREF _Toc307470417 \h </w:instrText>
            </w:r>
            <w:r w:rsidR="00ED6CA0">
              <w:rPr>
                <w:noProof/>
              </w:rPr>
            </w:r>
            <w:r w:rsidR="00ED6CA0">
              <w:rPr>
                <w:noProof/>
              </w:rPr>
              <w:fldChar w:fldCharType="separate"/>
            </w:r>
            <w:r w:rsidR="00166111">
              <w:rPr>
                <w:noProof/>
              </w:rPr>
              <w:t>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General observations</w:t>
            </w:r>
            <w:r>
              <w:rPr>
                <w:noProof/>
              </w:rPr>
              <w:tab/>
            </w:r>
            <w:r w:rsidR="00ED6CA0">
              <w:rPr>
                <w:noProof/>
              </w:rPr>
              <w:fldChar w:fldCharType="begin"/>
            </w:r>
            <w:r>
              <w:rPr>
                <w:noProof/>
              </w:rPr>
              <w:instrText xml:space="preserve"> PAGEREF _Toc307470418 \h </w:instrText>
            </w:r>
            <w:r w:rsidR="00ED6CA0">
              <w:rPr>
                <w:noProof/>
              </w:rPr>
            </w:r>
            <w:r w:rsidR="00ED6CA0">
              <w:rPr>
                <w:noProof/>
              </w:rPr>
              <w:fldChar w:fldCharType="separate"/>
            </w:r>
            <w:r w:rsidR="00166111">
              <w:rPr>
                <w:noProof/>
              </w:rPr>
              <w:t>6</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Observations by jurisdiction</w:t>
            </w:r>
            <w:r>
              <w:rPr>
                <w:noProof/>
              </w:rPr>
              <w:tab/>
            </w:r>
            <w:r w:rsidR="00ED6CA0">
              <w:rPr>
                <w:noProof/>
              </w:rPr>
              <w:fldChar w:fldCharType="begin"/>
            </w:r>
            <w:r>
              <w:rPr>
                <w:noProof/>
              </w:rPr>
              <w:instrText xml:space="preserve"> PAGEREF _Toc307470419 \h </w:instrText>
            </w:r>
            <w:r w:rsidR="00ED6CA0">
              <w:rPr>
                <w:noProof/>
              </w:rPr>
            </w:r>
            <w:r w:rsidR="00ED6CA0">
              <w:rPr>
                <w:noProof/>
              </w:rPr>
              <w:fldChar w:fldCharType="separate"/>
            </w:r>
            <w:r w:rsidR="00166111">
              <w:rPr>
                <w:noProof/>
              </w:rPr>
              <w:t>7</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4</w:t>
            </w:r>
            <w:r>
              <w:rPr>
                <w:rFonts w:asciiTheme="minorHAnsi" w:eastAsiaTheme="minorEastAsia" w:hAnsiTheme="minorHAnsi" w:cstheme="minorBidi"/>
                <w:noProof/>
                <w:color w:val="auto"/>
                <w:sz w:val="22"/>
                <w:szCs w:val="22"/>
                <w:lang w:eastAsia="en-AU"/>
              </w:rPr>
              <w:tab/>
            </w:r>
            <w:r>
              <w:rPr>
                <w:noProof/>
              </w:rPr>
              <w:t>Availability of information</w:t>
            </w:r>
            <w:r>
              <w:rPr>
                <w:noProof/>
              </w:rPr>
              <w:tab/>
            </w:r>
            <w:r w:rsidR="00ED6CA0">
              <w:rPr>
                <w:noProof/>
              </w:rPr>
              <w:fldChar w:fldCharType="begin"/>
            </w:r>
            <w:r>
              <w:rPr>
                <w:noProof/>
              </w:rPr>
              <w:instrText xml:space="preserve"> PAGEREF _Toc307470420 \h </w:instrText>
            </w:r>
            <w:r w:rsidR="00ED6CA0">
              <w:rPr>
                <w:noProof/>
              </w:rPr>
            </w:r>
            <w:r w:rsidR="00ED6CA0">
              <w:rPr>
                <w:noProof/>
              </w:rPr>
              <w:fldChar w:fldCharType="separate"/>
            </w:r>
            <w:r w:rsidR="00166111">
              <w:rPr>
                <w:noProof/>
              </w:rPr>
              <w:t>10</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Collection and availability of selected data</w:t>
            </w:r>
            <w:r>
              <w:rPr>
                <w:noProof/>
              </w:rPr>
              <w:tab/>
            </w:r>
            <w:r w:rsidR="00ED6CA0">
              <w:rPr>
                <w:noProof/>
              </w:rPr>
              <w:fldChar w:fldCharType="begin"/>
            </w:r>
            <w:r>
              <w:rPr>
                <w:noProof/>
              </w:rPr>
              <w:instrText xml:space="preserve"> PAGEREF _Toc307470421 \h </w:instrText>
            </w:r>
            <w:r w:rsidR="00ED6CA0">
              <w:rPr>
                <w:noProof/>
              </w:rPr>
            </w:r>
            <w:r w:rsidR="00ED6CA0">
              <w:rPr>
                <w:noProof/>
              </w:rPr>
              <w:fldChar w:fldCharType="separate"/>
            </w:r>
            <w:r w:rsidR="00166111">
              <w:rPr>
                <w:noProof/>
              </w:rPr>
              <w:t>10</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Key reporting pathways</w:t>
            </w:r>
            <w:r>
              <w:rPr>
                <w:noProof/>
              </w:rPr>
              <w:tab/>
            </w:r>
            <w:r w:rsidR="00ED6CA0">
              <w:rPr>
                <w:noProof/>
              </w:rPr>
              <w:fldChar w:fldCharType="begin"/>
            </w:r>
            <w:r>
              <w:rPr>
                <w:noProof/>
              </w:rPr>
              <w:instrText xml:space="preserve"> PAGEREF _Toc307470422 \h </w:instrText>
            </w:r>
            <w:r w:rsidR="00ED6CA0">
              <w:rPr>
                <w:noProof/>
              </w:rPr>
            </w:r>
            <w:r w:rsidR="00ED6CA0">
              <w:rPr>
                <w:noProof/>
              </w:rPr>
              <w:fldChar w:fldCharType="separate"/>
            </w:r>
            <w:r w:rsidR="00166111">
              <w:rPr>
                <w:noProof/>
              </w:rPr>
              <w:t>12</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5</w:t>
            </w:r>
            <w:r>
              <w:rPr>
                <w:rFonts w:asciiTheme="minorHAnsi" w:eastAsiaTheme="minorEastAsia" w:hAnsiTheme="minorHAnsi" w:cstheme="minorBidi"/>
                <w:noProof/>
                <w:color w:val="auto"/>
                <w:sz w:val="22"/>
                <w:szCs w:val="22"/>
                <w:lang w:eastAsia="en-AU"/>
              </w:rPr>
              <w:tab/>
            </w:r>
            <w:r>
              <w:rPr>
                <w:noProof/>
              </w:rPr>
              <w:t>Australian Local Governments</w:t>
            </w:r>
            <w:r>
              <w:rPr>
                <w:noProof/>
              </w:rPr>
              <w:tab/>
            </w:r>
            <w:r w:rsidR="00ED6CA0">
              <w:rPr>
                <w:noProof/>
              </w:rPr>
              <w:fldChar w:fldCharType="begin"/>
            </w:r>
            <w:r>
              <w:rPr>
                <w:noProof/>
              </w:rPr>
              <w:instrText xml:space="preserve"> PAGEREF _Toc307470423 \h </w:instrText>
            </w:r>
            <w:r w:rsidR="00ED6CA0">
              <w:rPr>
                <w:noProof/>
              </w:rPr>
            </w:r>
            <w:r w:rsidR="00ED6CA0">
              <w:rPr>
                <w:noProof/>
              </w:rPr>
              <w:fldChar w:fldCharType="separate"/>
            </w:r>
            <w:r w:rsidR="00166111">
              <w:rPr>
                <w:noProof/>
              </w:rPr>
              <w:t>19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Responsibilities</w:t>
            </w:r>
            <w:r>
              <w:rPr>
                <w:noProof/>
              </w:rPr>
              <w:tab/>
            </w:r>
            <w:r w:rsidR="00ED6CA0">
              <w:rPr>
                <w:noProof/>
              </w:rPr>
              <w:fldChar w:fldCharType="begin"/>
            </w:r>
            <w:r>
              <w:rPr>
                <w:noProof/>
              </w:rPr>
              <w:instrText xml:space="preserve"> PAGEREF _Toc307470424 \h </w:instrText>
            </w:r>
            <w:r w:rsidR="00ED6CA0">
              <w:rPr>
                <w:noProof/>
              </w:rPr>
            </w:r>
            <w:r w:rsidR="00ED6CA0">
              <w:rPr>
                <w:noProof/>
              </w:rPr>
              <w:fldChar w:fldCharType="separate"/>
            </w:r>
            <w:r w:rsidR="00166111">
              <w:rPr>
                <w:noProof/>
              </w:rPr>
              <w:t>19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Information pathways</w:t>
            </w:r>
            <w:r>
              <w:rPr>
                <w:noProof/>
              </w:rPr>
              <w:tab/>
            </w:r>
            <w:r w:rsidR="00ED6CA0">
              <w:rPr>
                <w:noProof/>
              </w:rPr>
              <w:fldChar w:fldCharType="begin"/>
            </w:r>
            <w:r>
              <w:rPr>
                <w:noProof/>
              </w:rPr>
              <w:instrText xml:space="preserve"> PAGEREF _Toc307470425 \h </w:instrText>
            </w:r>
            <w:r w:rsidR="00ED6CA0">
              <w:rPr>
                <w:noProof/>
              </w:rPr>
            </w:r>
            <w:r w:rsidR="00ED6CA0">
              <w:rPr>
                <w:noProof/>
              </w:rPr>
              <w:fldChar w:fldCharType="separate"/>
            </w:r>
            <w:r w:rsidR="00166111">
              <w:rPr>
                <w:noProof/>
              </w:rPr>
              <w:t>22</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6</w:t>
            </w:r>
            <w:r>
              <w:rPr>
                <w:rFonts w:asciiTheme="minorHAnsi" w:eastAsiaTheme="minorEastAsia" w:hAnsiTheme="minorHAnsi" w:cstheme="minorBidi"/>
                <w:noProof/>
                <w:color w:val="auto"/>
                <w:sz w:val="22"/>
                <w:szCs w:val="22"/>
                <w:lang w:eastAsia="en-AU"/>
              </w:rPr>
              <w:tab/>
            </w:r>
            <w:r>
              <w:rPr>
                <w:noProof/>
              </w:rPr>
              <w:t>New South Wales</w:t>
            </w:r>
            <w:r>
              <w:rPr>
                <w:noProof/>
              </w:rPr>
              <w:tab/>
            </w:r>
            <w:r w:rsidR="00ED6CA0">
              <w:rPr>
                <w:noProof/>
              </w:rPr>
              <w:fldChar w:fldCharType="begin"/>
            </w:r>
            <w:r>
              <w:rPr>
                <w:noProof/>
              </w:rPr>
              <w:instrText xml:space="preserve"> PAGEREF _Toc307470426 \h </w:instrText>
            </w:r>
            <w:r w:rsidR="00ED6CA0">
              <w:rPr>
                <w:noProof/>
              </w:rPr>
            </w:r>
            <w:r w:rsidR="00ED6CA0">
              <w:rPr>
                <w:noProof/>
              </w:rPr>
              <w:fldChar w:fldCharType="separate"/>
            </w:r>
            <w:r w:rsidR="00166111">
              <w:rPr>
                <w:noProof/>
              </w:rPr>
              <w:t>27</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The role of local government in NSW</w:t>
            </w:r>
            <w:r>
              <w:rPr>
                <w:noProof/>
              </w:rPr>
              <w:tab/>
            </w:r>
            <w:r w:rsidR="00ED6CA0">
              <w:rPr>
                <w:noProof/>
              </w:rPr>
              <w:fldChar w:fldCharType="begin"/>
            </w:r>
            <w:r>
              <w:rPr>
                <w:noProof/>
              </w:rPr>
              <w:instrText xml:space="preserve"> PAGEREF _Toc307470427 \h </w:instrText>
            </w:r>
            <w:r w:rsidR="00ED6CA0">
              <w:rPr>
                <w:noProof/>
              </w:rPr>
            </w:r>
            <w:r w:rsidR="00ED6CA0">
              <w:rPr>
                <w:noProof/>
              </w:rPr>
              <w:fldChar w:fldCharType="separate"/>
            </w:r>
            <w:r w:rsidR="00166111">
              <w:rPr>
                <w:noProof/>
              </w:rPr>
              <w:t>27</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6.2</w:t>
            </w:r>
            <w:r>
              <w:rPr>
                <w:rFonts w:asciiTheme="minorHAnsi" w:eastAsiaTheme="minorEastAsia" w:hAnsiTheme="minorHAnsi" w:cstheme="minorBidi"/>
                <w:noProof/>
                <w:sz w:val="22"/>
                <w:szCs w:val="22"/>
                <w:lang w:eastAsia="en-AU"/>
              </w:rPr>
              <w:tab/>
            </w:r>
            <w:r>
              <w:rPr>
                <w:noProof/>
                <w:lang w:eastAsia="en-AU"/>
              </w:rPr>
              <w:t>Groupings in NSW</w:t>
            </w:r>
            <w:r>
              <w:rPr>
                <w:noProof/>
              </w:rPr>
              <w:tab/>
            </w:r>
            <w:r w:rsidR="00ED6CA0">
              <w:rPr>
                <w:noProof/>
              </w:rPr>
              <w:fldChar w:fldCharType="begin"/>
            </w:r>
            <w:r>
              <w:rPr>
                <w:noProof/>
              </w:rPr>
              <w:instrText xml:space="preserve"> PAGEREF _Toc307470428 \h </w:instrText>
            </w:r>
            <w:r w:rsidR="00ED6CA0">
              <w:rPr>
                <w:noProof/>
              </w:rPr>
            </w:r>
            <w:r w:rsidR="00ED6CA0">
              <w:rPr>
                <w:noProof/>
              </w:rPr>
              <w:fldChar w:fldCharType="separate"/>
            </w:r>
            <w:r w:rsidR="00166111">
              <w:rPr>
                <w:noProof/>
              </w:rPr>
              <w:t>27</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6.3</w:t>
            </w:r>
            <w:r>
              <w:rPr>
                <w:rFonts w:asciiTheme="minorHAnsi" w:eastAsiaTheme="minorEastAsia" w:hAnsiTheme="minorHAnsi" w:cstheme="minorBidi"/>
                <w:noProof/>
                <w:sz w:val="22"/>
                <w:szCs w:val="22"/>
                <w:lang w:eastAsia="en-AU"/>
              </w:rPr>
              <w:tab/>
            </w:r>
            <w:r>
              <w:rPr>
                <w:noProof/>
                <w:lang w:eastAsia="en-AU"/>
              </w:rPr>
              <w:t>Information pathways in NSW</w:t>
            </w:r>
            <w:r>
              <w:rPr>
                <w:noProof/>
              </w:rPr>
              <w:tab/>
            </w:r>
            <w:r w:rsidR="00ED6CA0">
              <w:rPr>
                <w:noProof/>
              </w:rPr>
              <w:fldChar w:fldCharType="begin"/>
            </w:r>
            <w:r>
              <w:rPr>
                <w:noProof/>
              </w:rPr>
              <w:instrText xml:space="preserve"> PAGEREF _Toc307470429 \h </w:instrText>
            </w:r>
            <w:r w:rsidR="00ED6CA0">
              <w:rPr>
                <w:noProof/>
              </w:rPr>
            </w:r>
            <w:r w:rsidR="00ED6CA0">
              <w:rPr>
                <w:noProof/>
              </w:rPr>
              <w:fldChar w:fldCharType="separate"/>
            </w:r>
            <w:r w:rsidR="00166111">
              <w:rPr>
                <w:noProof/>
              </w:rPr>
              <w:t>31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Performance in NSW</w:t>
            </w:r>
            <w:r>
              <w:rPr>
                <w:noProof/>
              </w:rPr>
              <w:tab/>
            </w:r>
            <w:r w:rsidR="00ED6CA0">
              <w:rPr>
                <w:noProof/>
              </w:rPr>
              <w:fldChar w:fldCharType="begin"/>
            </w:r>
            <w:r>
              <w:rPr>
                <w:noProof/>
              </w:rPr>
              <w:instrText xml:space="preserve"> PAGEREF _Toc307470430 \h </w:instrText>
            </w:r>
            <w:r w:rsidR="00ED6CA0">
              <w:rPr>
                <w:noProof/>
              </w:rPr>
            </w:r>
            <w:r w:rsidR="00ED6CA0">
              <w:rPr>
                <w:noProof/>
              </w:rPr>
              <w:fldChar w:fldCharType="separate"/>
            </w:r>
            <w:r w:rsidR="00166111">
              <w:rPr>
                <w:noProof/>
              </w:rPr>
              <w:t>33</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Summary - NSW</w:t>
            </w:r>
            <w:r>
              <w:rPr>
                <w:noProof/>
              </w:rPr>
              <w:tab/>
            </w:r>
            <w:r w:rsidR="00ED6CA0">
              <w:rPr>
                <w:noProof/>
              </w:rPr>
              <w:fldChar w:fldCharType="begin"/>
            </w:r>
            <w:r>
              <w:rPr>
                <w:noProof/>
              </w:rPr>
              <w:instrText xml:space="preserve"> PAGEREF _Toc307470431 \h </w:instrText>
            </w:r>
            <w:r w:rsidR="00ED6CA0">
              <w:rPr>
                <w:noProof/>
              </w:rPr>
            </w:r>
            <w:r w:rsidR="00ED6CA0">
              <w:rPr>
                <w:noProof/>
              </w:rPr>
              <w:fldChar w:fldCharType="separate"/>
            </w:r>
            <w:r w:rsidR="00166111">
              <w:rPr>
                <w:noProof/>
              </w:rPr>
              <w:t>35</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7</w:t>
            </w:r>
            <w:r>
              <w:rPr>
                <w:rFonts w:asciiTheme="minorHAnsi" w:eastAsiaTheme="minorEastAsia" w:hAnsiTheme="minorHAnsi" w:cstheme="minorBidi"/>
                <w:noProof/>
                <w:color w:val="auto"/>
                <w:sz w:val="22"/>
                <w:szCs w:val="22"/>
                <w:lang w:eastAsia="en-AU"/>
              </w:rPr>
              <w:tab/>
            </w:r>
            <w:r>
              <w:rPr>
                <w:noProof/>
              </w:rPr>
              <w:t>Victoria</w:t>
            </w:r>
            <w:r>
              <w:rPr>
                <w:noProof/>
              </w:rPr>
              <w:tab/>
            </w:r>
            <w:r w:rsidR="00ED6CA0">
              <w:rPr>
                <w:noProof/>
              </w:rPr>
              <w:fldChar w:fldCharType="begin"/>
            </w:r>
            <w:r>
              <w:rPr>
                <w:noProof/>
              </w:rPr>
              <w:instrText xml:space="preserve"> PAGEREF _Toc307470432 \h </w:instrText>
            </w:r>
            <w:r w:rsidR="00ED6CA0">
              <w:rPr>
                <w:noProof/>
              </w:rPr>
            </w:r>
            <w:r w:rsidR="00ED6CA0">
              <w:rPr>
                <w:noProof/>
              </w:rPr>
              <w:fldChar w:fldCharType="separate"/>
            </w:r>
            <w:r w:rsidR="00166111">
              <w:rPr>
                <w:noProof/>
              </w:rPr>
              <w:t>37</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The role of local government in Victoria</w:t>
            </w:r>
            <w:r>
              <w:rPr>
                <w:noProof/>
              </w:rPr>
              <w:tab/>
            </w:r>
            <w:r w:rsidR="00ED6CA0">
              <w:rPr>
                <w:noProof/>
              </w:rPr>
              <w:fldChar w:fldCharType="begin"/>
            </w:r>
            <w:r>
              <w:rPr>
                <w:noProof/>
              </w:rPr>
              <w:instrText xml:space="preserve"> PAGEREF _Toc307470433 \h </w:instrText>
            </w:r>
            <w:r w:rsidR="00ED6CA0">
              <w:rPr>
                <w:noProof/>
              </w:rPr>
            </w:r>
            <w:r w:rsidR="00ED6CA0">
              <w:rPr>
                <w:noProof/>
              </w:rPr>
              <w:fldChar w:fldCharType="separate"/>
            </w:r>
            <w:r w:rsidR="00166111">
              <w:rPr>
                <w:noProof/>
              </w:rPr>
              <w:t>37</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Groupings in Victoria</w:t>
            </w:r>
            <w:r>
              <w:rPr>
                <w:noProof/>
              </w:rPr>
              <w:tab/>
            </w:r>
            <w:r w:rsidR="00ED6CA0">
              <w:rPr>
                <w:noProof/>
              </w:rPr>
              <w:fldChar w:fldCharType="begin"/>
            </w:r>
            <w:r>
              <w:rPr>
                <w:noProof/>
              </w:rPr>
              <w:instrText xml:space="preserve"> PAGEREF _Toc307470434 \h </w:instrText>
            </w:r>
            <w:r w:rsidR="00ED6CA0">
              <w:rPr>
                <w:noProof/>
              </w:rPr>
            </w:r>
            <w:r w:rsidR="00ED6CA0">
              <w:rPr>
                <w:noProof/>
              </w:rPr>
              <w:fldChar w:fldCharType="separate"/>
            </w:r>
            <w:r w:rsidR="00166111">
              <w:rPr>
                <w:noProof/>
              </w:rPr>
              <w:t>38</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Information pathways in Victoria</w:t>
            </w:r>
            <w:r>
              <w:rPr>
                <w:noProof/>
              </w:rPr>
              <w:tab/>
            </w:r>
            <w:r w:rsidR="00ED6CA0">
              <w:rPr>
                <w:noProof/>
              </w:rPr>
              <w:fldChar w:fldCharType="begin"/>
            </w:r>
            <w:r>
              <w:rPr>
                <w:noProof/>
              </w:rPr>
              <w:instrText xml:space="preserve"> PAGEREF _Toc307470435 \h </w:instrText>
            </w:r>
            <w:r w:rsidR="00ED6CA0">
              <w:rPr>
                <w:noProof/>
              </w:rPr>
            </w:r>
            <w:r w:rsidR="00ED6CA0">
              <w:rPr>
                <w:noProof/>
              </w:rPr>
              <w:fldChar w:fldCharType="separate"/>
            </w:r>
            <w:r w:rsidR="00166111">
              <w:rPr>
                <w:noProof/>
              </w:rPr>
              <w:t>42</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Performance in Victoria</w:t>
            </w:r>
            <w:r>
              <w:rPr>
                <w:noProof/>
              </w:rPr>
              <w:tab/>
            </w:r>
            <w:r w:rsidR="00ED6CA0">
              <w:rPr>
                <w:noProof/>
              </w:rPr>
              <w:fldChar w:fldCharType="begin"/>
            </w:r>
            <w:r>
              <w:rPr>
                <w:noProof/>
              </w:rPr>
              <w:instrText xml:space="preserve"> PAGEREF _Toc307470436 \h </w:instrText>
            </w:r>
            <w:r w:rsidR="00ED6CA0">
              <w:rPr>
                <w:noProof/>
              </w:rPr>
            </w:r>
            <w:r w:rsidR="00ED6CA0">
              <w:rPr>
                <w:noProof/>
              </w:rPr>
              <w:fldChar w:fldCharType="separate"/>
            </w:r>
            <w:r w:rsidR="00166111">
              <w:rPr>
                <w:noProof/>
              </w:rPr>
              <w:t>45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Summary - Victoria</w:t>
            </w:r>
            <w:r>
              <w:rPr>
                <w:noProof/>
              </w:rPr>
              <w:tab/>
            </w:r>
            <w:r w:rsidR="00ED6CA0">
              <w:rPr>
                <w:noProof/>
              </w:rPr>
              <w:fldChar w:fldCharType="begin"/>
            </w:r>
            <w:r>
              <w:rPr>
                <w:noProof/>
              </w:rPr>
              <w:instrText xml:space="preserve"> PAGEREF _Toc307470437 \h </w:instrText>
            </w:r>
            <w:r w:rsidR="00ED6CA0">
              <w:rPr>
                <w:noProof/>
              </w:rPr>
            </w:r>
            <w:r w:rsidR="00ED6CA0">
              <w:rPr>
                <w:noProof/>
              </w:rPr>
              <w:fldChar w:fldCharType="separate"/>
            </w:r>
            <w:r w:rsidR="00166111">
              <w:rPr>
                <w:noProof/>
              </w:rPr>
              <w:t>46</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8</w:t>
            </w:r>
            <w:r>
              <w:rPr>
                <w:rFonts w:asciiTheme="minorHAnsi" w:eastAsiaTheme="minorEastAsia" w:hAnsiTheme="minorHAnsi" w:cstheme="minorBidi"/>
                <w:noProof/>
                <w:color w:val="auto"/>
                <w:sz w:val="22"/>
                <w:szCs w:val="22"/>
                <w:lang w:eastAsia="en-AU"/>
              </w:rPr>
              <w:tab/>
            </w:r>
            <w:r>
              <w:rPr>
                <w:noProof/>
              </w:rPr>
              <w:t>Queensland</w:t>
            </w:r>
            <w:r>
              <w:rPr>
                <w:noProof/>
              </w:rPr>
              <w:tab/>
            </w:r>
            <w:r w:rsidR="00ED6CA0">
              <w:rPr>
                <w:noProof/>
              </w:rPr>
              <w:fldChar w:fldCharType="begin"/>
            </w:r>
            <w:r>
              <w:rPr>
                <w:noProof/>
              </w:rPr>
              <w:instrText xml:space="preserve"> PAGEREF _Toc307470438 \h </w:instrText>
            </w:r>
            <w:r w:rsidR="00ED6CA0">
              <w:rPr>
                <w:noProof/>
              </w:rPr>
            </w:r>
            <w:r w:rsidR="00ED6CA0">
              <w:rPr>
                <w:noProof/>
              </w:rPr>
              <w:fldChar w:fldCharType="separate"/>
            </w:r>
            <w:r w:rsidR="00166111">
              <w:rPr>
                <w:noProof/>
              </w:rPr>
              <w:t>48</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The role of local government in Queensland</w:t>
            </w:r>
            <w:r>
              <w:rPr>
                <w:noProof/>
              </w:rPr>
              <w:tab/>
            </w:r>
            <w:r w:rsidR="00ED6CA0">
              <w:rPr>
                <w:noProof/>
              </w:rPr>
              <w:fldChar w:fldCharType="begin"/>
            </w:r>
            <w:r>
              <w:rPr>
                <w:noProof/>
              </w:rPr>
              <w:instrText xml:space="preserve"> PAGEREF _Toc307470439 \h </w:instrText>
            </w:r>
            <w:r w:rsidR="00ED6CA0">
              <w:rPr>
                <w:noProof/>
              </w:rPr>
            </w:r>
            <w:r w:rsidR="00ED6CA0">
              <w:rPr>
                <w:noProof/>
              </w:rPr>
              <w:fldChar w:fldCharType="separate"/>
            </w:r>
            <w:r w:rsidR="00166111">
              <w:rPr>
                <w:noProof/>
              </w:rPr>
              <w:t>48</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Groupings in Queensland</w:t>
            </w:r>
            <w:r>
              <w:rPr>
                <w:noProof/>
              </w:rPr>
              <w:tab/>
            </w:r>
            <w:r w:rsidR="00ED6CA0">
              <w:rPr>
                <w:noProof/>
              </w:rPr>
              <w:fldChar w:fldCharType="begin"/>
            </w:r>
            <w:r>
              <w:rPr>
                <w:noProof/>
              </w:rPr>
              <w:instrText xml:space="preserve"> PAGEREF _Toc307470440 \h </w:instrText>
            </w:r>
            <w:r w:rsidR="00ED6CA0">
              <w:rPr>
                <w:noProof/>
              </w:rPr>
            </w:r>
            <w:r w:rsidR="00ED6CA0">
              <w:rPr>
                <w:noProof/>
              </w:rPr>
              <w:fldChar w:fldCharType="separate"/>
            </w:r>
            <w:r w:rsidR="00166111">
              <w:rPr>
                <w:noProof/>
              </w:rPr>
              <w:t>50</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Information pathways in Queensland</w:t>
            </w:r>
            <w:r>
              <w:rPr>
                <w:noProof/>
              </w:rPr>
              <w:tab/>
            </w:r>
            <w:r w:rsidR="00ED6CA0">
              <w:rPr>
                <w:noProof/>
              </w:rPr>
              <w:fldChar w:fldCharType="begin"/>
            </w:r>
            <w:r>
              <w:rPr>
                <w:noProof/>
              </w:rPr>
              <w:instrText xml:space="preserve"> PAGEREF _Toc307470441 \h </w:instrText>
            </w:r>
            <w:r w:rsidR="00ED6CA0">
              <w:rPr>
                <w:noProof/>
              </w:rPr>
            </w:r>
            <w:r w:rsidR="00ED6CA0">
              <w:rPr>
                <w:noProof/>
              </w:rPr>
              <w:fldChar w:fldCharType="separate"/>
            </w:r>
            <w:r w:rsidR="00166111">
              <w:rPr>
                <w:noProof/>
              </w:rPr>
              <w:t>51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Performance in Queensland</w:t>
            </w:r>
            <w:r>
              <w:rPr>
                <w:noProof/>
              </w:rPr>
              <w:tab/>
            </w:r>
            <w:r w:rsidR="00ED6CA0">
              <w:rPr>
                <w:noProof/>
              </w:rPr>
              <w:fldChar w:fldCharType="begin"/>
            </w:r>
            <w:r>
              <w:rPr>
                <w:noProof/>
              </w:rPr>
              <w:instrText xml:space="preserve"> PAGEREF _Toc307470442 \h </w:instrText>
            </w:r>
            <w:r w:rsidR="00ED6CA0">
              <w:rPr>
                <w:noProof/>
              </w:rPr>
            </w:r>
            <w:r w:rsidR="00ED6CA0">
              <w:rPr>
                <w:noProof/>
              </w:rPr>
              <w:fldChar w:fldCharType="separate"/>
            </w:r>
            <w:r w:rsidR="00166111">
              <w:rPr>
                <w:noProof/>
              </w:rPr>
              <w:t>55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Summary – Queensland</w:t>
            </w:r>
            <w:r>
              <w:rPr>
                <w:noProof/>
              </w:rPr>
              <w:tab/>
            </w:r>
            <w:r w:rsidR="00ED6CA0">
              <w:rPr>
                <w:noProof/>
              </w:rPr>
              <w:fldChar w:fldCharType="begin"/>
            </w:r>
            <w:r>
              <w:rPr>
                <w:noProof/>
              </w:rPr>
              <w:instrText xml:space="preserve"> PAGEREF _Toc307470443 \h </w:instrText>
            </w:r>
            <w:r w:rsidR="00ED6CA0">
              <w:rPr>
                <w:noProof/>
              </w:rPr>
            </w:r>
            <w:r w:rsidR="00ED6CA0">
              <w:rPr>
                <w:noProof/>
              </w:rPr>
              <w:fldChar w:fldCharType="separate"/>
            </w:r>
            <w:r w:rsidR="00166111">
              <w:rPr>
                <w:noProof/>
              </w:rPr>
              <w:t>57</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9</w:t>
            </w:r>
            <w:r>
              <w:rPr>
                <w:rFonts w:asciiTheme="minorHAnsi" w:eastAsiaTheme="minorEastAsia" w:hAnsiTheme="minorHAnsi" w:cstheme="minorBidi"/>
                <w:noProof/>
                <w:color w:val="auto"/>
                <w:sz w:val="22"/>
                <w:szCs w:val="22"/>
                <w:lang w:eastAsia="en-AU"/>
              </w:rPr>
              <w:tab/>
            </w:r>
            <w:r>
              <w:rPr>
                <w:noProof/>
              </w:rPr>
              <w:t>South Australia</w:t>
            </w:r>
            <w:r>
              <w:rPr>
                <w:noProof/>
              </w:rPr>
              <w:tab/>
            </w:r>
            <w:r w:rsidR="00ED6CA0">
              <w:rPr>
                <w:noProof/>
              </w:rPr>
              <w:fldChar w:fldCharType="begin"/>
            </w:r>
            <w:r>
              <w:rPr>
                <w:noProof/>
              </w:rPr>
              <w:instrText xml:space="preserve"> PAGEREF _Toc307470444 \h </w:instrText>
            </w:r>
            <w:r w:rsidR="00ED6CA0">
              <w:rPr>
                <w:noProof/>
              </w:rPr>
            </w:r>
            <w:r w:rsidR="00ED6CA0">
              <w:rPr>
                <w:noProof/>
              </w:rPr>
              <w:fldChar w:fldCharType="separate"/>
            </w:r>
            <w:r w:rsidR="00166111">
              <w:rPr>
                <w:noProof/>
              </w:rPr>
              <w:t>59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The role of local government in South Australia</w:t>
            </w:r>
            <w:r>
              <w:rPr>
                <w:noProof/>
              </w:rPr>
              <w:tab/>
            </w:r>
            <w:r w:rsidR="00ED6CA0">
              <w:rPr>
                <w:noProof/>
              </w:rPr>
              <w:fldChar w:fldCharType="begin"/>
            </w:r>
            <w:r>
              <w:rPr>
                <w:noProof/>
              </w:rPr>
              <w:instrText xml:space="preserve"> PAGEREF _Toc307470445 \h </w:instrText>
            </w:r>
            <w:r w:rsidR="00ED6CA0">
              <w:rPr>
                <w:noProof/>
              </w:rPr>
            </w:r>
            <w:r w:rsidR="00ED6CA0">
              <w:rPr>
                <w:noProof/>
              </w:rPr>
              <w:fldChar w:fldCharType="separate"/>
            </w:r>
            <w:r w:rsidR="00166111">
              <w:rPr>
                <w:noProof/>
              </w:rPr>
              <w:t>59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Groupings in South Australia</w:t>
            </w:r>
            <w:r>
              <w:rPr>
                <w:noProof/>
              </w:rPr>
              <w:tab/>
            </w:r>
            <w:r w:rsidR="00ED6CA0">
              <w:rPr>
                <w:noProof/>
              </w:rPr>
              <w:fldChar w:fldCharType="begin"/>
            </w:r>
            <w:r>
              <w:rPr>
                <w:noProof/>
              </w:rPr>
              <w:instrText xml:space="preserve"> PAGEREF _Toc307470446 \h </w:instrText>
            </w:r>
            <w:r w:rsidR="00ED6CA0">
              <w:rPr>
                <w:noProof/>
              </w:rPr>
            </w:r>
            <w:r w:rsidR="00ED6CA0">
              <w:rPr>
                <w:noProof/>
              </w:rPr>
              <w:fldChar w:fldCharType="separate"/>
            </w:r>
            <w:r w:rsidR="00166111">
              <w:rPr>
                <w:noProof/>
              </w:rPr>
              <w:t>59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Information pathways in South Australia</w:t>
            </w:r>
            <w:r>
              <w:rPr>
                <w:noProof/>
              </w:rPr>
              <w:tab/>
            </w:r>
            <w:r w:rsidR="00ED6CA0">
              <w:rPr>
                <w:noProof/>
              </w:rPr>
              <w:fldChar w:fldCharType="begin"/>
            </w:r>
            <w:r>
              <w:rPr>
                <w:noProof/>
              </w:rPr>
              <w:instrText xml:space="preserve"> PAGEREF _Toc307470447 \h </w:instrText>
            </w:r>
            <w:r w:rsidR="00ED6CA0">
              <w:rPr>
                <w:noProof/>
              </w:rPr>
            </w:r>
            <w:r w:rsidR="00ED6CA0">
              <w:rPr>
                <w:noProof/>
              </w:rPr>
              <w:fldChar w:fldCharType="separate"/>
            </w:r>
            <w:r w:rsidR="00166111">
              <w:rPr>
                <w:noProof/>
              </w:rPr>
              <w:t>61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Performance in South Australia</w:t>
            </w:r>
            <w:r>
              <w:rPr>
                <w:noProof/>
              </w:rPr>
              <w:tab/>
            </w:r>
            <w:r w:rsidR="00ED6CA0">
              <w:rPr>
                <w:noProof/>
              </w:rPr>
              <w:fldChar w:fldCharType="begin"/>
            </w:r>
            <w:r>
              <w:rPr>
                <w:noProof/>
              </w:rPr>
              <w:instrText xml:space="preserve"> PAGEREF _Toc307470448 \h </w:instrText>
            </w:r>
            <w:r w:rsidR="00ED6CA0">
              <w:rPr>
                <w:noProof/>
              </w:rPr>
            </w:r>
            <w:r w:rsidR="00ED6CA0">
              <w:rPr>
                <w:noProof/>
              </w:rPr>
              <w:fldChar w:fldCharType="separate"/>
            </w:r>
            <w:r w:rsidR="00166111">
              <w:rPr>
                <w:noProof/>
              </w:rPr>
              <w:t>62</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lastRenderedPageBreak/>
              <w:t>9.5</w:t>
            </w:r>
            <w:r>
              <w:rPr>
                <w:rFonts w:asciiTheme="minorHAnsi" w:eastAsiaTheme="minorEastAsia" w:hAnsiTheme="minorHAnsi" w:cstheme="minorBidi"/>
                <w:noProof/>
                <w:sz w:val="22"/>
                <w:szCs w:val="22"/>
                <w:lang w:eastAsia="en-AU"/>
              </w:rPr>
              <w:tab/>
            </w:r>
            <w:r>
              <w:rPr>
                <w:noProof/>
              </w:rPr>
              <w:t>Summary - South Australia</w:t>
            </w:r>
            <w:r>
              <w:rPr>
                <w:noProof/>
              </w:rPr>
              <w:tab/>
            </w:r>
            <w:r w:rsidR="00ED6CA0">
              <w:rPr>
                <w:noProof/>
              </w:rPr>
              <w:fldChar w:fldCharType="begin"/>
            </w:r>
            <w:r>
              <w:rPr>
                <w:noProof/>
              </w:rPr>
              <w:instrText xml:space="preserve"> PAGEREF _Toc307470449 \h </w:instrText>
            </w:r>
            <w:r w:rsidR="00ED6CA0">
              <w:rPr>
                <w:noProof/>
              </w:rPr>
            </w:r>
            <w:r w:rsidR="00ED6CA0">
              <w:rPr>
                <w:noProof/>
              </w:rPr>
              <w:fldChar w:fldCharType="separate"/>
            </w:r>
            <w:r w:rsidR="00166111">
              <w:rPr>
                <w:noProof/>
              </w:rPr>
              <w:t>62</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10</w:t>
            </w:r>
            <w:r>
              <w:rPr>
                <w:rFonts w:asciiTheme="minorHAnsi" w:eastAsiaTheme="minorEastAsia" w:hAnsiTheme="minorHAnsi" w:cstheme="minorBidi"/>
                <w:noProof/>
                <w:color w:val="auto"/>
                <w:sz w:val="22"/>
                <w:szCs w:val="22"/>
                <w:lang w:eastAsia="en-AU"/>
              </w:rPr>
              <w:tab/>
            </w:r>
            <w:r>
              <w:rPr>
                <w:noProof/>
              </w:rPr>
              <w:t>Western Australia</w:t>
            </w:r>
            <w:r>
              <w:rPr>
                <w:noProof/>
              </w:rPr>
              <w:tab/>
            </w:r>
            <w:r w:rsidR="00ED6CA0">
              <w:rPr>
                <w:noProof/>
              </w:rPr>
              <w:fldChar w:fldCharType="begin"/>
            </w:r>
            <w:r>
              <w:rPr>
                <w:noProof/>
              </w:rPr>
              <w:instrText xml:space="preserve"> PAGEREF _Toc307470450 \h </w:instrText>
            </w:r>
            <w:r w:rsidR="00ED6CA0">
              <w:rPr>
                <w:noProof/>
              </w:rPr>
            </w:r>
            <w:r w:rsidR="00ED6CA0">
              <w:rPr>
                <w:noProof/>
              </w:rPr>
              <w:fldChar w:fldCharType="separate"/>
            </w:r>
            <w:r w:rsidR="00166111">
              <w:rPr>
                <w:noProof/>
              </w:rPr>
              <w:t>64</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The role of local government in Western Australia</w:t>
            </w:r>
            <w:r>
              <w:rPr>
                <w:noProof/>
              </w:rPr>
              <w:tab/>
            </w:r>
            <w:r w:rsidR="00ED6CA0">
              <w:rPr>
                <w:noProof/>
              </w:rPr>
              <w:fldChar w:fldCharType="begin"/>
            </w:r>
            <w:r>
              <w:rPr>
                <w:noProof/>
              </w:rPr>
              <w:instrText xml:space="preserve"> PAGEREF _Toc307470451 \h </w:instrText>
            </w:r>
            <w:r w:rsidR="00ED6CA0">
              <w:rPr>
                <w:noProof/>
              </w:rPr>
            </w:r>
            <w:r w:rsidR="00ED6CA0">
              <w:rPr>
                <w:noProof/>
              </w:rPr>
              <w:fldChar w:fldCharType="separate"/>
            </w:r>
            <w:r w:rsidR="00166111">
              <w:rPr>
                <w:noProof/>
              </w:rPr>
              <w:t>64</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Groupings in Western Australia</w:t>
            </w:r>
            <w:r>
              <w:rPr>
                <w:noProof/>
              </w:rPr>
              <w:tab/>
            </w:r>
            <w:r w:rsidR="00ED6CA0">
              <w:rPr>
                <w:noProof/>
              </w:rPr>
              <w:fldChar w:fldCharType="begin"/>
            </w:r>
            <w:r>
              <w:rPr>
                <w:noProof/>
              </w:rPr>
              <w:instrText xml:space="preserve"> PAGEREF _Toc307470452 \h </w:instrText>
            </w:r>
            <w:r w:rsidR="00ED6CA0">
              <w:rPr>
                <w:noProof/>
              </w:rPr>
            </w:r>
            <w:r w:rsidR="00ED6CA0">
              <w:rPr>
                <w:noProof/>
              </w:rPr>
              <w:fldChar w:fldCharType="separate"/>
            </w:r>
            <w:r w:rsidR="00166111">
              <w:rPr>
                <w:noProof/>
              </w:rPr>
              <w:t>66</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Information pathways in Western Australia</w:t>
            </w:r>
            <w:r>
              <w:rPr>
                <w:noProof/>
              </w:rPr>
              <w:tab/>
            </w:r>
            <w:r w:rsidR="00ED6CA0">
              <w:rPr>
                <w:noProof/>
              </w:rPr>
              <w:fldChar w:fldCharType="begin"/>
            </w:r>
            <w:r>
              <w:rPr>
                <w:noProof/>
              </w:rPr>
              <w:instrText xml:space="preserve"> PAGEREF _Toc307470453 \h </w:instrText>
            </w:r>
            <w:r w:rsidR="00ED6CA0">
              <w:rPr>
                <w:noProof/>
              </w:rPr>
            </w:r>
            <w:r w:rsidR="00ED6CA0">
              <w:rPr>
                <w:noProof/>
              </w:rPr>
              <w:fldChar w:fldCharType="separate"/>
            </w:r>
            <w:r w:rsidR="00166111">
              <w:rPr>
                <w:noProof/>
              </w:rPr>
              <w:t>66</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Performance in Western Australia</w:t>
            </w:r>
            <w:r>
              <w:rPr>
                <w:noProof/>
              </w:rPr>
              <w:tab/>
            </w:r>
            <w:r w:rsidR="00ED6CA0">
              <w:rPr>
                <w:noProof/>
              </w:rPr>
              <w:fldChar w:fldCharType="begin"/>
            </w:r>
            <w:r>
              <w:rPr>
                <w:noProof/>
              </w:rPr>
              <w:instrText xml:space="preserve"> PAGEREF _Toc307470454 \h </w:instrText>
            </w:r>
            <w:r w:rsidR="00ED6CA0">
              <w:rPr>
                <w:noProof/>
              </w:rPr>
            </w:r>
            <w:r w:rsidR="00ED6CA0">
              <w:rPr>
                <w:noProof/>
              </w:rPr>
              <w:fldChar w:fldCharType="separate"/>
            </w:r>
            <w:r w:rsidR="00166111">
              <w:rPr>
                <w:noProof/>
              </w:rPr>
              <w:t>69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Summary – Western Australia</w:t>
            </w:r>
            <w:r>
              <w:rPr>
                <w:noProof/>
              </w:rPr>
              <w:tab/>
            </w:r>
            <w:r w:rsidR="00ED6CA0">
              <w:rPr>
                <w:noProof/>
              </w:rPr>
              <w:fldChar w:fldCharType="begin"/>
            </w:r>
            <w:r>
              <w:rPr>
                <w:noProof/>
              </w:rPr>
              <w:instrText xml:space="preserve"> PAGEREF _Toc307470455 \h </w:instrText>
            </w:r>
            <w:r w:rsidR="00ED6CA0">
              <w:rPr>
                <w:noProof/>
              </w:rPr>
            </w:r>
            <w:r w:rsidR="00ED6CA0">
              <w:rPr>
                <w:noProof/>
              </w:rPr>
              <w:fldChar w:fldCharType="separate"/>
            </w:r>
            <w:r w:rsidR="00166111">
              <w:rPr>
                <w:noProof/>
              </w:rPr>
              <w:t>69</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11</w:t>
            </w:r>
            <w:r>
              <w:rPr>
                <w:rFonts w:asciiTheme="minorHAnsi" w:eastAsiaTheme="minorEastAsia" w:hAnsiTheme="minorHAnsi" w:cstheme="minorBidi"/>
                <w:noProof/>
                <w:color w:val="auto"/>
                <w:sz w:val="22"/>
                <w:szCs w:val="22"/>
                <w:lang w:eastAsia="en-AU"/>
              </w:rPr>
              <w:tab/>
            </w:r>
            <w:r>
              <w:rPr>
                <w:noProof/>
              </w:rPr>
              <w:t>Tasmania</w:t>
            </w:r>
            <w:r>
              <w:rPr>
                <w:noProof/>
              </w:rPr>
              <w:tab/>
            </w:r>
            <w:r w:rsidR="00ED6CA0">
              <w:rPr>
                <w:noProof/>
              </w:rPr>
              <w:fldChar w:fldCharType="begin"/>
            </w:r>
            <w:r>
              <w:rPr>
                <w:noProof/>
              </w:rPr>
              <w:instrText xml:space="preserve"> PAGEREF _Toc307470456 \h </w:instrText>
            </w:r>
            <w:r w:rsidR="00ED6CA0">
              <w:rPr>
                <w:noProof/>
              </w:rPr>
            </w:r>
            <w:r w:rsidR="00ED6CA0">
              <w:rPr>
                <w:noProof/>
              </w:rPr>
              <w:fldChar w:fldCharType="separate"/>
            </w:r>
            <w:r w:rsidR="00166111">
              <w:rPr>
                <w:noProof/>
              </w:rPr>
              <w:t>71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The role of local government in Tasmania</w:t>
            </w:r>
            <w:r>
              <w:rPr>
                <w:noProof/>
              </w:rPr>
              <w:tab/>
            </w:r>
            <w:r w:rsidR="00ED6CA0">
              <w:rPr>
                <w:noProof/>
              </w:rPr>
              <w:fldChar w:fldCharType="begin"/>
            </w:r>
            <w:r>
              <w:rPr>
                <w:noProof/>
              </w:rPr>
              <w:instrText xml:space="preserve"> PAGEREF _Toc307470457 \h </w:instrText>
            </w:r>
            <w:r w:rsidR="00ED6CA0">
              <w:rPr>
                <w:noProof/>
              </w:rPr>
            </w:r>
            <w:r w:rsidR="00ED6CA0">
              <w:rPr>
                <w:noProof/>
              </w:rPr>
              <w:fldChar w:fldCharType="separate"/>
            </w:r>
            <w:r w:rsidR="00166111">
              <w:rPr>
                <w:noProof/>
              </w:rPr>
              <w:t>71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Groupings in Tasmania</w:t>
            </w:r>
            <w:r>
              <w:rPr>
                <w:noProof/>
              </w:rPr>
              <w:tab/>
            </w:r>
            <w:r w:rsidR="00ED6CA0">
              <w:rPr>
                <w:noProof/>
              </w:rPr>
              <w:fldChar w:fldCharType="begin"/>
            </w:r>
            <w:r>
              <w:rPr>
                <w:noProof/>
              </w:rPr>
              <w:instrText xml:space="preserve"> PAGEREF _Toc307470458 \h </w:instrText>
            </w:r>
            <w:r w:rsidR="00ED6CA0">
              <w:rPr>
                <w:noProof/>
              </w:rPr>
            </w:r>
            <w:r w:rsidR="00ED6CA0">
              <w:rPr>
                <w:noProof/>
              </w:rPr>
              <w:fldChar w:fldCharType="separate"/>
            </w:r>
            <w:r w:rsidR="00166111">
              <w:rPr>
                <w:noProof/>
              </w:rPr>
              <w:t>72</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11.3</w:t>
            </w:r>
            <w:r>
              <w:rPr>
                <w:rFonts w:asciiTheme="minorHAnsi" w:eastAsiaTheme="minorEastAsia" w:hAnsiTheme="minorHAnsi" w:cstheme="minorBidi"/>
                <w:noProof/>
                <w:sz w:val="22"/>
                <w:szCs w:val="22"/>
                <w:lang w:eastAsia="en-AU"/>
              </w:rPr>
              <w:tab/>
            </w:r>
            <w:r>
              <w:rPr>
                <w:noProof/>
              </w:rPr>
              <w:t>Information pathways in Tasmania</w:t>
            </w:r>
            <w:r>
              <w:rPr>
                <w:noProof/>
              </w:rPr>
              <w:tab/>
            </w:r>
            <w:r w:rsidR="00ED6CA0">
              <w:rPr>
                <w:noProof/>
              </w:rPr>
              <w:fldChar w:fldCharType="begin"/>
            </w:r>
            <w:r>
              <w:rPr>
                <w:noProof/>
              </w:rPr>
              <w:instrText xml:space="preserve"> PAGEREF _Toc307470459 \h </w:instrText>
            </w:r>
            <w:r w:rsidR="00ED6CA0">
              <w:rPr>
                <w:noProof/>
              </w:rPr>
            </w:r>
            <w:r w:rsidR="00ED6CA0">
              <w:rPr>
                <w:noProof/>
              </w:rPr>
              <w:fldChar w:fldCharType="separate"/>
            </w:r>
            <w:r w:rsidR="00166111">
              <w:rPr>
                <w:noProof/>
              </w:rPr>
              <w:t>73</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11.4</w:t>
            </w:r>
            <w:r>
              <w:rPr>
                <w:rFonts w:asciiTheme="minorHAnsi" w:eastAsiaTheme="minorEastAsia" w:hAnsiTheme="minorHAnsi" w:cstheme="minorBidi"/>
                <w:noProof/>
                <w:sz w:val="22"/>
                <w:szCs w:val="22"/>
                <w:lang w:eastAsia="en-AU"/>
              </w:rPr>
              <w:tab/>
            </w:r>
            <w:r>
              <w:rPr>
                <w:noProof/>
              </w:rPr>
              <w:t>Performance in Tasmania</w:t>
            </w:r>
            <w:r>
              <w:rPr>
                <w:noProof/>
              </w:rPr>
              <w:tab/>
            </w:r>
            <w:r w:rsidR="00ED6CA0">
              <w:rPr>
                <w:noProof/>
              </w:rPr>
              <w:fldChar w:fldCharType="begin"/>
            </w:r>
            <w:r>
              <w:rPr>
                <w:noProof/>
              </w:rPr>
              <w:instrText xml:space="preserve"> PAGEREF _Toc307470460 \h </w:instrText>
            </w:r>
            <w:r w:rsidR="00ED6CA0">
              <w:rPr>
                <w:noProof/>
              </w:rPr>
            </w:r>
            <w:r w:rsidR="00ED6CA0">
              <w:rPr>
                <w:noProof/>
              </w:rPr>
              <w:fldChar w:fldCharType="separate"/>
            </w:r>
            <w:r w:rsidR="00166111">
              <w:rPr>
                <w:noProof/>
              </w:rPr>
              <w:t>76</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11.5</w:t>
            </w:r>
            <w:r>
              <w:rPr>
                <w:rFonts w:asciiTheme="minorHAnsi" w:eastAsiaTheme="minorEastAsia" w:hAnsiTheme="minorHAnsi" w:cstheme="minorBidi"/>
                <w:noProof/>
                <w:sz w:val="22"/>
                <w:szCs w:val="22"/>
                <w:lang w:eastAsia="en-AU"/>
              </w:rPr>
              <w:tab/>
            </w:r>
            <w:r>
              <w:rPr>
                <w:noProof/>
              </w:rPr>
              <w:t>Summary – Tasmania</w:t>
            </w:r>
            <w:r>
              <w:rPr>
                <w:noProof/>
              </w:rPr>
              <w:tab/>
            </w:r>
            <w:r w:rsidR="00ED6CA0">
              <w:rPr>
                <w:noProof/>
              </w:rPr>
              <w:fldChar w:fldCharType="begin"/>
            </w:r>
            <w:r>
              <w:rPr>
                <w:noProof/>
              </w:rPr>
              <w:instrText xml:space="preserve"> PAGEREF _Toc307470461 \h </w:instrText>
            </w:r>
            <w:r w:rsidR="00ED6CA0">
              <w:rPr>
                <w:noProof/>
              </w:rPr>
            </w:r>
            <w:r w:rsidR="00ED6CA0">
              <w:rPr>
                <w:noProof/>
              </w:rPr>
              <w:fldChar w:fldCharType="separate"/>
            </w:r>
            <w:r w:rsidR="00166111">
              <w:rPr>
                <w:noProof/>
              </w:rPr>
              <w:t>77</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12</w:t>
            </w:r>
            <w:r>
              <w:rPr>
                <w:rFonts w:asciiTheme="minorHAnsi" w:eastAsiaTheme="minorEastAsia" w:hAnsiTheme="minorHAnsi" w:cstheme="minorBidi"/>
                <w:noProof/>
                <w:color w:val="auto"/>
                <w:sz w:val="22"/>
                <w:szCs w:val="22"/>
                <w:lang w:eastAsia="en-AU"/>
              </w:rPr>
              <w:tab/>
            </w:r>
            <w:r>
              <w:rPr>
                <w:noProof/>
              </w:rPr>
              <w:t>Australian Capital Territory</w:t>
            </w:r>
            <w:r>
              <w:rPr>
                <w:noProof/>
              </w:rPr>
              <w:tab/>
            </w:r>
            <w:r w:rsidR="00ED6CA0">
              <w:rPr>
                <w:noProof/>
              </w:rPr>
              <w:fldChar w:fldCharType="begin"/>
            </w:r>
            <w:r>
              <w:rPr>
                <w:noProof/>
              </w:rPr>
              <w:instrText xml:space="preserve"> PAGEREF _Toc307470462 \h </w:instrText>
            </w:r>
            <w:r w:rsidR="00ED6CA0">
              <w:rPr>
                <w:noProof/>
              </w:rPr>
            </w:r>
            <w:r w:rsidR="00ED6CA0">
              <w:rPr>
                <w:noProof/>
              </w:rPr>
              <w:fldChar w:fldCharType="separate"/>
            </w:r>
            <w:r w:rsidR="00166111">
              <w:rPr>
                <w:noProof/>
              </w:rPr>
              <w:t>79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Legislation in the ACT</w:t>
            </w:r>
            <w:r>
              <w:rPr>
                <w:noProof/>
              </w:rPr>
              <w:tab/>
            </w:r>
            <w:r w:rsidR="00ED6CA0">
              <w:rPr>
                <w:noProof/>
              </w:rPr>
              <w:fldChar w:fldCharType="begin"/>
            </w:r>
            <w:r>
              <w:rPr>
                <w:noProof/>
              </w:rPr>
              <w:instrText xml:space="preserve"> PAGEREF _Toc307470463 \h </w:instrText>
            </w:r>
            <w:r w:rsidR="00ED6CA0">
              <w:rPr>
                <w:noProof/>
              </w:rPr>
            </w:r>
            <w:r w:rsidR="00ED6CA0">
              <w:rPr>
                <w:noProof/>
              </w:rPr>
              <w:fldChar w:fldCharType="separate"/>
            </w:r>
            <w:r w:rsidR="00166111">
              <w:rPr>
                <w:noProof/>
              </w:rPr>
              <w:t>79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Information pathways in the ACT</w:t>
            </w:r>
            <w:r>
              <w:rPr>
                <w:noProof/>
              </w:rPr>
              <w:tab/>
            </w:r>
            <w:r w:rsidR="00ED6CA0">
              <w:rPr>
                <w:noProof/>
              </w:rPr>
              <w:fldChar w:fldCharType="begin"/>
            </w:r>
            <w:r>
              <w:rPr>
                <w:noProof/>
              </w:rPr>
              <w:instrText xml:space="preserve"> PAGEREF _Toc307470464 \h </w:instrText>
            </w:r>
            <w:r w:rsidR="00ED6CA0">
              <w:rPr>
                <w:noProof/>
              </w:rPr>
            </w:r>
            <w:r w:rsidR="00ED6CA0">
              <w:rPr>
                <w:noProof/>
              </w:rPr>
              <w:fldChar w:fldCharType="separate"/>
            </w:r>
            <w:r w:rsidR="00166111">
              <w:rPr>
                <w:noProof/>
              </w:rPr>
              <w:t>79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Performance in the ACT</w:t>
            </w:r>
            <w:r>
              <w:rPr>
                <w:noProof/>
              </w:rPr>
              <w:tab/>
            </w:r>
            <w:r w:rsidR="00ED6CA0">
              <w:rPr>
                <w:noProof/>
              </w:rPr>
              <w:fldChar w:fldCharType="begin"/>
            </w:r>
            <w:r>
              <w:rPr>
                <w:noProof/>
              </w:rPr>
              <w:instrText xml:space="preserve"> PAGEREF _Toc307470465 \h </w:instrText>
            </w:r>
            <w:r w:rsidR="00ED6CA0">
              <w:rPr>
                <w:noProof/>
              </w:rPr>
            </w:r>
            <w:r w:rsidR="00ED6CA0">
              <w:rPr>
                <w:noProof/>
              </w:rPr>
              <w:fldChar w:fldCharType="separate"/>
            </w:r>
            <w:r w:rsidR="00166111">
              <w:rPr>
                <w:noProof/>
              </w:rPr>
              <w:t>80</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Summary - ACT</w:t>
            </w:r>
            <w:r>
              <w:rPr>
                <w:noProof/>
              </w:rPr>
              <w:tab/>
            </w:r>
            <w:r w:rsidR="00ED6CA0">
              <w:rPr>
                <w:noProof/>
              </w:rPr>
              <w:fldChar w:fldCharType="begin"/>
            </w:r>
            <w:r>
              <w:rPr>
                <w:noProof/>
              </w:rPr>
              <w:instrText xml:space="preserve"> PAGEREF _Toc307470466 \h </w:instrText>
            </w:r>
            <w:r w:rsidR="00ED6CA0">
              <w:rPr>
                <w:noProof/>
              </w:rPr>
            </w:r>
            <w:r w:rsidR="00ED6CA0">
              <w:rPr>
                <w:noProof/>
              </w:rPr>
              <w:fldChar w:fldCharType="separate"/>
            </w:r>
            <w:r w:rsidR="00166111">
              <w:rPr>
                <w:noProof/>
              </w:rPr>
              <w:t>80</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13</w:t>
            </w:r>
            <w:r>
              <w:rPr>
                <w:rFonts w:asciiTheme="minorHAnsi" w:eastAsiaTheme="minorEastAsia" w:hAnsiTheme="minorHAnsi" w:cstheme="minorBidi"/>
                <w:noProof/>
                <w:color w:val="auto"/>
                <w:sz w:val="22"/>
                <w:szCs w:val="22"/>
                <w:lang w:eastAsia="en-AU"/>
              </w:rPr>
              <w:tab/>
            </w:r>
            <w:r>
              <w:rPr>
                <w:noProof/>
              </w:rPr>
              <w:t>Northern Territory</w:t>
            </w:r>
            <w:r>
              <w:rPr>
                <w:noProof/>
              </w:rPr>
              <w:tab/>
            </w:r>
            <w:r w:rsidR="00ED6CA0">
              <w:rPr>
                <w:noProof/>
              </w:rPr>
              <w:fldChar w:fldCharType="begin"/>
            </w:r>
            <w:r>
              <w:rPr>
                <w:noProof/>
              </w:rPr>
              <w:instrText xml:space="preserve"> PAGEREF _Toc307470467 \h </w:instrText>
            </w:r>
            <w:r w:rsidR="00ED6CA0">
              <w:rPr>
                <w:noProof/>
              </w:rPr>
            </w:r>
            <w:r w:rsidR="00ED6CA0">
              <w:rPr>
                <w:noProof/>
              </w:rPr>
              <w:fldChar w:fldCharType="separate"/>
            </w:r>
            <w:r w:rsidR="00166111">
              <w:rPr>
                <w:noProof/>
              </w:rPr>
              <w:t>81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The role of local government in the NT</w:t>
            </w:r>
            <w:r>
              <w:rPr>
                <w:noProof/>
              </w:rPr>
              <w:tab/>
            </w:r>
            <w:r w:rsidR="00ED6CA0">
              <w:rPr>
                <w:noProof/>
              </w:rPr>
              <w:fldChar w:fldCharType="begin"/>
            </w:r>
            <w:r>
              <w:rPr>
                <w:noProof/>
              </w:rPr>
              <w:instrText xml:space="preserve"> PAGEREF _Toc307470468 \h </w:instrText>
            </w:r>
            <w:r w:rsidR="00ED6CA0">
              <w:rPr>
                <w:noProof/>
              </w:rPr>
            </w:r>
            <w:r w:rsidR="00ED6CA0">
              <w:rPr>
                <w:noProof/>
              </w:rPr>
              <w:fldChar w:fldCharType="separate"/>
            </w:r>
            <w:r w:rsidR="00166111">
              <w:rPr>
                <w:noProof/>
              </w:rPr>
              <w:t>81</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Information pathways in the NT</w:t>
            </w:r>
            <w:r>
              <w:rPr>
                <w:noProof/>
              </w:rPr>
              <w:tab/>
            </w:r>
            <w:r w:rsidR="00ED6CA0">
              <w:rPr>
                <w:noProof/>
              </w:rPr>
              <w:fldChar w:fldCharType="begin"/>
            </w:r>
            <w:r>
              <w:rPr>
                <w:noProof/>
              </w:rPr>
              <w:instrText xml:space="preserve"> PAGEREF _Toc307470469 \h </w:instrText>
            </w:r>
            <w:r w:rsidR="00ED6CA0">
              <w:rPr>
                <w:noProof/>
              </w:rPr>
            </w:r>
            <w:r w:rsidR="00ED6CA0">
              <w:rPr>
                <w:noProof/>
              </w:rPr>
              <w:fldChar w:fldCharType="separate"/>
            </w:r>
            <w:r w:rsidR="00166111">
              <w:rPr>
                <w:noProof/>
              </w:rPr>
              <w:t>83</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Performance in the NT</w:t>
            </w:r>
            <w:r>
              <w:rPr>
                <w:noProof/>
              </w:rPr>
              <w:tab/>
            </w:r>
            <w:r w:rsidR="00ED6CA0">
              <w:rPr>
                <w:noProof/>
              </w:rPr>
              <w:fldChar w:fldCharType="begin"/>
            </w:r>
            <w:r>
              <w:rPr>
                <w:noProof/>
              </w:rPr>
              <w:instrText xml:space="preserve"> PAGEREF _Toc307470470 \h </w:instrText>
            </w:r>
            <w:r w:rsidR="00ED6CA0">
              <w:rPr>
                <w:noProof/>
              </w:rPr>
            </w:r>
            <w:r w:rsidR="00ED6CA0">
              <w:rPr>
                <w:noProof/>
              </w:rPr>
              <w:fldChar w:fldCharType="separate"/>
            </w:r>
            <w:r w:rsidR="00166111">
              <w:rPr>
                <w:noProof/>
              </w:rPr>
              <w:t>83</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Summary - NT</w:t>
            </w:r>
            <w:r>
              <w:rPr>
                <w:noProof/>
              </w:rPr>
              <w:tab/>
            </w:r>
            <w:r w:rsidR="00ED6CA0">
              <w:rPr>
                <w:noProof/>
              </w:rPr>
              <w:fldChar w:fldCharType="begin"/>
            </w:r>
            <w:r>
              <w:rPr>
                <w:noProof/>
              </w:rPr>
              <w:instrText xml:space="preserve"> PAGEREF _Toc307470471 \h </w:instrText>
            </w:r>
            <w:r w:rsidR="00ED6CA0">
              <w:rPr>
                <w:noProof/>
              </w:rPr>
            </w:r>
            <w:r w:rsidR="00ED6CA0">
              <w:rPr>
                <w:noProof/>
              </w:rPr>
              <w:fldChar w:fldCharType="separate"/>
            </w:r>
            <w:r w:rsidR="00166111">
              <w:rPr>
                <w:noProof/>
              </w:rPr>
              <w:t>84</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14</w:t>
            </w:r>
            <w:r>
              <w:rPr>
                <w:rFonts w:asciiTheme="minorHAnsi" w:eastAsiaTheme="minorEastAsia" w:hAnsiTheme="minorHAnsi" w:cstheme="minorBidi"/>
                <w:noProof/>
                <w:color w:val="auto"/>
                <w:sz w:val="22"/>
                <w:szCs w:val="22"/>
                <w:lang w:eastAsia="en-AU"/>
              </w:rPr>
              <w:tab/>
            </w:r>
            <w:r>
              <w:rPr>
                <w:noProof/>
              </w:rPr>
              <w:t>Infrastructure and costs</w:t>
            </w:r>
            <w:r>
              <w:rPr>
                <w:noProof/>
              </w:rPr>
              <w:tab/>
            </w:r>
            <w:r w:rsidR="00ED6CA0">
              <w:rPr>
                <w:noProof/>
              </w:rPr>
              <w:fldChar w:fldCharType="begin"/>
            </w:r>
            <w:r>
              <w:rPr>
                <w:noProof/>
              </w:rPr>
              <w:instrText xml:space="preserve"> PAGEREF _Toc307470472 \h </w:instrText>
            </w:r>
            <w:r w:rsidR="00ED6CA0">
              <w:rPr>
                <w:noProof/>
              </w:rPr>
            </w:r>
            <w:r w:rsidR="00ED6CA0">
              <w:rPr>
                <w:noProof/>
              </w:rPr>
              <w:fldChar w:fldCharType="separate"/>
            </w:r>
            <w:r w:rsidR="00166111">
              <w:rPr>
                <w:noProof/>
              </w:rPr>
              <w:t>85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Local Government Infrastructure</w:t>
            </w:r>
            <w:r>
              <w:rPr>
                <w:noProof/>
              </w:rPr>
              <w:tab/>
            </w:r>
            <w:r w:rsidR="00ED6CA0">
              <w:rPr>
                <w:noProof/>
              </w:rPr>
              <w:fldChar w:fldCharType="begin"/>
            </w:r>
            <w:r>
              <w:rPr>
                <w:noProof/>
              </w:rPr>
              <w:instrText xml:space="preserve"> PAGEREF _Toc307470473 \h </w:instrText>
            </w:r>
            <w:r w:rsidR="00ED6CA0">
              <w:rPr>
                <w:noProof/>
              </w:rPr>
            </w:r>
            <w:r w:rsidR="00ED6CA0">
              <w:rPr>
                <w:noProof/>
              </w:rPr>
              <w:fldChar w:fldCharType="separate"/>
            </w:r>
            <w:r w:rsidR="00166111">
              <w:rPr>
                <w:noProof/>
              </w:rPr>
              <w:t>86</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15</w:t>
            </w:r>
            <w:r>
              <w:rPr>
                <w:rFonts w:asciiTheme="minorHAnsi" w:eastAsiaTheme="minorEastAsia" w:hAnsiTheme="minorHAnsi" w:cstheme="minorBidi"/>
                <w:noProof/>
                <w:color w:val="auto"/>
                <w:sz w:val="22"/>
                <w:szCs w:val="22"/>
                <w:lang w:eastAsia="en-AU"/>
              </w:rPr>
              <w:tab/>
            </w:r>
            <w:r>
              <w:rPr>
                <w:noProof/>
              </w:rPr>
              <w:t>Private sector interactions</w:t>
            </w:r>
            <w:r>
              <w:rPr>
                <w:noProof/>
              </w:rPr>
              <w:tab/>
            </w:r>
            <w:r w:rsidR="00ED6CA0">
              <w:rPr>
                <w:noProof/>
              </w:rPr>
              <w:fldChar w:fldCharType="begin"/>
            </w:r>
            <w:r>
              <w:rPr>
                <w:noProof/>
              </w:rPr>
              <w:instrText xml:space="preserve"> PAGEREF _Toc307470474 \h </w:instrText>
            </w:r>
            <w:r w:rsidR="00ED6CA0">
              <w:rPr>
                <w:noProof/>
              </w:rPr>
            </w:r>
            <w:r w:rsidR="00ED6CA0">
              <w:rPr>
                <w:noProof/>
              </w:rPr>
              <w:fldChar w:fldCharType="separate"/>
            </w:r>
            <w:r w:rsidR="00166111">
              <w:rPr>
                <w:noProof/>
              </w:rPr>
              <w:t>89</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ABS waste management data</w:t>
            </w:r>
            <w:r>
              <w:rPr>
                <w:noProof/>
              </w:rPr>
              <w:tab/>
            </w:r>
            <w:r w:rsidR="00ED6CA0">
              <w:rPr>
                <w:noProof/>
              </w:rPr>
              <w:fldChar w:fldCharType="begin"/>
            </w:r>
            <w:r>
              <w:rPr>
                <w:noProof/>
              </w:rPr>
              <w:instrText xml:space="preserve"> PAGEREF _Toc307470475 \h </w:instrText>
            </w:r>
            <w:r w:rsidR="00ED6CA0">
              <w:rPr>
                <w:noProof/>
              </w:rPr>
            </w:r>
            <w:r w:rsidR="00ED6CA0">
              <w:rPr>
                <w:noProof/>
              </w:rPr>
              <w:fldChar w:fldCharType="separate"/>
            </w:r>
            <w:r w:rsidR="00166111">
              <w:rPr>
                <w:noProof/>
              </w:rPr>
              <w:t>90</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15.2</w:t>
            </w:r>
            <w:r>
              <w:rPr>
                <w:rFonts w:asciiTheme="minorHAnsi" w:eastAsiaTheme="minorEastAsia" w:hAnsiTheme="minorHAnsi" w:cstheme="minorBidi"/>
                <w:noProof/>
                <w:sz w:val="22"/>
                <w:szCs w:val="22"/>
                <w:lang w:eastAsia="en-AU"/>
              </w:rPr>
              <w:tab/>
            </w:r>
            <w:r>
              <w:rPr>
                <w:noProof/>
                <w:lang w:eastAsia="en-AU"/>
              </w:rPr>
              <w:t>Contract duration</w:t>
            </w:r>
            <w:r>
              <w:rPr>
                <w:noProof/>
              </w:rPr>
              <w:tab/>
            </w:r>
            <w:r w:rsidR="00ED6CA0">
              <w:rPr>
                <w:noProof/>
              </w:rPr>
              <w:fldChar w:fldCharType="begin"/>
            </w:r>
            <w:r>
              <w:rPr>
                <w:noProof/>
              </w:rPr>
              <w:instrText xml:space="preserve"> PAGEREF _Toc307470476 \h </w:instrText>
            </w:r>
            <w:r w:rsidR="00ED6CA0">
              <w:rPr>
                <w:noProof/>
              </w:rPr>
            </w:r>
            <w:r w:rsidR="00ED6CA0">
              <w:rPr>
                <w:noProof/>
              </w:rPr>
              <w:fldChar w:fldCharType="separate"/>
            </w:r>
            <w:r w:rsidR="00166111">
              <w:rPr>
                <w:noProof/>
              </w:rPr>
              <w:t>92</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15.3</w:t>
            </w:r>
            <w:r>
              <w:rPr>
                <w:rFonts w:asciiTheme="minorHAnsi" w:eastAsiaTheme="minorEastAsia" w:hAnsiTheme="minorHAnsi" w:cstheme="minorBidi"/>
                <w:noProof/>
                <w:sz w:val="22"/>
                <w:szCs w:val="22"/>
                <w:lang w:eastAsia="en-AU"/>
              </w:rPr>
              <w:tab/>
            </w:r>
            <w:r>
              <w:rPr>
                <w:noProof/>
                <w:lang w:eastAsia="en-AU"/>
              </w:rPr>
              <w:t>Professional advice</w:t>
            </w:r>
            <w:r>
              <w:rPr>
                <w:noProof/>
              </w:rPr>
              <w:tab/>
            </w:r>
            <w:r w:rsidR="00ED6CA0">
              <w:rPr>
                <w:noProof/>
              </w:rPr>
              <w:fldChar w:fldCharType="begin"/>
            </w:r>
            <w:r>
              <w:rPr>
                <w:noProof/>
              </w:rPr>
              <w:instrText xml:space="preserve"> PAGEREF _Toc307470477 \h </w:instrText>
            </w:r>
            <w:r w:rsidR="00ED6CA0">
              <w:rPr>
                <w:noProof/>
              </w:rPr>
            </w:r>
            <w:r w:rsidR="00ED6CA0">
              <w:rPr>
                <w:noProof/>
              </w:rPr>
              <w:fldChar w:fldCharType="separate"/>
            </w:r>
            <w:r w:rsidR="00166111">
              <w:rPr>
                <w:noProof/>
              </w:rPr>
              <w:t>93</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15.4</w:t>
            </w:r>
            <w:r>
              <w:rPr>
                <w:rFonts w:asciiTheme="minorHAnsi" w:eastAsiaTheme="minorEastAsia" w:hAnsiTheme="minorHAnsi" w:cstheme="minorBidi"/>
                <w:noProof/>
                <w:sz w:val="22"/>
                <w:szCs w:val="22"/>
                <w:lang w:eastAsia="en-AU"/>
              </w:rPr>
              <w:tab/>
            </w:r>
            <w:r>
              <w:rPr>
                <w:noProof/>
                <w:lang w:eastAsia="en-AU"/>
              </w:rPr>
              <w:t>Collection services</w:t>
            </w:r>
            <w:r>
              <w:rPr>
                <w:noProof/>
              </w:rPr>
              <w:tab/>
            </w:r>
            <w:r w:rsidR="00ED6CA0">
              <w:rPr>
                <w:noProof/>
              </w:rPr>
              <w:fldChar w:fldCharType="begin"/>
            </w:r>
            <w:r>
              <w:rPr>
                <w:noProof/>
              </w:rPr>
              <w:instrText xml:space="preserve"> PAGEREF _Toc307470478 \h </w:instrText>
            </w:r>
            <w:r w:rsidR="00ED6CA0">
              <w:rPr>
                <w:noProof/>
              </w:rPr>
            </w:r>
            <w:r w:rsidR="00ED6CA0">
              <w:rPr>
                <w:noProof/>
              </w:rPr>
              <w:fldChar w:fldCharType="separate"/>
            </w:r>
            <w:r w:rsidR="00166111">
              <w:rPr>
                <w:noProof/>
              </w:rPr>
              <w:t>94</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15.5</w:t>
            </w:r>
            <w:r>
              <w:rPr>
                <w:rFonts w:asciiTheme="minorHAnsi" w:eastAsiaTheme="minorEastAsia" w:hAnsiTheme="minorHAnsi" w:cstheme="minorBidi"/>
                <w:noProof/>
                <w:sz w:val="22"/>
                <w:szCs w:val="22"/>
                <w:lang w:eastAsia="en-AU"/>
              </w:rPr>
              <w:tab/>
            </w:r>
            <w:r>
              <w:rPr>
                <w:noProof/>
                <w:lang w:eastAsia="en-AU"/>
              </w:rPr>
              <w:t>Processing</w:t>
            </w:r>
            <w:r>
              <w:rPr>
                <w:noProof/>
              </w:rPr>
              <w:tab/>
            </w:r>
            <w:r w:rsidR="00ED6CA0">
              <w:rPr>
                <w:noProof/>
              </w:rPr>
              <w:fldChar w:fldCharType="begin"/>
            </w:r>
            <w:r>
              <w:rPr>
                <w:noProof/>
              </w:rPr>
              <w:instrText xml:space="preserve"> PAGEREF _Toc307470479 \h </w:instrText>
            </w:r>
            <w:r w:rsidR="00ED6CA0">
              <w:rPr>
                <w:noProof/>
              </w:rPr>
            </w:r>
            <w:r w:rsidR="00ED6CA0">
              <w:rPr>
                <w:noProof/>
              </w:rPr>
              <w:fldChar w:fldCharType="separate"/>
            </w:r>
            <w:r w:rsidR="00166111">
              <w:rPr>
                <w:noProof/>
              </w:rPr>
              <w:t>95</w:t>
            </w:r>
            <w:r w:rsidR="00ED6CA0">
              <w:rPr>
                <w:noProof/>
              </w:rPr>
              <w:fldChar w:fldCharType="end"/>
            </w:r>
          </w:p>
          <w:p w:rsidR="00043DD9" w:rsidRDefault="00043DD9">
            <w:pPr>
              <w:pStyle w:val="TOC2"/>
              <w:rPr>
                <w:rFonts w:asciiTheme="minorHAnsi" w:eastAsiaTheme="minorEastAsia" w:hAnsiTheme="minorHAnsi" w:cstheme="minorBidi"/>
                <w:noProof/>
                <w:sz w:val="22"/>
                <w:szCs w:val="22"/>
                <w:lang w:eastAsia="en-AU"/>
              </w:rPr>
            </w:pPr>
            <w:r>
              <w:rPr>
                <w:noProof/>
                <w:lang w:eastAsia="en-AU"/>
              </w:rPr>
              <w:t>15.6</w:t>
            </w:r>
            <w:r>
              <w:rPr>
                <w:rFonts w:asciiTheme="minorHAnsi" w:eastAsiaTheme="minorEastAsia" w:hAnsiTheme="minorHAnsi" w:cstheme="minorBidi"/>
                <w:noProof/>
                <w:sz w:val="22"/>
                <w:szCs w:val="22"/>
                <w:lang w:eastAsia="en-AU"/>
              </w:rPr>
              <w:tab/>
            </w:r>
            <w:r>
              <w:rPr>
                <w:noProof/>
                <w:lang w:eastAsia="en-AU"/>
              </w:rPr>
              <w:t>Disposal</w:t>
            </w:r>
            <w:r>
              <w:rPr>
                <w:noProof/>
              </w:rPr>
              <w:tab/>
            </w:r>
            <w:r w:rsidR="00ED6CA0">
              <w:rPr>
                <w:noProof/>
              </w:rPr>
              <w:fldChar w:fldCharType="begin"/>
            </w:r>
            <w:r>
              <w:rPr>
                <w:noProof/>
              </w:rPr>
              <w:instrText xml:space="preserve"> PAGEREF _Toc307470480 \h </w:instrText>
            </w:r>
            <w:r w:rsidR="00ED6CA0">
              <w:rPr>
                <w:noProof/>
              </w:rPr>
            </w:r>
            <w:r w:rsidR="00ED6CA0">
              <w:rPr>
                <w:noProof/>
              </w:rPr>
              <w:fldChar w:fldCharType="separate"/>
            </w:r>
            <w:r w:rsidR="00166111">
              <w:rPr>
                <w:noProof/>
              </w:rPr>
              <w:t>95</w:t>
            </w:r>
            <w:r w:rsidR="00ED6CA0">
              <w:rPr>
                <w:noProof/>
              </w:rPr>
              <w:fldChar w:fldCharType="end"/>
            </w:r>
          </w:p>
          <w:p w:rsidR="00043DD9" w:rsidRDefault="00043DD9">
            <w:pPr>
              <w:pStyle w:val="TOC1"/>
              <w:rPr>
                <w:rFonts w:asciiTheme="minorHAnsi" w:eastAsiaTheme="minorEastAsia" w:hAnsiTheme="minorHAnsi" w:cstheme="minorBidi"/>
                <w:noProof/>
                <w:color w:val="auto"/>
                <w:sz w:val="22"/>
                <w:szCs w:val="22"/>
                <w:lang w:eastAsia="en-AU"/>
              </w:rPr>
            </w:pPr>
            <w:r>
              <w:rPr>
                <w:noProof/>
              </w:rPr>
              <w:t>16</w:t>
            </w:r>
            <w:r>
              <w:rPr>
                <w:rFonts w:asciiTheme="minorHAnsi" w:eastAsiaTheme="minorEastAsia" w:hAnsiTheme="minorHAnsi" w:cstheme="minorBidi"/>
                <w:noProof/>
                <w:color w:val="auto"/>
                <w:sz w:val="22"/>
                <w:szCs w:val="22"/>
                <w:lang w:eastAsia="en-AU"/>
              </w:rPr>
              <w:tab/>
            </w:r>
            <w:r>
              <w:rPr>
                <w:noProof/>
              </w:rPr>
              <w:t>Summary and conclusions</w:t>
            </w:r>
            <w:r>
              <w:rPr>
                <w:noProof/>
              </w:rPr>
              <w:tab/>
            </w:r>
            <w:r w:rsidR="00ED6CA0">
              <w:rPr>
                <w:noProof/>
              </w:rPr>
              <w:fldChar w:fldCharType="begin"/>
            </w:r>
            <w:r>
              <w:rPr>
                <w:noProof/>
              </w:rPr>
              <w:instrText xml:space="preserve"> PAGEREF _Toc307470481 \h </w:instrText>
            </w:r>
            <w:r w:rsidR="00ED6CA0">
              <w:rPr>
                <w:noProof/>
              </w:rPr>
            </w:r>
            <w:r w:rsidR="00ED6CA0">
              <w:rPr>
                <w:noProof/>
              </w:rPr>
              <w:fldChar w:fldCharType="separate"/>
            </w:r>
            <w:r w:rsidR="00166111">
              <w:rPr>
                <w:noProof/>
              </w:rPr>
              <w:t>97</w:t>
            </w:r>
            <w:r w:rsidR="00ED6CA0">
              <w:rPr>
                <w:noProof/>
              </w:rPr>
              <w:fldChar w:fldCharType="end"/>
            </w:r>
          </w:p>
          <w:p w:rsidR="009B7FB4" w:rsidRPr="00D56C84" w:rsidRDefault="00ED6CA0" w:rsidP="004F0083">
            <w:pPr>
              <w:pStyle w:val="TOC1"/>
            </w:pPr>
            <w:r w:rsidRPr="00D56C84">
              <w:fldChar w:fldCharType="end"/>
            </w:r>
          </w:p>
        </w:tc>
      </w:tr>
    </w:tbl>
    <w:p w:rsidR="005F6B37" w:rsidRPr="00D56C84" w:rsidRDefault="005F6B37" w:rsidP="00737A4B">
      <w:pPr>
        <w:pStyle w:val="ParaMargin"/>
        <w:sectPr w:rsidR="005F6B37" w:rsidRPr="00D56C84" w:rsidSect="00A2013E">
          <w:footerReference w:type="default" r:id="rId18"/>
          <w:type w:val="oddPage"/>
          <w:pgSz w:w="11907" w:h="16840" w:code="9"/>
          <w:pgMar w:top="1134" w:right="1134" w:bottom="1134" w:left="1134" w:header="567" w:footer="567" w:gutter="0"/>
          <w:pgNumType w:fmt="lowerRoman" w:start="1"/>
          <w:cols w:space="708"/>
          <w:docGrid w:linePitch="360"/>
        </w:sectPr>
      </w:pPr>
    </w:p>
    <w:p w:rsidR="005F6B37" w:rsidRPr="00D56C84" w:rsidRDefault="005F6B37" w:rsidP="00737A4B">
      <w:pPr>
        <w:pStyle w:val="ParaMargin"/>
        <w:sectPr w:rsidR="005F6B37" w:rsidRPr="00D56C84" w:rsidSect="00A2013E">
          <w:type w:val="continuous"/>
          <w:pgSz w:w="11907" w:h="16840" w:code="9"/>
          <w:pgMar w:top="1134" w:right="1134" w:bottom="1134" w:left="1134" w:header="567" w:footer="567" w:gutter="0"/>
          <w:pgNumType w:fmt="lowerRoman" w:start="1"/>
          <w:cols w:space="708"/>
          <w:docGrid w:linePitch="360"/>
        </w:sectPr>
      </w:pPr>
    </w:p>
    <w:p w:rsidR="002B1738" w:rsidRPr="009C079E" w:rsidRDefault="009C079E" w:rsidP="0067186F">
      <w:pPr>
        <w:pStyle w:val="ParaMargin"/>
        <w:spacing w:after="100" w:afterAutospacing="1"/>
        <w:rPr>
          <w:b/>
          <w:noProof/>
          <w:color w:val="495F70"/>
        </w:rPr>
      </w:pPr>
      <w:bookmarkStart w:id="11" w:name="TOC2"/>
      <w:bookmarkEnd w:id="11"/>
      <w:r w:rsidRPr="009C079E">
        <w:rPr>
          <w:b/>
          <w:noProof/>
          <w:color w:val="495F70"/>
        </w:rPr>
        <w:lastRenderedPageBreak/>
        <w:t>APPPENDICIES</w:t>
      </w:r>
    </w:p>
    <w:p w:rsidR="009C079E" w:rsidRDefault="009C079E" w:rsidP="004F0083">
      <w:pPr>
        <w:pStyle w:val="ParaMargin"/>
        <w:numPr>
          <w:ilvl w:val="0"/>
          <w:numId w:val="49"/>
        </w:numPr>
      </w:pPr>
      <w:r>
        <w:t>User needs –</w:t>
      </w:r>
      <w:r w:rsidR="007345D0">
        <w:t xml:space="preserve"> Sample survey</w:t>
      </w:r>
    </w:p>
    <w:p w:rsidR="007345D0" w:rsidRDefault="007345D0" w:rsidP="004F0083">
      <w:pPr>
        <w:pStyle w:val="ParaMargin"/>
        <w:numPr>
          <w:ilvl w:val="0"/>
          <w:numId w:val="49"/>
        </w:numPr>
      </w:pPr>
      <w:r w:rsidRPr="007345D0">
        <w:t xml:space="preserve">NSW </w:t>
      </w:r>
      <w:r>
        <w:t xml:space="preserve">OEH – </w:t>
      </w:r>
      <w:r w:rsidRPr="007345D0">
        <w:t>Annual Local Government Waste and</w:t>
      </w:r>
      <w:r>
        <w:t xml:space="preserve"> </w:t>
      </w:r>
      <w:r w:rsidRPr="007345D0">
        <w:t>Resource Recovery Data Survey</w:t>
      </w:r>
    </w:p>
    <w:p w:rsidR="009C079E" w:rsidRDefault="009C079E" w:rsidP="004F0083">
      <w:pPr>
        <w:pStyle w:val="ParaMargin"/>
        <w:numPr>
          <w:ilvl w:val="0"/>
          <w:numId w:val="49"/>
        </w:numPr>
      </w:pPr>
      <w:r>
        <w:t>Sustainability Victoria – Local Government Survey Screenshots</w:t>
      </w:r>
    </w:p>
    <w:p w:rsidR="007345D0" w:rsidRDefault="007345D0" w:rsidP="004F0083">
      <w:pPr>
        <w:pStyle w:val="ParaMargin"/>
        <w:numPr>
          <w:ilvl w:val="0"/>
          <w:numId w:val="49"/>
        </w:numPr>
      </w:pPr>
      <w:r>
        <w:t xml:space="preserve">Queensland DERM – </w:t>
      </w:r>
      <w:r w:rsidRPr="007345D0">
        <w:t>Local Government Waste Management Report</w:t>
      </w:r>
    </w:p>
    <w:p w:rsidR="007345D0" w:rsidRDefault="007345D0" w:rsidP="004F0083">
      <w:pPr>
        <w:pStyle w:val="ParaMargin"/>
        <w:numPr>
          <w:ilvl w:val="0"/>
          <w:numId w:val="49"/>
        </w:numPr>
      </w:pPr>
      <w:r>
        <w:t>Zero Waste SA – Kerbside Performance Reporting Audit</w:t>
      </w:r>
    </w:p>
    <w:p w:rsidR="007345D0" w:rsidRDefault="007345D0" w:rsidP="004F0083">
      <w:pPr>
        <w:pStyle w:val="ParaMargin"/>
        <w:numPr>
          <w:ilvl w:val="0"/>
          <w:numId w:val="49"/>
        </w:numPr>
      </w:pPr>
      <w:r>
        <w:t>Local Government Grants Commission of SA – Local Government Survey</w:t>
      </w:r>
    </w:p>
    <w:p w:rsidR="006B26AC" w:rsidRDefault="007345D0" w:rsidP="004F0083">
      <w:pPr>
        <w:pStyle w:val="ParaMargin"/>
        <w:numPr>
          <w:ilvl w:val="0"/>
          <w:numId w:val="49"/>
        </w:numPr>
      </w:pPr>
      <w:r>
        <w:t>Western Australia DEC – Local Government Survey</w:t>
      </w:r>
    </w:p>
    <w:p w:rsidR="006B26AC" w:rsidRPr="00D56C84" w:rsidRDefault="006B26AC" w:rsidP="00737A4B">
      <w:pPr>
        <w:pStyle w:val="ParaMargin"/>
        <w:sectPr w:rsidR="006B26AC" w:rsidRPr="00D56C84" w:rsidSect="00A2013E">
          <w:type w:val="continuous"/>
          <w:pgSz w:w="11907" w:h="16840" w:code="9"/>
          <w:pgMar w:top="1134" w:right="1134" w:bottom="1134" w:left="1134" w:header="567" w:footer="567" w:gutter="0"/>
          <w:pgNumType w:fmt="lowerRoman" w:start="1"/>
          <w:cols w:space="708"/>
          <w:docGrid w:linePitch="360"/>
        </w:sectPr>
      </w:pPr>
    </w:p>
    <w:p w:rsidR="004B51FF" w:rsidRPr="00D56C84" w:rsidRDefault="007C6281" w:rsidP="00EB01CC">
      <w:pPr>
        <w:pStyle w:val="Heading1"/>
        <w:numPr>
          <w:ilvl w:val="0"/>
          <w:numId w:val="0"/>
        </w:numPr>
        <w:ind w:left="1134"/>
      </w:pPr>
      <w:bookmarkStart w:id="12" w:name="_Toc207189850"/>
      <w:bookmarkStart w:id="13" w:name="_Toc207190039"/>
      <w:bookmarkStart w:id="14" w:name="_Toc307470413"/>
      <w:r w:rsidRPr="00D56C84">
        <w:lastRenderedPageBreak/>
        <w:t xml:space="preserve">EXECUTIVE </w:t>
      </w:r>
      <w:r w:rsidR="00D51E86" w:rsidRPr="00D56C84">
        <w:t>SUMMARY</w:t>
      </w:r>
      <w:bookmarkEnd w:id="12"/>
      <w:bookmarkEnd w:id="13"/>
      <w:bookmarkEnd w:id="14"/>
    </w:p>
    <w:p w:rsidR="007E245A" w:rsidRPr="00D56C84" w:rsidRDefault="00555F17" w:rsidP="00F75AA0">
      <w:pPr>
        <w:pStyle w:val="ParaIndent"/>
        <w:jc w:val="both"/>
      </w:pPr>
      <w:r w:rsidRPr="00D56C84">
        <w:t>Local government plays an integral role in the delivery of waste and recycling services in Australia, especially to households. However, data regarding local government waste and recycling activities and performance is often d</w:t>
      </w:r>
      <w:r w:rsidR="007E245A" w:rsidRPr="00D56C84">
        <w:t>isparate</w:t>
      </w:r>
      <w:r w:rsidRPr="00D56C84">
        <w:t xml:space="preserve"> and</w:t>
      </w:r>
      <w:r w:rsidR="00F11081" w:rsidRPr="00D56C84">
        <w:t xml:space="preserve"> disperse.</w:t>
      </w:r>
    </w:p>
    <w:p w:rsidR="007E245A" w:rsidRPr="00D56C84" w:rsidRDefault="001B0C5F" w:rsidP="00F75AA0">
      <w:pPr>
        <w:pStyle w:val="ParaIndent"/>
        <w:jc w:val="both"/>
      </w:pPr>
      <w:r w:rsidRPr="00D56C84">
        <w:t>The present</w:t>
      </w:r>
      <w:r w:rsidR="007E245A" w:rsidRPr="00D56C84">
        <w:t xml:space="preserve"> baseline study has been undertaken to determine what public data and information is available about the role and performance of local governments in relation to waste and recycling. The needs of key users (or potential users) of </w:t>
      </w:r>
      <w:r w:rsidR="00D87C8F" w:rsidRPr="00D56C84">
        <w:t xml:space="preserve">such </w:t>
      </w:r>
      <w:r w:rsidR="007E245A" w:rsidRPr="00D56C84">
        <w:t>waste and recycling information</w:t>
      </w:r>
      <w:r w:rsidR="00D87C8F" w:rsidRPr="00D56C84">
        <w:t xml:space="preserve"> </w:t>
      </w:r>
      <w:r w:rsidR="007F1436" w:rsidRPr="00D56C84">
        <w:t>are</w:t>
      </w:r>
      <w:r w:rsidR="00D87C8F" w:rsidRPr="00D56C84">
        <w:t xml:space="preserve"> considered in</w:t>
      </w:r>
      <w:r w:rsidR="004E544A" w:rsidRPr="00D56C84">
        <w:t xml:space="preserve"> Chapter</w:t>
      </w:r>
      <w:r w:rsidR="00D87C8F" w:rsidRPr="00D56C84">
        <w:t xml:space="preserve"> </w:t>
      </w:r>
      <w:fldSimple w:instr=" REF _Ref299523128 \r \h  \* MERGEFORMAT ">
        <w:r w:rsidR="00166111">
          <w:t>3</w:t>
        </w:r>
      </w:fldSimple>
      <w:r w:rsidR="00F85367">
        <w:t xml:space="preserve"> </w:t>
      </w:r>
      <w:r w:rsidR="00D87C8F" w:rsidRPr="00D56C84">
        <w:t>of this report</w:t>
      </w:r>
      <w:r w:rsidR="007E245A" w:rsidRPr="00D56C84">
        <w:t>.</w:t>
      </w:r>
    </w:p>
    <w:p w:rsidR="008A09C1" w:rsidRPr="00D56C84" w:rsidRDefault="00555F17" w:rsidP="00F75AA0">
      <w:pPr>
        <w:pStyle w:val="ParaIndent"/>
        <w:jc w:val="both"/>
      </w:pPr>
      <w:r w:rsidRPr="00D56C84">
        <w:t>For the purposes of this study, the number of local governments in Australia has been determined to be 559. This excludes the ACT, and unincorporated L</w:t>
      </w:r>
      <w:r w:rsidR="009B286E">
        <w:t xml:space="preserve">ocal </w:t>
      </w:r>
      <w:r w:rsidRPr="00D56C84">
        <w:t>G</w:t>
      </w:r>
      <w:r w:rsidR="009B286E">
        <w:t>overnment Areas (LGAs)</w:t>
      </w:r>
      <w:r w:rsidRPr="00D56C84">
        <w:t xml:space="preserve"> and other territories.</w:t>
      </w:r>
    </w:p>
    <w:p w:rsidR="004E544A" w:rsidRPr="00D56C84" w:rsidRDefault="007E245A" w:rsidP="00F75AA0">
      <w:pPr>
        <w:pStyle w:val="ParaIndent"/>
        <w:jc w:val="both"/>
      </w:pPr>
      <w:r w:rsidRPr="00D56C84">
        <w:t>The roles and responsibilities of</w:t>
      </w:r>
      <w:r w:rsidR="007F1436" w:rsidRPr="00D56C84">
        <w:t xml:space="preserve"> these</w:t>
      </w:r>
      <w:r w:rsidRPr="00D56C84">
        <w:t xml:space="preserve"> local government</w:t>
      </w:r>
      <w:r w:rsidR="007F1436" w:rsidRPr="00D56C84">
        <w:t xml:space="preserve">s </w:t>
      </w:r>
      <w:r w:rsidR="001B0C5F" w:rsidRPr="00D56C84">
        <w:t>vary</w:t>
      </w:r>
      <w:r w:rsidRPr="00D56C84">
        <w:t xml:space="preserve"> </w:t>
      </w:r>
      <w:r w:rsidR="003B175E" w:rsidRPr="00D56C84">
        <w:t>depending on the</w:t>
      </w:r>
      <w:r w:rsidRPr="00D56C84">
        <w:t xml:space="preserve"> jurisdiction</w:t>
      </w:r>
      <w:r w:rsidR="003B175E" w:rsidRPr="00D56C84">
        <w:t xml:space="preserve"> they are located in</w:t>
      </w:r>
      <w:r w:rsidRPr="00D56C84">
        <w:t xml:space="preserve">. </w:t>
      </w:r>
      <w:r w:rsidR="004E544A" w:rsidRPr="00D56C84">
        <w:t>T</w:t>
      </w:r>
      <w:r w:rsidR="00D87C8F" w:rsidRPr="00D56C84">
        <w:t xml:space="preserve">his report provides a jurisdiction-by-jurisdiction summary of the roles and responsibilities of local governments, as well as outlining key </w:t>
      </w:r>
      <w:r w:rsidR="007F1436" w:rsidRPr="00D56C84">
        <w:t xml:space="preserve">LGA </w:t>
      </w:r>
      <w:r w:rsidR="00D87C8F" w:rsidRPr="00D56C84">
        <w:t>groupings and</w:t>
      </w:r>
      <w:r w:rsidR="007F1436" w:rsidRPr="00D56C84">
        <w:t xml:space="preserve"> the</w:t>
      </w:r>
      <w:r w:rsidR="00D87C8F" w:rsidRPr="00D56C84">
        <w:t xml:space="preserve"> information reporting systems in </w:t>
      </w:r>
      <w:r w:rsidR="007F1436" w:rsidRPr="00D56C84">
        <w:t xml:space="preserve">place within </w:t>
      </w:r>
      <w:r w:rsidR="00D87C8F" w:rsidRPr="00D56C84">
        <w:t>each jurisdiction.</w:t>
      </w:r>
      <w:r w:rsidR="004E544A" w:rsidRPr="00D56C84">
        <w:t xml:space="preserve"> </w:t>
      </w:r>
    </w:p>
    <w:p w:rsidR="00555F17" w:rsidRPr="00D56C84" w:rsidRDefault="004E544A" w:rsidP="00F75AA0">
      <w:pPr>
        <w:pStyle w:val="ParaIndent"/>
        <w:jc w:val="both"/>
      </w:pPr>
      <w:r w:rsidRPr="00D56C84">
        <w:t>Key performance data, relating to resource recovery rates, service levels and financial costs</w:t>
      </w:r>
      <w:r w:rsidR="007F162F" w:rsidRPr="00D56C84">
        <w:t xml:space="preserve">, </w:t>
      </w:r>
      <w:r w:rsidR="00F85367">
        <w:t>is</w:t>
      </w:r>
      <w:r w:rsidRPr="00D56C84">
        <w:t xml:space="preserve"> also provided for each jurisdiction, where sufficient LGA-specific information is publicly </w:t>
      </w:r>
      <w:r w:rsidRPr="008247B3">
        <w:t xml:space="preserve">available. </w:t>
      </w:r>
      <w:r w:rsidR="00510C28" w:rsidRPr="008247B3">
        <w:t>The assessment of available data within this report is not inclusive of data quality.</w:t>
      </w:r>
      <w:r w:rsidR="00510C28">
        <w:t xml:space="preserve"> </w:t>
      </w:r>
    </w:p>
    <w:p w:rsidR="00D87C8F" w:rsidRPr="00D56C84" w:rsidRDefault="00D87C8F" w:rsidP="00F75AA0">
      <w:pPr>
        <w:pStyle w:val="ParaIndent"/>
        <w:jc w:val="both"/>
      </w:pPr>
      <w:r w:rsidRPr="00D56C84">
        <w:t>Information regarding the cost to local government of providing waste and recycling services to their communities has been sourced primarily through Grants Commission</w:t>
      </w:r>
      <w:r w:rsidR="007F1436" w:rsidRPr="00D56C84">
        <w:t xml:space="preserve"> reports</w:t>
      </w:r>
      <w:r w:rsidR="00F85367">
        <w:t xml:space="preserve"> and other publicly available documents</w:t>
      </w:r>
      <w:r w:rsidRPr="00D56C84">
        <w:t>. A range of</w:t>
      </w:r>
      <w:r w:rsidR="007F1436" w:rsidRPr="00D56C84">
        <w:t xml:space="preserve"> private</w:t>
      </w:r>
      <w:r w:rsidRPr="00D56C84">
        <w:t xml:space="preserve"> industry operators were also contacted to </w:t>
      </w:r>
      <w:r w:rsidR="0061081D" w:rsidRPr="00D56C84">
        <w:t>determine</w:t>
      </w:r>
      <w:r w:rsidR="007F162F" w:rsidRPr="00D56C84">
        <w:t xml:space="preserve"> indicative </w:t>
      </w:r>
      <w:r w:rsidR="0061081D" w:rsidRPr="00D56C84">
        <w:t>costs of key services, wi</w:t>
      </w:r>
      <w:r w:rsidR="007F162F" w:rsidRPr="00D56C84">
        <w:t xml:space="preserve">th results provided in Chapter </w:t>
      </w:r>
      <w:fldSimple w:instr=" REF _Ref299523868 \r \h  \* MERGEFORMAT ">
        <w:r w:rsidR="00166111">
          <w:t>14</w:t>
        </w:r>
      </w:fldSimple>
      <w:r w:rsidR="0061081D" w:rsidRPr="00D56C84">
        <w:t>.</w:t>
      </w:r>
    </w:p>
    <w:p w:rsidR="0061081D" w:rsidRDefault="007F1436" w:rsidP="00F75AA0">
      <w:pPr>
        <w:pStyle w:val="ParaIndent"/>
        <w:jc w:val="both"/>
      </w:pPr>
      <w:r w:rsidRPr="00D56C84">
        <w:t>An overview of the infrastructure owned and used by local governments is</w:t>
      </w:r>
      <w:r w:rsidR="007F162F" w:rsidRPr="00D56C84">
        <w:t xml:space="preserve"> also</w:t>
      </w:r>
      <w:r w:rsidRPr="00D56C84">
        <w:t xml:space="preserve"> provided in Chapter </w:t>
      </w:r>
      <w:fldSimple w:instr=" REF _Ref299523893 \r \h  \* MERGEFORMAT ">
        <w:r w:rsidR="00166111">
          <w:t>14</w:t>
        </w:r>
      </w:fldSimple>
      <w:r w:rsidRPr="00D56C84">
        <w:t xml:space="preserve">, drawing </w:t>
      </w:r>
      <w:r w:rsidR="00C4125F">
        <w:t>heavily</w:t>
      </w:r>
      <w:r w:rsidR="00C4125F" w:rsidRPr="00D56C84">
        <w:t xml:space="preserve"> </w:t>
      </w:r>
      <w:r w:rsidRPr="00D56C84">
        <w:t xml:space="preserve">on information </w:t>
      </w:r>
      <w:r w:rsidR="003B175E" w:rsidRPr="00D56C84">
        <w:t xml:space="preserve">published </w:t>
      </w:r>
      <w:r w:rsidRPr="00D56C84">
        <w:t xml:space="preserve">in the </w:t>
      </w:r>
      <w:r w:rsidRPr="00D56C84">
        <w:rPr>
          <w:i/>
        </w:rPr>
        <w:t>Inside Waste Industry Report 2011-12</w:t>
      </w:r>
      <w:r w:rsidRPr="00D56C84">
        <w:t>. In this chapter local governments have been grouped by remoteness, and a general trend is observed that regional and remote councils are more likely to own their own waste management infrastructure than metropolitan councils.</w:t>
      </w:r>
    </w:p>
    <w:p w:rsidR="00E54AAD" w:rsidRPr="00D56C84" w:rsidRDefault="00E54AAD" w:rsidP="00F75AA0">
      <w:pPr>
        <w:pStyle w:val="ParaIndent"/>
        <w:jc w:val="both"/>
      </w:pPr>
      <w:r>
        <w:t xml:space="preserve">Chapter </w:t>
      </w:r>
      <w:fldSimple w:instr=" REF _Ref300208369 \w \h  \* MERGEFORMAT ">
        <w:r w:rsidR="00166111">
          <w:t>15</w:t>
        </w:r>
      </w:fldSimple>
      <w:r>
        <w:t xml:space="preserve"> details interactions between councils and private sector providers of waste and recycling services. It highlights a trend toward greater outsourcing of activities by councils as the activities performed are becoming increasingly complex and expensive.</w:t>
      </w:r>
      <w:r w:rsidR="000C56AF">
        <w:t xml:space="preserve"> The trend is highlighted through comparison of ABS data from 2003 to 2010.</w:t>
      </w:r>
    </w:p>
    <w:p w:rsidR="00D87C8F" w:rsidRPr="00D56C84" w:rsidRDefault="00D87C8F" w:rsidP="00F75AA0">
      <w:pPr>
        <w:pStyle w:val="ParaIndent"/>
        <w:jc w:val="both"/>
      </w:pPr>
      <w:r w:rsidRPr="00D56C84">
        <w:t>In conjunction with this</w:t>
      </w:r>
      <w:r w:rsidR="007F1436" w:rsidRPr="00D56C84">
        <w:t xml:space="preserve"> </w:t>
      </w:r>
      <w:r w:rsidRPr="00D56C84">
        <w:t xml:space="preserve">report, </w:t>
      </w:r>
      <w:r w:rsidR="008E677F" w:rsidRPr="00D56C84">
        <w:t>an</w:t>
      </w:r>
      <w:r w:rsidRPr="00D56C84">
        <w:t xml:space="preserve"> Excel Workbook ha</w:t>
      </w:r>
      <w:r w:rsidR="008E677F" w:rsidRPr="00D56C84">
        <w:t>s</w:t>
      </w:r>
      <w:r w:rsidRPr="00D56C84">
        <w:t xml:space="preserve"> been compiled containing the </w:t>
      </w:r>
      <w:r w:rsidR="003B175E" w:rsidRPr="00D56C84">
        <w:t xml:space="preserve">most recent </w:t>
      </w:r>
      <w:r w:rsidRPr="00D56C84">
        <w:t xml:space="preserve">waste and recycling </w:t>
      </w:r>
      <w:r w:rsidR="007F1436" w:rsidRPr="00D56C84">
        <w:t xml:space="preserve">related </w:t>
      </w:r>
      <w:r w:rsidRPr="00D56C84">
        <w:t>information available for individual local government areas</w:t>
      </w:r>
      <w:r w:rsidR="007F1436" w:rsidRPr="00D56C84">
        <w:t xml:space="preserve"> in each Australian jurisdiction</w:t>
      </w:r>
      <w:r w:rsidRPr="00D56C84">
        <w:t>. The level and quality of information publicly available varies considerably between</w:t>
      </w:r>
      <w:r w:rsidR="007F1436" w:rsidRPr="00D56C84">
        <w:t xml:space="preserve"> these</w:t>
      </w:r>
      <w:r w:rsidRPr="00D56C84">
        <w:t xml:space="preserve"> jurisdictions</w:t>
      </w:r>
      <w:r w:rsidR="007F162F" w:rsidRPr="00D56C84">
        <w:t>. A</w:t>
      </w:r>
      <w:r w:rsidRPr="00D56C84">
        <w:t>n assessment of data availability is provided in this report</w:t>
      </w:r>
      <w:r w:rsidR="007F162F" w:rsidRPr="00D56C84">
        <w:t>, with comparisons</w:t>
      </w:r>
      <w:r w:rsidR="00C4125F">
        <w:t xml:space="preserve"> made</w:t>
      </w:r>
      <w:r w:rsidR="007F162F" w:rsidRPr="00D56C84">
        <w:t xml:space="preserve"> between the information collected from LGAs within each jurisdiction, and the </w:t>
      </w:r>
      <w:r w:rsidR="00C4125F">
        <w:t xml:space="preserve">LGA-specific performance </w:t>
      </w:r>
      <w:r w:rsidR="007F162F" w:rsidRPr="00D56C84">
        <w:t xml:space="preserve">information </w:t>
      </w:r>
      <w:r w:rsidR="00C4125F">
        <w:t xml:space="preserve">that is </w:t>
      </w:r>
      <w:r w:rsidR="007F162F" w:rsidRPr="00D56C84">
        <w:t>made publicly available</w:t>
      </w:r>
      <w:r w:rsidRPr="00D56C84">
        <w:t>.</w:t>
      </w:r>
    </w:p>
    <w:p w:rsidR="003B175E" w:rsidRPr="00D56C84" w:rsidRDefault="003B175E" w:rsidP="00F75AA0">
      <w:pPr>
        <w:pStyle w:val="ParaIndent"/>
        <w:jc w:val="both"/>
      </w:pPr>
      <w:r w:rsidRPr="00D56C84">
        <w:t>It is expected the</w:t>
      </w:r>
      <w:r w:rsidR="00C4125F">
        <w:t xml:space="preserve"> identification of current reporting pathways and information sources in relation to local government waste and recycling</w:t>
      </w:r>
      <w:r w:rsidR="000C56AF">
        <w:t>, which has been undertaken</w:t>
      </w:r>
      <w:r w:rsidRPr="00D56C84">
        <w:t xml:space="preserve"> during this project</w:t>
      </w:r>
      <w:r w:rsidR="000C56AF">
        <w:t>,</w:t>
      </w:r>
      <w:r w:rsidRPr="00D56C84">
        <w:t xml:space="preserve"> will aid in the development of a common data set of local government waste and recycling data, and assist in the implementation of the </w:t>
      </w:r>
      <w:r w:rsidRPr="00D56C84">
        <w:rPr>
          <w:i/>
        </w:rPr>
        <w:t>National Waste Policy: Less Waste, More Resources</w:t>
      </w:r>
      <w:r w:rsidRPr="00D56C84">
        <w:t xml:space="preserve">. </w:t>
      </w:r>
    </w:p>
    <w:p w:rsidR="00555F17" w:rsidRPr="00D56C84" w:rsidRDefault="00555F17" w:rsidP="008A09C1">
      <w:pPr>
        <w:pStyle w:val="ParaIndent"/>
      </w:pPr>
    </w:p>
    <w:p w:rsidR="004B51FF" w:rsidRPr="00D56C84" w:rsidRDefault="004B51FF" w:rsidP="004B51FF">
      <w:pPr>
        <w:pStyle w:val="ParaIndent"/>
        <w:rPr>
          <w:rFonts w:cs="Arial"/>
          <w:color w:val="495F70"/>
          <w:kern w:val="28"/>
          <w:sz w:val="40"/>
        </w:rPr>
      </w:pPr>
      <w:r w:rsidRPr="00D56C84">
        <w:br w:type="page"/>
      </w:r>
    </w:p>
    <w:p w:rsidR="00582ED5" w:rsidRPr="00D56C84" w:rsidRDefault="004B51FF" w:rsidP="009B7FB4">
      <w:pPr>
        <w:pStyle w:val="Heading1"/>
      </w:pPr>
      <w:bookmarkStart w:id="15" w:name="_Toc307470414"/>
      <w:bookmarkStart w:id="16" w:name="_Ref300232446"/>
      <w:r w:rsidRPr="00D56C84">
        <w:lastRenderedPageBreak/>
        <w:t>G</w:t>
      </w:r>
      <w:r w:rsidR="004D5A0F">
        <w:t>lossary</w:t>
      </w:r>
      <w:bookmarkEnd w:id="15"/>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945"/>
      </w:tblGrid>
      <w:tr w:rsidR="008479F0" w:rsidRPr="00D56C84" w:rsidTr="008479F0">
        <w:trPr>
          <w:trHeight w:val="170"/>
        </w:trPr>
        <w:tc>
          <w:tcPr>
            <w:tcW w:w="1668" w:type="dxa"/>
            <w:vAlign w:val="center"/>
          </w:tcPr>
          <w:bookmarkEnd w:id="16"/>
          <w:p w:rsidR="008479F0" w:rsidRPr="00D56C84" w:rsidRDefault="008479F0" w:rsidP="008479F0">
            <w:pPr>
              <w:pStyle w:val="ParaIndent"/>
              <w:ind w:left="0"/>
            </w:pPr>
            <w:r w:rsidRPr="00D56C84">
              <w:t>A</w:t>
            </w:r>
          </w:p>
        </w:tc>
        <w:tc>
          <w:tcPr>
            <w:tcW w:w="6945" w:type="dxa"/>
            <w:vAlign w:val="center"/>
          </w:tcPr>
          <w:p w:rsidR="008479F0" w:rsidRPr="00D56C84" w:rsidRDefault="008479F0" w:rsidP="008479F0">
            <w:pPr>
              <w:pStyle w:val="ParaIndent"/>
              <w:ind w:left="0"/>
            </w:pPr>
            <w:r w:rsidRPr="00D56C84">
              <w:t>Area</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AC</w:t>
            </w:r>
          </w:p>
        </w:tc>
        <w:tc>
          <w:tcPr>
            <w:tcW w:w="6945" w:type="dxa"/>
            <w:vAlign w:val="center"/>
          </w:tcPr>
          <w:p w:rsidR="008479F0" w:rsidRPr="00D56C84" w:rsidRDefault="008479F0" w:rsidP="008479F0">
            <w:pPr>
              <w:pStyle w:val="ParaIndent"/>
              <w:ind w:left="0"/>
            </w:pPr>
            <w:r w:rsidRPr="00D56C84">
              <w:t>Aboriginal council</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B</w:t>
            </w:r>
          </w:p>
        </w:tc>
        <w:tc>
          <w:tcPr>
            <w:tcW w:w="6945" w:type="dxa"/>
            <w:vAlign w:val="center"/>
          </w:tcPr>
          <w:p w:rsidR="008479F0" w:rsidRPr="00D56C84" w:rsidRDefault="008479F0" w:rsidP="008479F0">
            <w:pPr>
              <w:pStyle w:val="ParaIndent"/>
              <w:ind w:left="0"/>
            </w:pPr>
            <w:r w:rsidRPr="00D56C84">
              <w:t>Borough</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C</w:t>
            </w:r>
          </w:p>
        </w:tc>
        <w:tc>
          <w:tcPr>
            <w:tcW w:w="6945" w:type="dxa"/>
            <w:vAlign w:val="center"/>
          </w:tcPr>
          <w:p w:rsidR="008479F0" w:rsidRPr="00D56C84" w:rsidRDefault="008479F0" w:rsidP="008479F0">
            <w:pPr>
              <w:pStyle w:val="ParaIndent"/>
              <w:ind w:left="0"/>
            </w:pPr>
            <w:r w:rsidRPr="00D56C84">
              <w:t>City</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CGC</w:t>
            </w:r>
          </w:p>
        </w:tc>
        <w:tc>
          <w:tcPr>
            <w:tcW w:w="6945" w:type="dxa"/>
            <w:vAlign w:val="center"/>
          </w:tcPr>
          <w:p w:rsidR="008479F0" w:rsidRPr="00D56C84" w:rsidRDefault="008479F0" w:rsidP="008479F0">
            <w:pPr>
              <w:pStyle w:val="ParaIndent"/>
              <w:ind w:left="0"/>
            </w:pPr>
            <w:r w:rsidRPr="00D56C84">
              <w:t>Community Government Council</w:t>
            </w:r>
          </w:p>
        </w:tc>
      </w:tr>
      <w:tr w:rsidR="008479F0" w:rsidRPr="00D56C84" w:rsidTr="008479F0">
        <w:trPr>
          <w:trHeight w:val="170"/>
        </w:trPr>
        <w:tc>
          <w:tcPr>
            <w:tcW w:w="1668" w:type="dxa"/>
          </w:tcPr>
          <w:p w:rsidR="008479F0" w:rsidRPr="00D56C84" w:rsidRDefault="00555F17" w:rsidP="008479F0">
            <w:pPr>
              <w:pStyle w:val="ParaIndent"/>
              <w:ind w:left="0"/>
            </w:pPr>
            <w:r w:rsidRPr="00D56C84">
              <w:t>C&amp;D</w:t>
            </w:r>
          </w:p>
        </w:tc>
        <w:tc>
          <w:tcPr>
            <w:tcW w:w="6945" w:type="dxa"/>
          </w:tcPr>
          <w:p w:rsidR="008479F0" w:rsidRPr="00D56C84" w:rsidRDefault="008479F0" w:rsidP="008479F0">
            <w:pPr>
              <w:pStyle w:val="ParaIndent"/>
              <w:ind w:left="0"/>
            </w:pPr>
            <w:r w:rsidRPr="00D56C84">
              <w:t>Construction and demolition waste</w:t>
            </w:r>
          </w:p>
        </w:tc>
      </w:tr>
      <w:tr w:rsidR="008479F0" w:rsidRPr="00D56C84" w:rsidTr="008479F0">
        <w:trPr>
          <w:trHeight w:val="170"/>
        </w:trPr>
        <w:tc>
          <w:tcPr>
            <w:tcW w:w="1668" w:type="dxa"/>
          </w:tcPr>
          <w:p w:rsidR="008479F0" w:rsidRPr="00D56C84" w:rsidRDefault="008479F0" w:rsidP="00555F17">
            <w:pPr>
              <w:pStyle w:val="ParaIndent"/>
              <w:ind w:left="0"/>
            </w:pPr>
            <w:r w:rsidRPr="00D56C84">
              <w:t>C&amp;I</w:t>
            </w:r>
          </w:p>
        </w:tc>
        <w:tc>
          <w:tcPr>
            <w:tcW w:w="6945" w:type="dxa"/>
          </w:tcPr>
          <w:p w:rsidR="008479F0" w:rsidRPr="00D56C84" w:rsidRDefault="008479F0" w:rsidP="008479F0">
            <w:pPr>
              <w:pStyle w:val="ParaIndent"/>
              <w:ind w:left="0"/>
            </w:pPr>
            <w:r w:rsidRPr="00D56C84">
              <w:t>Commercial and industrial waste</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DC</w:t>
            </w:r>
          </w:p>
        </w:tc>
        <w:tc>
          <w:tcPr>
            <w:tcW w:w="6945" w:type="dxa"/>
            <w:vAlign w:val="center"/>
          </w:tcPr>
          <w:p w:rsidR="008479F0" w:rsidRPr="00D56C84" w:rsidRDefault="008479F0" w:rsidP="008479F0">
            <w:pPr>
              <w:pStyle w:val="ParaIndent"/>
              <w:ind w:left="0"/>
            </w:pPr>
            <w:r w:rsidRPr="00D56C84">
              <w:t>District Council</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IC</w:t>
            </w:r>
          </w:p>
        </w:tc>
        <w:tc>
          <w:tcPr>
            <w:tcW w:w="6945" w:type="dxa"/>
            <w:vAlign w:val="center"/>
          </w:tcPr>
          <w:p w:rsidR="008479F0" w:rsidRPr="00D56C84" w:rsidRDefault="008479F0" w:rsidP="008479F0">
            <w:pPr>
              <w:pStyle w:val="ParaIndent"/>
              <w:ind w:left="0"/>
            </w:pPr>
            <w:r w:rsidRPr="00D56C84">
              <w:t>Island council</w:t>
            </w:r>
          </w:p>
        </w:tc>
      </w:tr>
      <w:tr w:rsidR="008479F0" w:rsidRPr="00D56C84" w:rsidTr="008479F0">
        <w:trPr>
          <w:trHeight w:val="170"/>
        </w:trPr>
        <w:tc>
          <w:tcPr>
            <w:tcW w:w="1668" w:type="dxa"/>
          </w:tcPr>
          <w:p w:rsidR="008479F0" w:rsidRPr="00D56C84" w:rsidRDefault="00555F17" w:rsidP="00555F17">
            <w:pPr>
              <w:pStyle w:val="ParaIndent"/>
              <w:tabs>
                <w:tab w:val="left" w:pos="881"/>
              </w:tabs>
              <w:ind w:left="0"/>
            </w:pPr>
            <w:r w:rsidRPr="00D56C84">
              <w:t>LGA</w:t>
            </w:r>
          </w:p>
        </w:tc>
        <w:tc>
          <w:tcPr>
            <w:tcW w:w="6945" w:type="dxa"/>
          </w:tcPr>
          <w:p w:rsidR="008479F0" w:rsidRPr="00D56C84" w:rsidRDefault="008479F0" w:rsidP="008479F0">
            <w:pPr>
              <w:pStyle w:val="ParaIndent"/>
              <w:ind w:left="0"/>
            </w:pPr>
            <w:r w:rsidRPr="00D56C84">
              <w:t>Local government authority, including councils, cities, shires, borough, etc.</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M</w:t>
            </w:r>
          </w:p>
        </w:tc>
        <w:tc>
          <w:tcPr>
            <w:tcW w:w="6945" w:type="dxa"/>
            <w:vAlign w:val="center"/>
          </w:tcPr>
          <w:p w:rsidR="008479F0" w:rsidRPr="00D56C84" w:rsidRDefault="008479F0" w:rsidP="008479F0">
            <w:pPr>
              <w:pStyle w:val="ParaIndent"/>
              <w:ind w:left="0"/>
            </w:pPr>
            <w:r w:rsidRPr="00D56C84">
              <w:t>Municipality</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RC</w:t>
            </w:r>
          </w:p>
        </w:tc>
        <w:tc>
          <w:tcPr>
            <w:tcW w:w="6945" w:type="dxa"/>
            <w:vAlign w:val="center"/>
          </w:tcPr>
          <w:p w:rsidR="008479F0" w:rsidRPr="00D56C84" w:rsidRDefault="008479F0" w:rsidP="008479F0">
            <w:pPr>
              <w:pStyle w:val="ParaIndent"/>
              <w:ind w:left="0"/>
            </w:pPr>
            <w:r w:rsidRPr="00D56C84">
              <w:t>Rural City</w:t>
            </w:r>
          </w:p>
        </w:tc>
      </w:tr>
      <w:tr w:rsidR="008479F0" w:rsidRPr="00D56C84" w:rsidTr="008479F0">
        <w:trPr>
          <w:trHeight w:val="170"/>
        </w:trPr>
        <w:tc>
          <w:tcPr>
            <w:tcW w:w="1668" w:type="dxa"/>
            <w:vAlign w:val="center"/>
          </w:tcPr>
          <w:p w:rsidR="008479F0" w:rsidRPr="00D56C84" w:rsidRDefault="008479F0" w:rsidP="008479F0">
            <w:pPr>
              <w:pStyle w:val="ParaIndent"/>
              <w:ind w:left="0"/>
            </w:pPr>
            <w:proofErr w:type="spellStart"/>
            <w:r w:rsidRPr="00D56C84">
              <w:t>RegC</w:t>
            </w:r>
            <w:proofErr w:type="spellEnd"/>
          </w:p>
        </w:tc>
        <w:tc>
          <w:tcPr>
            <w:tcW w:w="6945" w:type="dxa"/>
            <w:vAlign w:val="center"/>
          </w:tcPr>
          <w:p w:rsidR="008479F0" w:rsidRPr="00D56C84" w:rsidRDefault="008479F0" w:rsidP="008479F0">
            <w:pPr>
              <w:pStyle w:val="ParaIndent"/>
              <w:ind w:left="0"/>
            </w:pPr>
            <w:r w:rsidRPr="00D56C84">
              <w:t>Regional Council</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S</w:t>
            </w:r>
          </w:p>
        </w:tc>
        <w:tc>
          <w:tcPr>
            <w:tcW w:w="6945" w:type="dxa"/>
            <w:vAlign w:val="center"/>
          </w:tcPr>
          <w:p w:rsidR="008479F0" w:rsidRPr="00D56C84" w:rsidRDefault="008479F0" w:rsidP="008479F0">
            <w:pPr>
              <w:pStyle w:val="ParaIndent"/>
              <w:ind w:left="0"/>
            </w:pPr>
            <w:r w:rsidRPr="00D56C84">
              <w:t>Shire</w:t>
            </w:r>
          </w:p>
        </w:tc>
      </w:tr>
      <w:tr w:rsidR="008479F0" w:rsidRPr="00D56C84" w:rsidTr="008479F0">
        <w:trPr>
          <w:trHeight w:val="170"/>
        </w:trPr>
        <w:tc>
          <w:tcPr>
            <w:tcW w:w="1668" w:type="dxa"/>
            <w:vAlign w:val="center"/>
          </w:tcPr>
          <w:p w:rsidR="008479F0" w:rsidRPr="00D56C84" w:rsidRDefault="008479F0" w:rsidP="008479F0">
            <w:pPr>
              <w:pStyle w:val="ParaIndent"/>
              <w:ind w:left="0"/>
            </w:pPr>
            <w:r w:rsidRPr="00D56C84">
              <w:t>T</w:t>
            </w:r>
          </w:p>
        </w:tc>
        <w:tc>
          <w:tcPr>
            <w:tcW w:w="6945" w:type="dxa"/>
            <w:vAlign w:val="center"/>
          </w:tcPr>
          <w:p w:rsidR="008479F0" w:rsidRPr="00D56C84" w:rsidRDefault="008479F0" w:rsidP="008479F0">
            <w:pPr>
              <w:pStyle w:val="ParaIndent"/>
              <w:ind w:left="0"/>
            </w:pPr>
            <w:r w:rsidRPr="00D56C84">
              <w:t>Town</w:t>
            </w: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r w:rsidR="008479F0" w:rsidRPr="00D56C84" w:rsidTr="008479F0">
        <w:trPr>
          <w:trHeight w:val="170"/>
        </w:trPr>
        <w:tc>
          <w:tcPr>
            <w:tcW w:w="1668" w:type="dxa"/>
            <w:vAlign w:val="center"/>
          </w:tcPr>
          <w:p w:rsidR="008479F0" w:rsidRPr="00D56C84" w:rsidRDefault="008479F0" w:rsidP="008479F0">
            <w:pPr>
              <w:pStyle w:val="ParaIndent"/>
              <w:ind w:left="0"/>
            </w:pPr>
          </w:p>
        </w:tc>
        <w:tc>
          <w:tcPr>
            <w:tcW w:w="6945" w:type="dxa"/>
            <w:vAlign w:val="center"/>
          </w:tcPr>
          <w:p w:rsidR="008479F0" w:rsidRPr="00D56C84" w:rsidRDefault="008479F0" w:rsidP="008479F0">
            <w:pPr>
              <w:pStyle w:val="ParaIndent"/>
              <w:ind w:left="0"/>
            </w:pPr>
          </w:p>
        </w:tc>
      </w:tr>
    </w:tbl>
    <w:p w:rsidR="008479F0" w:rsidRPr="00D56C84" w:rsidRDefault="008479F0">
      <w:pPr>
        <w:spacing w:after="0" w:line="240" w:lineRule="auto"/>
        <w:ind w:left="0"/>
      </w:pPr>
    </w:p>
    <w:p w:rsidR="007C6281" w:rsidRPr="00D56C84" w:rsidRDefault="007C6281">
      <w:pPr>
        <w:spacing w:after="0" w:line="240" w:lineRule="auto"/>
        <w:ind w:left="0"/>
      </w:pPr>
    </w:p>
    <w:p w:rsidR="008479F0" w:rsidRPr="00D56C84" w:rsidRDefault="008479F0">
      <w:pPr>
        <w:spacing w:after="0" w:line="240" w:lineRule="auto"/>
        <w:ind w:left="0"/>
        <w:rPr>
          <w:rFonts w:cs="Arial"/>
          <w:caps/>
          <w:color w:val="495F70"/>
          <w:kern w:val="28"/>
          <w:sz w:val="40"/>
        </w:rPr>
      </w:pPr>
      <w:r w:rsidRPr="00D56C84">
        <w:br w:type="page"/>
      </w:r>
    </w:p>
    <w:p w:rsidR="007C6281" w:rsidRPr="00D56C84" w:rsidRDefault="007C6281" w:rsidP="007C6281">
      <w:pPr>
        <w:pStyle w:val="Heading1"/>
      </w:pPr>
      <w:bookmarkStart w:id="17" w:name="_Toc307470415"/>
      <w:r w:rsidRPr="00D56C84">
        <w:lastRenderedPageBreak/>
        <w:t>I</w:t>
      </w:r>
      <w:r w:rsidR="004D5A0F">
        <w:t>ntroduction</w:t>
      </w:r>
      <w:bookmarkEnd w:id="17"/>
    </w:p>
    <w:p w:rsidR="00FF7FE3" w:rsidRPr="00D56C84" w:rsidRDefault="00106180" w:rsidP="0006111E">
      <w:pPr>
        <w:pStyle w:val="ParaIndent"/>
        <w:jc w:val="both"/>
      </w:pPr>
      <w:r w:rsidRPr="00D56C84">
        <w:t xml:space="preserve">The number of local governments in Australia varies according </w:t>
      </w:r>
      <w:r w:rsidR="00681D5F" w:rsidRPr="00D56C84">
        <w:t xml:space="preserve">to </w:t>
      </w:r>
      <w:r w:rsidRPr="00D56C84">
        <w:t xml:space="preserve">the method used to determine what </w:t>
      </w:r>
      <w:r w:rsidR="00AB7382" w:rsidRPr="00D56C84">
        <w:t xml:space="preserve">a </w:t>
      </w:r>
      <w:r w:rsidR="001B0C5F" w:rsidRPr="00D56C84">
        <w:t>local government area (</w:t>
      </w:r>
      <w:r w:rsidR="00AB7382" w:rsidRPr="00D56C84">
        <w:t>LGA</w:t>
      </w:r>
      <w:r w:rsidR="001B0C5F" w:rsidRPr="00D56C84">
        <w:t>)</w:t>
      </w:r>
      <w:r w:rsidR="00AB7382" w:rsidRPr="00D56C84">
        <w:t xml:space="preserve"> is</w:t>
      </w:r>
      <w:r w:rsidRPr="00D56C84">
        <w:t>.</w:t>
      </w:r>
      <w:r w:rsidR="00AB7382" w:rsidRPr="00D56C84">
        <w:t xml:space="preserve"> </w:t>
      </w:r>
      <w:r w:rsidRPr="00D56C84">
        <w:t>F</w:t>
      </w:r>
      <w:r w:rsidR="00FF7FE3" w:rsidRPr="00D56C84">
        <w:t xml:space="preserve">or the purposes of this study, data from the Australian Bureau of Statistics </w:t>
      </w:r>
      <w:r w:rsidR="001B0C5F" w:rsidRPr="00D56C84">
        <w:t xml:space="preserve">(ABS) </w:t>
      </w:r>
      <w:r w:rsidR="00FF7FE3" w:rsidRPr="00CC22B0">
        <w:rPr>
          <w:i/>
        </w:rPr>
        <w:t>National Regional Profile 2005–09</w:t>
      </w:r>
      <w:r w:rsidR="00FF7FE3" w:rsidRPr="00D56C84">
        <w:t xml:space="preserve"> has been used as the primary determinant of the number, n</w:t>
      </w:r>
      <w:r w:rsidR="00AB7382" w:rsidRPr="00D56C84">
        <w:t>ame, population and size of LGAs.</w:t>
      </w:r>
    </w:p>
    <w:p w:rsidR="00FF7FE3" w:rsidRPr="00D56C84" w:rsidRDefault="00FF7FE3" w:rsidP="0006111E">
      <w:pPr>
        <w:pStyle w:val="ParaIndent"/>
        <w:jc w:val="both"/>
      </w:pPr>
      <w:r w:rsidRPr="00D56C84">
        <w:t xml:space="preserve">For the purposes of this study, the number of local governments has been determined to be 559. This excludes the </w:t>
      </w:r>
      <w:r w:rsidR="001B0C5F" w:rsidRPr="00D56C84">
        <w:t>Australian Capital Territory (</w:t>
      </w:r>
      <w:r w:rsidRPr="00D56C84">
        <w:t>ACT</w:t>
      </w:r>
      <w:r w:rsidR="001B0C5F" w:rsidRPr="00D56C84">
        <w:t>)</w:t>
      </w:r>
      <w:r w:rsidRPr="00D56C84">
        <w:t xml:space="preserve">, and unincorporated LGAs </w:t>
      </w:r>
      <w:r w:rsidR="007F162F" w:rsidRPr="00D56C84">
        <w:t>and</w:t>
      </w:r>
      <w:r w:rsidRPr="00D56C84">
        <w:t xml:space="preserve"> other territories.</w:t>
      </w:r>
    </w:p>
    <w:p w:rsidR="00106180" w:rsidRPr="00D56C84" w:rsidRDefault="001B0C5F" w:rsidP="0006111E">
      <w:pPr>
        <w:pStyle w:val="ParaIndent"/>
        <w:jc w:val="both"/>
      </w:pPr>
      <w:r w:rsidRPr="00D56C84">
        <w:t xml:space="preserve">Other methods have been used in previous studies to determine numbers of LGAs. </w:t>
      </w:r>
      <w:r w:rsidR="00FF7FE3" w:rsidRPr="00D56C84">
        <w:t xml:space="preserve">Known differences with </w:t>
      </w:r>
      <w:r w:rsidRPr="00D56C84">
        <w:t xml:space="preserve">these </w:t>
      </w:r>
      <w:r w:rsidR="00FF7FE3" w:rsidRPr="00D56C84">
        <w:t>other methods include:</w:t>
      </w:r>
    </w:p>
    <w:p w:rsidR="00FF7FE3" w:rsidRPr="00D56C84" w:rsidRDefault="00FF7FE3" w:rsidP="0006111E">
      <w:pPr>
        <w:pStyle w:val="ParaIndent"/>
        <w:numPr>
          <w:ilvl w:val="0"/>
          <w:numId w:val="27"/>
        </w:numPr>
        <w:jc w:val="both"/>
      </w:pPr>
      <w:r w:rsidRPr="00D56C84">
        <w:t xml:space="preserve">6 less district councils in </w:t>
      </w:r>
      <w:r w:rsidR="001B0C5F" w:rsidRPr="00D56C84">
        <w:t>South Australia (</w:t>
      </w:r>
      <w:r w:rsidRPr="00D56C84">
        <w:t>SA</w:t>
      </w:r>
      <w:r w:rsidR="001B0C5F" w:rsidRPr="00D56C84">
        <w:t>)</w:t>
      </w:r>
    </w:p>
    <w:p w:rsidR="00FF7FE3" w:rsidRPr="00D56C84" w:rsidRDefault="00681D5F" w:rsidP="0006111E">
      <w:pPr>
        <w:pStyle w:val="ParaIndent"/>
        <w:numPr>
          <w:ilvl w:val="0"/>
          <w:numId w:val="27"/>
        </w:numPr>
        <w:jc w:val="both"/>
      </w:pPr>
      <w:r w:rsidRPr="00D56C84">
        <w:t>1 extra shire</w:t>
      </w:r>
      <w:r w:rsidR="00FF7FE3" w:rsidRPr="00D56C84">
        <w:t xml:space="preserve"> and 1 extra council in </w:t>
      </w:r>
      <w:r w:rsidR="001B0C5F" w:rsidRPr="00D56C84">
        <w:t>Western Australia (</w:t>
      </w:r>
      <w:r w:rsidR="00FF7FE3" w:rsidRPr="00D56C84">
        <w:t>WA</w:t>
      </w:r>
      <w:r w:rsidR="001B0C5F" w:rsidRPr="00D56C84">
        <w:t>)</w:t>
      </w:r>
    </w:p>
    <w:p w:rsidR="007E5390" w:rsidRDefault="00FF7FE3" w:rsidP="000B1FF7">
      <w:pPr>
        <w:pStyle w:val="ParaIndent"/>
        <w:numPr>
          <w:ilvl w:val="0"/>
          <w:numId w:val="27"/>
        </w:numPr>
        <w:jc w:val="both"/>
      </w:pPr>
      <w:r w:rsidRPr="00D56C84">
        <w:t>Other known differences include</w:t>
      </w:r>
      <w:r w:rsidR="000B1FF7">
        <w:t xml:space="preserve"> </w:t>
      </w:r>
      <w:r w:rsidR="00B43C43">
        <w:t>n</w:t>
      </w:r>
      <w:r w:rsidRPr="00D56C84">
        <w:t>ame changes in Q</w:t>
      </w:r>
      <w:r w:rsidR="00681D5F" w:rsidRPr="00D56C84">
        <w:t>ueensland</w:t>
      </w:r>
      <w:r w:rsidRPr="00D56C84">
        <w:t>, including Dalby into Western Downs Regional Council, and the Town of Roma into the Roma Regional Council</w:t>
      </w:r>
      <w:r w:rsidR="00B43C43">
        <w:t>.</w:t>
      </w:r>
    </w:p>
    <w:p w:rsidR="00016FA8" w:rsidRPr="00D56C84" w:rsidRDefault="00ED6CA0" w:rsidP="0006111E">
      <w:pPr>
        <w:pStyle w:val="ParaIndent"/>
        <w:jc w:val="both"/>
      </w:pPr>
      <w:fldSimple w:instr=" REF _Ref297133475 \h  \* MERGEFORMAT ">
        <w:r w:rsidR="00166111" w:rsidRPr="00D56C84">
          <w:t xml:space="preserve">Table </w:t>
        </w:r>
        <w:r w:rsidR="00166111">
          <w:rPr>
            <w:noProof/>
          </w:rPr>
          <w:t>2</w:t>
        </w:r>
        <w:r w:rsidR="00166111" w:rsidRPr="00D56C84">
          <w:rPr>
            <w:noProof/>
          </w:rPr>
          <w:t>-</w:t>
        </w:r>
        <w:r w:rsidR="00166111">
          <w:rPr>
            <w:noProof/>
          </w:rPr>
          <w:t>1</w:t>
        </w:r>
      </w:fldSimple>
      <w:r w:rsidR="00016FA8" w:rsidRPr="00D56C84">
        <w:t xml:space="preserve"> show</w:t>
      </w:r>
      <w:r w:rsidR="00FF7FE3" w:rsidRPr="00D56C84">
        <w:t>s</w:t>
      </w:r>
      <w:r w:rsidR="00016FA8" w:rsidRPr="00D56C84">
        <w:t xml:space="preserve"> the distribution of these local government areas across states and territories in Australia.</w:t>
      </w:r>
      <w:r w:rsidR="00016FA8" w:rsidRPr="00D56C84">
        <w:rPr>
          <w:rStyle w:val="FootnoteReference"/>
        </w:rPr>
        <w:footnoteReference w:id="2"/>
      </w:r>
    </w:p>
    <w:p w:rsidR="00690B3D" w:rsidRPr="00D56C84" w:rsidRDefault="00690B3D" w:rsidP="00690B3D">
      <w:pPr>
        <w:pStyle w:val="Caption"/>
      </w:pPr>
      <w:bookmarkStart w:id="18" w:name="_Ref297133475"/>
      <w:r w:rsidRPr="00D56C84">
        <w:t xml:space="preserve">Table </w:t>
      </w:r>
      <w:r w:rsidR="00ED6CA0">
        <w:fldChar w:fldCharType="begin"/>
      </w:r>
      <w:r w:rsidR="006D5406">
        <w:instrText xml:space="preserve"> STYLEREF "_Heading1" \n </w:instrText>
      </w:r>
      <w:r w:rsidR="00ED6CA0">
        <w:fldChar w:fldCharType="separate"/>
      </w:r>
      <w:r w:rsidR="00166111">
        <w:rPr>
          <w:noProof/>
        </w:rPr>
        <w:t>2</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w:t>
      </w:r>
      <w:r w:rsidR="00ED6CA0">
        <w:rPr>
          <w:noProof/>
        </w:rPr>
        <w:fldChar w:fldCharType="end"/>
      </w:r>
      <w:bookmarkEnd w:id="18"/>
      <w:r w:rsidRPr="00D56C84">
        <w:tab/>
        <w:t>Number and type of LGAs in each Australian jurisdiction</w:t>
      </w:r>
    </w:p>
    <w:tbl>
      <w:tblPr>
        <w:tblW w:w="5000" w:type="pct"/>
        <w:tblBorders>
          <w:bottom w:val="single" w:sz="18" w:space="0" w:color="808080"/>
          <w:insideH w:val="single" w:sz="4" w:space="0" w:color="808080"/>
        </w:tblBorders>
        <w:tblCellMar>
          <w:left w:w="0" w:type="dxa"/>
          <w:right w:w="0" w:type="dxa"/>
        </w:tblCellMar>
        <w:tblLook w:val="04A0"/>
      </w:tblPr>
      <w:tblGrid>
        <w:gridCol w:w="1119"/>
        <w:gridCol w:w="725"/>
        <w:gridCol w:w="846"/>
        <w:gridCol w:w="1369"/>
        <w:gridCol w:w="761"/>
        <w:gridCol w:w="850"/>
        <w:gridCol w:w="993"/>
        <w:gridCol w:w="850"/>
        <w:gridCol w:w="709"/>
        <w:gridCol w:w="850"/>
        <w:gridCol w:w="567"/>
      </w:tblGrid>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Heading"/>
              <w:rPr>
                <w:lang w:eastAsia="en-AU"/>
              </w:rPr>
            </w:pPr>
            <w:r w:rsidRPr="00D56C84">
              <w:rPr>
                <w:lang w:eastAsia="en-AU"/>
              </w:rPr>
              <w:t>Jurisdiction</w:t>
            </w:r>
          </w:p>
        </w:tc>
        <w:tc>
          <w:tcPr>
            <w:tcW w:w="376"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Cities</w:t>
            </w:r>
          </w:p>
        </w:tc>
        <w:tc>
          <w:tcPr>
            <w:tcW w:w="439"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Shires</w:t>
            </w:r>
          </w:p>
        </w:tc>
        <w:tc>
          <w:tcPr>
            <w:tcW w:w="710"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Municipalities</w:t>
            </w:r>
          </w:p>
        </w:tc>
        <w:tc>
          <w:tcPr>
            <w:tcW w:w="395"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Councils</w:t>
            </w:r>
          </w:p>
        </w:tc>
        <w:tc>
          <w:tcPr>
            <w:tcW w:w="441"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District councils</w:t>
            </w:r>
          </w:p>
        </w:tc>
        <w:tc>
          <w:tcPr>
            <w:tcW w:w="515"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Regional councils</w:t>
            </w:r>
          </w:p>
        </w:tc>
        <w:tc>
          <w:tcPr>
            <w:tcW w:w="441"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Rural cities</w:t>
            </w:r>
          </w:p>
        </w:tc>
        <w:tc>
          <w:tcPr>
            <w:tcW w:w="368"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Towns</w:t>
            </w:r>
          </w:p>
        </w:tc>
        <w:tc>
          <w:tcPr>
            <w:tcW w:w="441" w:type="pct"/>
            <w:shd w:val="clear" w:color="auto" w:fill="auto"/>
            <w:vAlign w:val="bottom"/>
            <w:hideMark/>
          </w:tcPr>
          <w:p w:rsidR="00F26356" w:rsidRPr="00D56C84" w:rsidRDefault="00F26356" w:rsidP="00F26356">
            <w:pPr>
              <w:pStyle w:val="TableHeading"/>
              <w:jc w:val="center"/>
              <w:rPr>
                <w:lang w:eastAsia="en-AU"/>
              </w:rPr>
            </w:pPr>
            <w:r w:rsidRPr="00D56C84">
              <w:rPr>
                <w:lang w:eastAsia="en-AU"/>
              </w:rPr>
              <w:t>Others</w:t>
            </w:r>
          </w:p>
        </w:tc>
        <w:tc>
          <w:tcPr>
            <w:tcW w:w="294" w:type="pct"/>
            <w:shd w:val="clear" w:color="auto" w:fill="auto"/>
            <w:vAlign w:val="bottom"/>
            <w:hideMark/>
          </w:tcPr>
          <w:p w:rsidR="00F26356" w:rsidRPr="00D56C84" w:rsidRDefault="00F26356" w:rsidP="00F26356">
            <w:pPr>
              <w:pStyle w:val="TableHeading"/>
              <w:jc w:val="center"/>
              <w:rPr>
                <w:bCs/>
                <w:lang w:eastAsia="en-AU"/>
              </w:rPr>
            </w:pPr>
            <w:r w:rsidRPr="00D56C84">
              <w:rPr>
                <w:bCs/>
                <w:lang w:eastAsia="en-AU"/>
              </w:rPr>
              <w:t>Total</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NSW</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37</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75</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9</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28</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3</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152</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Vic</w:t>
            </w:r>
            <w:r w:rsidR="00555F17" w:rsidRPr="00D56C84">
              <w:rPr>
                <w:lang w:eastAsia="en-AU"/>
              </w:rPr>
              <w:t>toria</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33</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39</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6</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79</w:t>
            </w:r>
          </w:p>
        </w:tc>
      </w:tr>
      <w:tr w:rsidR="00F26356" w:rsidRPr="00D56C84" w:rsidTr="00F26356">
        <w:trPr>
          <w:trHeight w:val="450"/>
        </w:trPr>
        <w:tc>
          <w:tcPr>
            <w:tcW w:w="580" w:type="pct"/>
            <w:shd w:val="clear" w:color="auto" w:fill="auto"/>
            <w:noWrap/>
            <w:vAlign w:val="bottom"/>
            <w:hideMark/>
          </w:tcPr>
          <w:p w:rsidR="00F26356" w:rsidRPr="00D56C84" w:rsidRDefault="00555F17" w:rsidP="00F26356">
            <w:pPr>
              <w:pStyle w:val="TableText"/>
              <w:rPr>
                <w:lang w:eastAsia="en-AU"/>
              </w:rPr>
            </w:pPr>
            <w:r w:rsidRPr="00D56C84">
              <w:rPr>
                <w:lang w:eastAsia="en-AU"/>
              </w:rPr>
              <w:t>Queensland</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7</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24</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29</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13</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74</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SA</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21</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41</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4</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70</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WA</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22</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106</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11</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139</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Tas</w:t>
            </w:r>
            <w:r w:rsidR="00555F17" w:rsidRPr="00D56C84">
              <w:rPr>
                <w:lang w:eastAsia="en-AU"/>
              </w:rPr>
              <w:t>mania</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6</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19</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4</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29</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lang w:eastAsia="en-AU"/>
              </w:rPr>
            </w:pPr>
            <w:r w:rsidRPr="00D56C84">
              <w:rPr>
                <w:lang w:eastAsia="en-AU"/>
              </w:rPr>
              <w:t>NT</w:t>
            </w:r>
          </w:p>
        </w:tc>
        <w:tc>
          <w:tcPr>
            <w:tcW w:w="376"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w:t>
            </w:r>
          </w:p>
        </w:tc>
        <w:tc>
          <w:tcPr>
            <w:tcW w:w="439"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10</w:t>
            </w:r>
          </w:p>
        </w:tc>
        <w:tc>
          <w:tcPr>
            <w:tcW w:w="710"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9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515"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w:t>
            </w:r>
          </w:p>
        </w:tc>
        <w:tc>
          <w:tcPr>
            <w:tcW w:w="368"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w:t>
            </w:r>
          </w:p>
        </w:tc>
        <w:tc>
          <w:tcPr>
            <w:tcW w:w="441" w:type="pct"/>
            <w:shd w:val="clear" w:color="auto" w:fill="auto"/>
            <w:vAlign w:val="bottom"/>
            <w:hideMark/>
          </w:tcPr>
          <w:p w:rsidR="00F26356" w:rsidRPr="00D56C84" w:rsidRDefault="00F26356" w:rsidP="00F26356">
            <w:pPr>
              <w:pStyle w:val="TableText"/>
              <w:jc w:val="center"/>
              <w:rPr>
                <w:lang w:eastAsia="en-AU"/>
              </w:rPr>
            </w:pPr>
            <w:r w:rsidRPr="00D56C84">
              <w:rPr>
                <w:lang w:eastAsia="en-AU"/>
              </w:rPr>
              <w:t>2</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16</w:t>
            </w:r>
          </w:p>
        </w:tc>
      </w:tr>
      <w:tr w:rsidR="00F26356" w:rsidRPr="00D56C84" w:rsidTr="00F26356">
        <w:trPr>
          <w:trHeight w:val="450"/>
        </w:trPr>
        <w:tc>
          <w:tcPr>
            <w:tcW w:w="580" w:type="pct"/>
            <w:shd w:val="clear" w:color="auto" w:fill="auto"/>
            <w:noWrap/>
            <w:vAlign w:val="bottom"/>
            <w:hideMark/>
          </w:tcPr>
          <w:p w:rsidR="00F26356" w:rsidRPr="00D56C84" w:rsidRDefault="00F26356" w:rsidP="00F26356">
            <w:pPr>
              <w:pStyle w:val="TableText"/>
              <w:rPr>
                <w:b/>
                <w:bCs/>
                <w:lang w:eastAsia="en-AU"/>
              </w:rPr>
            </w:pPr>
            <w:r w:rsidRPr="00D56C84">
              <w:rPr>
                <w:b/>
                <w:bCs/>
                <w:lang w:eastAsia="en-AU"/>
              </w:rPr>
              <w:t>Total</w:t>
            </w:r>
          </w:p>
        </w:tc>
        <w:tc>
          <w:tcPr>
            <w:tcW w:w="376"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128</w:t>
            </w:r>
          </w:p>
        </w:tc>
        <w:tc>
          <w:tcPr>
            <w:tcW w:w="439"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254</w:t>
            </w:r>
          </w:p>
        </w:tc>
        <w:tc>
          <w:tcPr>
            <w:tcW w:w="710"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28</w:t>
            </w:r>
          </w:p>
        </w:tc>
        <w:tc>
          <w:tcPr>
            <w:tcW w:w="395"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32</w:t>
            </w:r>
          </w:p>
        </w:tc>
        <w:tc>
          <w:tcPr>
            <w:tcW w:w="441"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41</w:t>
            </w:r>
          </w:p>
        </w:tc>
        <w:tc>
          <w:tcPr>
            <w:tcW w:w="515"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36</w:t>
            </w:r>
          </w:p>
        </w:tc>
        <w:tc>
          <w:tcPr>
            <w:tcW w:w="441"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7</w:t>
            </w:r>
          </w:p>
        </w:tc>
        <w:tc>
          <w:tcPr>
            <w:tcW w:w="368"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16</w:t>
            </w:r>
          </w:p>
        </w:tc>
        <w:tc>
          <w:tcPr>
            <w:tcW w:w="441"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17</w:t>
            </w:r>
          </w:p>
        </w:tc>
        <w:tc>
          <w:tcPr>
            <w:tcW w:w="294" w:type="pct"/>
            <w:shd w:val="clear" w:color="auto" w:fill="auto"/>
            <w:vAlign w:val="bottom"/>
            <w:hideMark/>
          </w:tcPr>
          <w:p w:rsidR="00F26356" w:rsidRPr="00D56C84" w:rsidRDefault="00F26356" w:rsidP="00F26356">
            <w:pPr>
              <w:pStyle w:val="TableText"/>
              <w:jc w:val="center"/>
              <w:rPr>
                <w:b/>
                <w:bCs/>
                <w:lang w:eastAsia="en-AU"/>
              </w:rPr>
            </w:pPr>
            <w:r w:rsidRPr="00D56C84">
              <w:rPr>
                <w:b/>
                <w:bCs/>
                <w:lang w:eastAsia="en-AU"/>
              </w:rPr>
              <w:t>559</w:t>
            </w:r>
          </w:p>
        </w:tc>
      </w:tr>
    </w:tbl>
    <w:p w:rsidR="00F26356" w:rsidRPr="00D56C84" w:rsidRDefault="00F26356" w:rsidP="00016FA8">
      <w:pPr>
        <w:pStyle w:val="ParaIndent"/>
        <w:jc w:val="both"/>
      </w:pPr>
    </w:p>
    <w:p w:rsidR="00AB7382" w:rsidRPr="00D56C84" w:rsidRDefault="00ED6CA0" w:rsidP="0006111E">
      <w:pPr>
        <w:pStyle w:val="ParaIndent"/>
        <w:jc w:val="both"/>
      </w:pPr>
      <w:r w:rsidRPr="00D56C84">
        <w:fldChar w:fldCharType="begin"/>
      </w:r>
      <w:r w:rsidR="005E758E" w:rsidRPr="00D56C84">
        <w:instrText xml:space="preserve"> REF _Ref297133488 \h </w:instrText>
      </w:r>
      <w:r w:rsidRPr="00D56C84">
        <w:fldChar w:fldCharType="separate"/>
      </w:r>
      <w:r w:rsidR="00166111" w:rsidRPr="00D56C84">
        <w:t xml:space="preserve">Table </w:t>
      </w:r>
      <w:r w:rsidR="00166111">
        <w:rPr>
          <w:noProof/>
        </w:rPr>
        <w:t>2</w:t>
      </w:r>
      <w:r w:rsidR="00166111" w:rsidRPr="00D56C84">
        <w:t>-</w:t>
      </w:r>
      <w:r w:rsidR="00166111">
        <w:rPr>
          <w:noProof/>
        </w:rPr>
        <w:t>2</w:t>
      </w:r>
      <w:r w:rsidRPr="00D56C84">
        <w:fldChar w:fldCharType="end"/>
      </w:r>
      <w:r w:rsidR="00D81C42" w:rsidRPr="00D56C84">
        <w:t xml:space="preserve"> provides further details on LGAs in each jurisdiction, including on ABS classifications as metropolitan, regional or remote</w:t>
      </w:r>
      <w:r w:rsidR="00AB7382" w:rsidRPr="00D56C84">
        <w:t>.</w:t>
      </w:r>
    </w:p>
    <w:p w:rsidR="006851A4" w:rsidRPr="00D56C84" w:rsidRDefault="006851A4" w:rsidP="00AB7382">
      <w:pPr>
        <w:pStyle w:val="ParaIndent"/>
        <w:sectPr w:rsidR="006851A4" w:rsidRPr="00D56C84" w:rsidSect="00A2013E">
          <w:type w:val="oddPage"/>
          <w:pgSz w:w="11907" w:h="16840" w:code="9"/>
          <w:pgMar w:top="1134" w:right="1134" w:bottom="1134" w:left="1134" w:header="567" w:footer="567" w:gutter="0"/>
          <w:pgNumType w:start="1"/>
          <w:cols w:space="708"/>
          <w:docGrid w:linePitch="360"/>
        </w:sectPr>
      </w:pPr>
    </w:p>
    <w:p w:rsidR="00690B3D" w:rsidRPr="00D56C84" w:rsidRDefault="00690B3D" w:rsidP="00690B3D">
      <w:pPr>
        <w:pStyle w:val="Caption"/>
      </w:pPr>
      <w:bookmarkStart w:id="19" w:name="_Ref297133488"/>
      <w:bookmarkStart w:id="20" w:name="_Ref289264703"/>
      <w:bookmarkStart w:id="21" w:name="_Ref289264697"/>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2</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w:t>
      </w:r>
      <w:r w:rsidR="00ED6CA0">
        <w:rPr>
          <w:noProof/>
        </w:rPr>
        <w:fldChar w:fldCharType="end"/>
      </w:r>
      <w:bookmarkEnd w:id="19"/>
      <w:r w:rsidRPr="00D56C84">
        <w:tab/>
        <w:t>Local government areas in Australian states and territories</w:t>
      </w:r>
      <w:r w:rsidR="00A54302">
        <w:t>, by remoteness*</w:t>
      </w:r>
    </w:p>
    <w:bookmarkEnd w:id="20"/>
    <w:bookmarkEnd w:id="21"/>
    <w:tbl>
      <w:tblPr>
        <w:tblW w:w="4925" w:type="pct"/>
        <w:tblLayout w:type="fixed"/>
        <w:tblLook w:val="04A0"/>
      </w:tblPr>
      <w:tblGrid>
        <w:gridCol w:w="677"/>
        <w:gridCol w:w="760"/>
        <w:gridCol w:w="1226"/>
        <w:gridCol w:w="1130"/>
        <w:gridCol w:w="711"/>
        <w:gridCol w:w="1276"/>
        <w:gridCol w:w="1276"/>
        <w:gridCol w:w="848"/>
        <w:gridCol w:w="1136"/>
        <w:gridCol w:w="1276"/>
        <w:gridCol w:w="708"/>
        <w:gridCol w:w="1276"/>
        <w:gridCol w:w="1133"/>
        <w:gridCol w:w="1133"/>
      </w:tblGrid>
      <w:tr w:rsidR="006851A4" w:rsidRPr="00D56C84" w:rsidTr="000B1FF7">
        <w:trPr>
          <w:trHeight w:val="450"/>
        </w:trPr>
        <w:tc>
          <w:tcPr>
            <w:tcW w:w="232" w:type="pct"/>
            <w:tcBorders>
              <w:top w:val="nil"/>
              <w:left w:val="nil"/>
              <w:bottom w:val="nil"/>
              <w:right w:val="nil"/>
            </w:tcBorders>
            <w:shd w:val="clear" w:color="auto" w:fill="auto"/>
            <w:noWrap/>
            <w:vAlign w:val="center"/>
            <w:hideMark/>
          </w:tcPr>
          <w:p w:rsidR="006851A4" w:rsidRPr="00D56C84" w:rsidRDefault="006851A4" w:rsidP="006851A4">
            <w:pPr>
              <w:spacing w:after="0" w:line="240" w:lineRule="auto"/>
              <w:ind w:left="0"/>
              <w:rPr>
                <w:rFonts w:cs="Arial"/>
                <w:color w:val="000000"/>
                <w:sz w:val="18"/>
                <w:szCs w:val="18"/>
                <w:lang w:eastAsia="en-AU"/>
              </w:rPr>
            </w:pPr>
          </w:p>
        </w:tc>
        <w:tc>
          <w:tcPr>
            <w:tcW w:w="107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Metropolitan</w:t>
            </w:r>
          </w:p>
        </w:tc>
        <w:tc>
          <w:tcPr>
            <w:tcW w:w="11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Regional</w:t>
            </w:r>
          </w:p>
        </w:tc>
        <w:tc>
          <w:tcPr>
            <w:tcW w:w="111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Remote</w:t>
            </w:r>
          </w:p>
        </w:tc>
        <w:tc>
          <w:tcPr>
            <w:tcW w:w="1459" w:type="pct"/>
            <w:gridSpan w:val="4"/>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Total</w:t>
            </w:r>
          </w:p>
        </w:tc>
      </w:tr>
      <w:tr w:rsidR="000B1FF7" w:rsidRPr="00D56C84" w:rsidTr="000B1FF7">
        <w:trPr>
          <w:trHeight w:val="450"/>
        </w:trPr>
        <w:tc>
          <w:tcPr>
            <w:tcW w:w="232" w:type="pct"/>
            <w:tcBorders>
              <w:top w:val="nil"/>
              <w:left w:val="nil"/>
              <w:bottom w:val="single" w:sz="4" w:space="0" w:color="auto"/>
              <w:right w:val="nil"/>
            </w:tcBorders>
            <w:shd w:val="clear" w:color="auto" w:fill="auto"/>
            <w:noWrap/>
            <w:vAlign w:val="center"/>
            <w:hideMark/>
          </w:tcPr>
          <w:p w:rsidR="006851A4" w:rsidRPr="00D56C84" w:rsidRDefault="006851A4" w:rsidP="006851A4">
            <w:pPr>
              <w:spacing w:after="0" w:line="240" w:lineRule="auto"/>
              <w:ind w:left="0"/>
              <w:rPr>
                <w:rFonts w:cs="Arial"/>
                <w:color w:val="000000"/>
                <w:sz w:val="18"/>
                <w:szCs w:val="18"/>
                <w:lang w:eastAsia="en-AU"/>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81C42">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 xml:space="preserve">No. </w:t>
            </w:r>
            <w:r w:rsidR="00D81C42" w:rsidRPr="00D56C84">
              <w:rPr>
                <w:rFonts w:cs="Arial"/>
                <w:b/>
                <w:color w:val="000000"/>
                <w:sz w:val="18"/>
                <w:szCs w:val="18"/>
                <w:lang w:eastAsia="en-AU"/>
              </w:rPr>
              <w:t>LGAs</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Population</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Land area (km</w:t>
            </w:r>
            <w:r w:rsidRPr="00D56C84">
              <w:rPr>
                <w:rFonts w:cs="Arial"/>
                <w:b/>
                <w:color w:val="000000"/>
                <w:sz w:val="18"/>
                <w:szCs w:val="18"/>
                <w:vertAlign w:val="superscript"/>
                <w:lang w:eastAsia="en-AU"/>
              </w:rPr>
              <w:t>2</w:t>
            </w:r>
            <w:r w:rsidRPr="00D56C84">
              <w:rPr>
                <w:rFonts w:cs="Arial"/>
                <w:b/>
                <w:color w:val="000000"/>
                <w:sz w:val="18"/>
                <w:szCs w:val="18"/>
                <w:lang w:eastAsia="en-AU"/>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81C42">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 xml:space="preserve">No. </w:t>
            </w:r>
            <w:r w:rsidR="00D81C42" w:rsidRPr="00D56C84">
              <w:rPr>
                <w:rFonts w:cs="Arial"/>
                <w:b/>
                <w:color w:val="000000"/>
                <w:sz w:val="18"/>
                <w:szCs w:val="18"/>
                <w:lang w:eastAsia="en-AU"/>
              </w:rPr>
              <w:t>LGAs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Population</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Land area</w:t>
            </w:r>
            <w:r w:rsidR="00D34756" w:rsidRPr="00D56C84">
              <w:rPr>
                <w:rFonts w:cs="Arial"/>
                <w:b/>
                <w:color w:val="000000"/>
                <w:sz w:val="18"/>
                <w:szCs w:val="18"/>
                <w:lang w:eastAsia="en-AU"/>
              </w:rPr>
              <w:t xml:space="preserve"> </w:t>
            </w:r>
            <w:r w:rsidRPr="00D56C84">
              <w:rPr>
                <w:rFonts w:cs="Arial"/>
                <w:b/>
                <w:color w:val="000000"/>
                <w:sz w:val="18"/>
                <w:szCs w:val="18"/>
                <w:lang w:eastAsia="en-AU"/>
              </w:rPr>
              <w:t>(km</w:t>
            </w:r>
            <w:r w:rsidRPr="00D56C84">
              <w:rPr>
                <w:rFonts w:cs="Arial"/>
                <w:b/>
                <w:color w:val="000000"/>
                <w:sz w:val="18"/>
                <w:szCs w:val="18"/>
                <w:vertAlign w:val="superscript"/>
                <w:lang w:eastAsia="en-AU"/>
              </w:rPr>
              <w:t>2</w:t>
            </w:r>
            <w:r w:rsidRPr="00D56C84">
              <w:rPr>
                <w:rFonts w:cs="Arial"/>
                <w:b/>
                <w:color w:val="000000"/>
                <w:sz w:val="18"/>
                <w:szCs w:val="18"/>
                <w:lang w:eastAsia="en-AU"/>
              </w:rPr>
              <w:t>)</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81C42">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 xml:space="preserve">No. </w:t>
            </w:r>
            <w:r w:rsidR="00D81C42" w:rsidRPr="00D56C84">
              <w:rPr>
                <w:rFonts w:cs="Arial"/>
                <w:b/>
                <w:color w:val="000000"/>
                <w:sz w:val="18"/>
                <w:szCs w:val="18"/>
                <w:lang w:eastAsia="en-AU"/>
              </w:rPr>
              <w:t>LGAs</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Population</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Land area</w:t>
            </w:r>
            <w:r w:rsidR="00D34756" w:rsidRPr="00D56C84">
              <w:rPr>
                <w:rFonts w:cs="Arial"/>
                <w:b/>
                <w:color w:val="000000"/>
                <w:sz w:val="18"/>
                <w:szCs w:val="18"/>
                <w:lang w:eastAsia="en-AU"/>
              </w:rPr>
              <w:t xml:space="preserve"> (km</w:t>
            </w:r>
            <w:r w:rsidR="00D34756" w:rsidRPr="00D56C84">
              <w:rPr>
                <w:rFonts w:cs="Arial"/>
                <w:b/>
                <w:color w:val="000000"/>
                <w:sz w:val="18"/>
                <w:szCs w:val="18"/>
                <w:vertAlign w:val="superscript"/>
                <w:lang w:eastAsia="en-AU"/>
              </w:rPr>
              <w:t>2</w:t>
            </w:r>
            <w:r w:rsidR="00D34756" w:rsidRPr="00D56C84">
              <w:rPr>
                <w:rFonts w:cs="Arial"/>
                <w:b/>
                <w:color w:val="000000"/>
                <w:sz w:val="18"/>
                <w:szCs w:val="18"/>
                <w:lang w:eastAsia="en-AU"/>
              </w:rPr>
              <w:t>)</w:t>
            </w:r>
          </w:p>
        </w:tc>
        <w:tc>
          <w:tcPr>
            <w:tcW w:w="243"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81C42">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 xml:space="preserve">No. </w:t>
            </w:r>
            <w:r w:rsidR="00D81C42" w:rsidRPr="00D56C84">
              <w:rPr>
                <w:rFonts w:cs="Arial"/>
                <w:b/>
                <w:color w:val="000000"/>
                <w:sz w:val="18"/>
                <w:szCs w:val="18"/>
                <w:lang w:eastAsia="en-AU"/>
              </w:rPr>
              <w:t>LGAs</w:t>
            </w:r>
          </w:p>
        </w:tc>
        <w:tc>
          <w:tcPr>
            <w:tcW w:w="438"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Population</w:t>
            </w:r>
          </w:p>
        </w:tc>
        <w:tc>
          <w:tcPr>
            <w:tcW w:w="38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 xml:space="preserve">Land area </w:t>
            </w:r>
            <w:r w:rsidR="00D34756" w:rsidRPr="00D56C84">
              <w:rPr>
                <w:rFonts w:cs="Arial"/>
                <w:b/>
                <w:color w:val="000000"/>
                <w:sz w:val="18"/>
                <w:szCs w:val="18"/>
                <w:lang w:eastAsia="en-AU"/>
              </w:rPr>
              <w:t>(km</w:t>
            </w:r>
            <w:r w:rsidR="00D34756" w:rsidRPr="00D56C84">
              <w:rPr>
                <w:rFonts w:cs="Arial"/>
                <w:b/>
                <w:color w:val="000000"/>
                <w:sz w:val="18"/>
                <w:szCs w:val="18"/>
                <w:vertAlign w:val="superscript"/>
                <w:lang w:eastAsia="en-AU"/>
              </w:rPr>
              <w:t>2</w:t>
            </w:r>
            <w:r w:rsidR="00D34756" w:rsidRPr="00D56C84">
              <w:rPr>
                <w:rFonts w:cs="Arial"/>
                <w:b/>
                <w:color w:val="000000"/>
                <w:sz w:val="18"/>
                <w:szCs w:val="18"/>
                <w:lang w:eastAsia="en-AU"/>
              </w:rPr>
              <w:t>)</w:t>
            </w:r>
          </w:p>
        </w:tc>
        <w:tc>
          <w:tcPr>
            <w:tcW w:w="38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color w:val="000000"/>
                <w:sz w:val="18"/>
                <w:szCs w:val="18"/>
                <w:lang w:eastAsia="en-AU"/>
              </w:rPr>
            </w:pPr>
            <w:r w:rsidRPr="00D56C84">
              <w:rPr>
                <w:rFonts w:cs="Arial"/>
                <w:b/>
                <w:color w:val="000000"/>
                <w:sz w:val="18"/>
                <w:szCs w:val="18"/>
                <w:lang w:eastAsia="en-AU"/>
              </w:rPr>
              <w:t>Density</w:t>
            </w:r>
            <w:r w:rsidR="00D34756" w:rsidRPr="00D56C84">
              <w:rPr>
                <w:rFonts w:cs="Arial"/>
                <w:b/>
                <w:color w:val="000000"/>
                <w:sz w:val="18"/>
                <w:szCs w:val="18"/>
                <w:lang w:eastAsia="en-AU"/>
              </w:rPr>
              <w:t xml:space="preserve"> (people /km</w:t>
            </w:r>
            <w:r w:rsidR="00D34756" w:rsidRPr="00D56C84">
              <w:rPr>
                <w:rFonts w:cs="Arial"/>
                <w:b/>
                <w:color w:val="000000"/>
                <w:sz w:val="18"/>
                <w:szCs w:val="18"/>
                <w:vertAlign w:val="superscript"/>
                <w:lang w:eastAsia="en-AU"/>
              </w:rPr>
              <w:t>2)</w:t>
            </w:r>
          </w:p>
        </w:tc>
      </w:tr>
      <w:tr w:rsidR="000B1FF7" w:rsidRPr="00D56C84" w:rsidTr="000B1FF7">
        <w:trPr>
          <w:trHeight w:val="450"/>
        </w:trPr>
        <w:tc>
          <w:tcPr>
            <w:tcW w:w="232" w:type="pct"/>
            <w:tcBorders>
              <w:top w:val="single" w:sz="4" w:space="0" w:color="auto"/>
              <w:left w:val="single" w:sz="4" w:space="0" w:color="auto"/>
              <w:bottom w:val="nil"/>
              <w:right w:val="nil"/>
            </w:tcBorders>
            <w:shd w:val="clear" w:color="000000" w:fill="D8D8D8"/>
            <w:noWrap/>
            <w:vAlign w:val="center"/>
            <w:hideMark/>
          </w:tcPr>
          <w:p w:rsidR="006851A4" w:rsidRPr="00D56C84" w:rsidRDefault="006851A4" w:rsidP="006851A4">
            <w:pPr>
              <w:spacing w:after="0" w:line="240" w:lineRule="auto"/>
              <w:ind w:left="0"/>
              <w:rPr>
                <w:rFonts w:cs="Arial"/>
                <w:color w:val="000000"/>
                <w:sz w:val="18"/>
                <w:szCs w:val="18"/>
                <w:lang w:eastAsia="en-AU"/>
              </w:rPr>
            </w:pPr>
            <w:r w:rsidRPr="00D56C84">
              <w:rPr>
                <w:rFonts w:cs="Arial"/>
                <w:color w:val="000000"/>
                <w:sz w:val="18"/>
                <w:szCs w:val="18"/>
                <w:lang w:eastAsia="en-AU"/>
              </w:rPr>
              <w:t>NSW</w:t>
            </w:r>
          </w:p>
        </w:tc>
        <w:tc>
          <w:tcPr>
            <w:tcW w:w="261" w:type="pct"/>
            <w:tcBorders>
              <w:top w:val="single" w:sz="4" w:space="0" w:color="auto"/>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41</w:t>
            </w:r>
          </w:p>
        </w:tc>
        <w:tc>
          <w:tcPr>
            <w:tcW w:w="421"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4,197,389</w:t>
            </w:r>
          </w:p>
        </w:tc>
        <w:tc>
          <w:tcPr>
            <w:tcW w:w="388"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8,212</w:t>
            </w:r>
          </w:p>
        </w:tc>
        <w:tc>
          <w:tcPr>
            <w:tcW w:w="244" w:type="pct"/>
            <w:tcBorders>
              <w:top w:val="single" w:sz="4" w:space="0" w:color="auto"/>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50</w:t>
            </w:r>
          </w:p>
        </w:tc>
        <w:tc>
          <w:tcPr>
            <w:tcW w:w="438"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2,280,325</w:t>
            </w:r>
          </w:p>
        </w:tc>
        <w:tc>
          <w:tcPr>
            <w:tcW w:w="438"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127,846</w:t>
            </w:r>
          </w:p>
        </w:tc>
        <w:tc>
          <w:tcPr>
            <w:tcW w:w="291" w:type="pct"/>
            <w:tcBorders>
              <w:top w:val="single" w:sz="4" w:space="0" w:color="auto"/>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61</w:t>
            </w:r>
          </w:p>
        </w:tc>
        <w:tc>
          <w:tcPr>
            <w:tcW w:w="390"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655,591</w:t>
            </w:r>
          </w:p>
        </w:tc>
        <w:tc>
          <w:tcPr>
            <w:tcW w:w="438" w:type="pct"/>
            <w:tcBorders>
              <w:top w:val="single" w:sz="4" w:space="0" w:color="auto"/>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571,957</w:t>
            </w:r>
          </w:p>
        </w:tc>
        <w:tc>
          <w:tcPr>
            <w:tcW w:w="243" w:type="pct"/>
            <w:tcBorders>
              <w:top w:val="single" w:sz="4" w:space="0" w:color="auto"/>
              <w:left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152</w:t>
            </w:r>
          </w:p>
        </w:tc>
        <w:tc>
          <w:tcPr>
            <w:tcW w:w="438" w:type="pct"/>
            <w:tcBorders>
              <w:top w:val="single" w:sz="4" w:space="0" w:color="auto"/>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7,133,305</w:t>
            </w:r>
          </w:p>
        </w:tc>
        <w:tc>
          <w:tcPr>
            <w:tcW w:w="389" w:type="pct"/>
            <w:tcBorders>
              <w:top w:val="single" w:sz="4" w:space="0" w:color="auto"/>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708,015</w:t>
            </w:r>
          </w:p>
        </w:tc>
        <w:tc>
          <w:tcPr>
            <w:tcW w:w="389" w:type="pct"/>
            <w:tcBorders>
              <w:top w:val="single" w:sz="4" w:space="0" w:color="auto"/>
              <w:left w:val="nil"/>
              <w:right w:val="single" w:sz="4" w:space="0" w:color="auto"/>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10.1</w:t>
            </w:r>
          </w:p>
        </w:tc>
      </w:tr>
      <w:tr w:rsidR="000B1FF7" w:rsidRPr="00D56C84" w:rsidTr="000B1FF7">
        <w:trPr>
          <w:trHeight w:val="450"/>
        </w:trPr>
        <w:tc>
          <w:tcPr>
            <w:tcW w:w="232"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rPr>
                <w:rFonts w:cs="Arial"/>
                <w:color w:val="000000"/>
                <w:sz w:val="18"/>
                <w:szCs w:val="18"/>
                <w:lang w:eastAsia="en-AU"/>
              </w:rPr>
            </w:pPr>
            <w:r w:rsidRPr="00D56C84">
              <w:rPr>
                <w:rFonts w:cs="Arial"/>
                <w:color w:val="000000"/>
                <w:sz w:val="18"/>
                <w:szCs w:val="18"/>
                <w:lang w:eastAsia="en-AU"/>
              </w:rPr>
              <w:t>V</w:t>
            </w:r>
            <w:r w:rsidR="00D34756" w:rsidRPr="00D56C84">
              <w:rPr>
                <w:rFonts w:cs="Arial"/>
                <w:color w:val="000000"/>
                <w:sz w:val="18"/>
                <w:szCs w:val="18"/>
                <w:lang w:eastAsia="en-AU"/>
              </w:rPr>
              <w:t>IC</w:t>
            </w:r>
          </w:p>
        </w:tc>
        <w:tc>
          <w:tcPr>
            <w:tcW w:w="26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30</w:t>
            </w:r>
          </w:p>
        </w:tc>
        <w:tc>
          <w:tcPr>
            <w:tcW w:w="421"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3,994,937</w:t>
            </w:r>
          </w:p>
        </w:tc>
        <w:tc>
          <w:tcPr>
            <w:tcW w:w="38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6,328</w:t>
            </w:r>
          </w:p>
        </w:tc>
        <w:tc>
          <w:tcPr>
            <w:tcW w:w="244"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34</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1,192,566</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97,829</w:t>
            </w:r>
          </w:p>
        </w:tc>
        <w:tc>
          <w:tcPr>
            <w:tcW w:w="29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15</w:t>
            </w:r>
          </w:p>
        </w:tc>
        <w:tc>
          <w:tcPr>
            <w:tcW w:w="390"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254,955</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122,980</w:t>
            </w:r>
          </w:p>
        </w:tc>
        <w:tc>
          <w:tcPr>
            <w:tcW w:w="243" w:type="pct"/>
            <w:tcBorders>
              <w:top w:val="nil"/>
              <w:left w:val="single" w:sz="4" w:space="0" w:color="auto"/>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79</w:t>
            </w:r>
          </w:p>
        </w:tc>
        <w:tc>
          <w:tcPr>
            <w:tcW w:w="438"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5,442,458</w:t>
            </w:r>
          </w:p>
        </w:tc>
        <w:tc>
          <w:tcPr>
            <w:tcW w:w="389"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227,137</w:t>
            </w:r>
          </w:p>
        </w:tc>
        <w:tc>
          <w:tcPr>
            <w:tcW w:w="389" w:type="pct"/>
            <w:tcBorders>
              <w:top w:val="nil"/>
              <w:left w:val="nil"/>
              <w:bottom w:val="nil"/>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24.0</w:t>
            </w:r>
          </w:p>
        </w:tc>
      </w:tr>
      <w:tr w:rsidR="000B1FF7" w:rsidRPr="00D56C84" w:rsidTr="000B1FF7">
        <w:trPr>
          <w:trHeight w:val="450"/>
        </w:trPr>
        <w:tc>
          <w:tcPr>
            <w:tcW w:w="232"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rPr>
                <w:rFonts w:cs="Arial"/>
                <w:color w:val="000000"/>
                <w:sz w:val="18"/>
                <w:szCs w:val="18"/>
                <w:lang w:eastAsia="en-AU"/>
              </w:rPr>
            </w:pPr>
            <w:r w:rsidRPr="00D56C84">
              <w:rPr>
                <w:rFonts w:cs="Arial"/>
                <w:color w:val="000000"/>
                <w:sz w:val="18"/>
                <w:szCs w:val="18"/>
                <w:lang w:eastAsia="en-AU"/>
              </w:rPr>
              <w:t>Q</w:t>
            </w:r>
            <w:r w:rsidR="00D34756" w:rsidRPr="00D56C84">
              <w:rPr>
                <w:rFonts w:cs="Arial"/>
                <w:color w:val="000000"/>
                <w:sz w:val="18"/>
                <w:szCs w:val="18"/>
                <w:lang w:eastAsia="en-AU"/>
              </w:rPr>
              <w:t>LD</w:t>
            </w:r>
          </w:p>
        </w:tc>
        <w:tc>
          <w:tcPr>
            <w:tcW w:w="261"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w:t>
            </w:r>
          </w:p>
        </w:tc>
        <w:tc>
          <w:tcPr>
            <w:tcW w:w="421"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1,193,149</w:t>
            </w:r>
          </w:p>
        </w:tc>
        <w:tc>
          <w:tcPr>
            <w:tcW w:w="38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1,863</w:t>
            </w:r>
          </w:p>
        </w:tc>
        <w:tc>
          <w:tcPr>
            <w:tcW w:w="244"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9</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1,170,192</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167,273</w:t>
            </w:r>
          </w:p>
        </w:tc>
        <w:tc>
          <w:tcPr>
            <w:tcW w:w="291"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63</w:t>
            </w:r>
          </w:p>
        </w:tc>
        <w:tc>
          <w:tcPr>
            <w:tcW w:w="390"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2,061,762</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1,565,036</w:t>
            </w:r>
          </w:p>
        </w:tc>
        <w:tc>
          <w:tcPr>
            <w:tcW w:w="243" w:type="pct"/>
            <w:tcBorders>
              <w:top w:val="nil"/>
              <w:left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74</w:t>
            </w:r>
          </w:p>
        </w:tc>
        <w:tc>
          <w:tcPr>
            <w:tcW w:w="438" w:type="pct"/>
            <w:tcBorders>
              <w:top w:val="nil"/>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4,425,103</w:t>
            </w:r>
          </w:p>
        </w:tc>
        <w:tc>
          <w:tcPr>
            <w:tcW w:w="389" w:type="pct"/>
            <w:tcBorders>
              <w:top w:val="nil"/>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1,734,173</w:t>
            </w:r>
          </w:p>
        </w:tc>
        <w:tc>
          <w:tcPr>
            <w:tcW w:w="389" w:type="pct"/>
            <w:tcBorders>
              <w:top w:val="nil"/>
              <w:left w:val="nil"/>
              <w:right w:val="single" w:sz="4" w:space="0" w:color="auto"/>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2.6</w:t>
            </w:r>
          </w:p>
        </w:tc>
      </w:tr>
      <w:tr w:rsidR="000B1FF7" w:rsidRPr="00D56C84" w:rsidTr="000B1FF7">
        <w:trPr>
          <w:trHeight w:val="450"/>
        </w:trPr>
        <w:tc>
          <w:tcPr>
            <w:tcW w:w="232" w:type="pct"/>
            <w:tcBorders>
              <w:top w:val="nil"/>
              <w:left w:val="single" w:sz="4" w:space="0" w:color="auto"/>
              <w:bottom w:val="nil"/>
              <w:right w:val="nil"/>
            </w:tcBorders>
            <w:shd w:val="clear" w:color="auto" w:fill="auto"/>
            <w:noWrap/>
            <w:vAlign w:val="center"/>
            <w:hideMark/>
          </w:tcPr>
          <w:p w:rsidR="006851A4" w:rsidRPr="00D56C84" w:rsidRDefault="006851A4" w:rsidP="006851A4">
            <w:pPr>
              <w:spacing w:after="0" w:line="240" w:lineRule="auto"/>
              <w:ind w:left="0"/>
              <w:rPr>
                <w:rFonts w:cs="Arial"/>
                <w:color w:val="000000"/>
                <w:sz w:val="18"/>
                <w:szCs w:val="18"/>
                <w:lang w:eastAsia="en-AU"/>
              </w:rPr>
            </w:pPr>
            <w:r w:rsidRPr="00D56C84">
              <w:rPr>
                <w:rFonts w:cs="Arial"/>
                <w:color w:val="000000"/>
                <w:sz w:val="18"/>
                <w:szCs w:val="18"/>
                <w:lang w:eastAsia="en-AU"/>
              </w:rPr>
              <w:t>SA</w:t>
            </w:r>
          </w:p>
        </w:tc>
        <w:tc>
          <w:tcPr>
            <w:tcW w:w="26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17</w:t>
            </w:r>
          </w:p>
        </w:tc>
        <w:tc>
          <w:tcPr>
            <w:tcW w:w="421"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1,003,452</w:t>
            </w:r>
          </w:p>
        </w:tc>
        <w:tc>
          <w:tcPr>
            <w:tcW w:w="38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1,076</w:t>
            </w:r>
          </w:p>
        </w:tc>
        <w:tc>
          <w:tcPr>
            <w:tcW w:w="244"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12</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369,383</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11,726</w:t>
            </w:r>
          </w:p>
        </w:tc>
        <w:tc>
          <w:tcPr>
            <w:tcW w:w="29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41</w:t>
            </w:r>
          </w:p>
        </w:tc>
        <w:tc>
          <w:tcPr>
            <w:tcW w:w="390"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246,686</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245,334</w:t>
            </w:r>
          </w:p>
        </w:tc>
        <w:tc>
          <w:tcPr>
            <w:tcW w:w="243" w:type="pct"/>
            <w:tcBorders>
              <w:top w:val="nil"/>
              <w:left w:val="single" w:sz="4" w:space="0" w:color="auto"/>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70</w:t>
            </w:r>
          </w:p>
        </w:tc>
        <w:tc>
          <w:tcPr>
            <w:tcW w:w="438"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1,619,521</w:t>
            </w:r>
          </w:p>
        </w:tc>
        <w:tc>
          <w:tcPr>
            <w:tcW w:w="389"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258,136</w:t>
            </w:r>
          </w:p>
        </w:tc>
        <w:tc>
          <w:tcPr>
            <w:tcW w:w="389" w:type="pct"/>
            <w:tcBorders>
              <w:top w:val="nil"/>
              <w:left w:val="nil"/>
              <w:bottom w:val="nil"/>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6.3</w:t>
            </w:r>
          </w:p>
        </w:tc>
      </w:tr>
      <w:tr w:rsidR="000B1FF7" w:rsidRPr="00D56C84" w:rsidTr="000B1FF7">
        <w:trPr>
          <w:trHeight w:val="450"/>
        </w:trPr>
        <w:tc>
          <w:tcPr>
            <w:tcW w:w="232" w:type="pct"/>
            <w:tcBorders>
              <w:top w:val="nil"/>
              <w:left w:val="single" w:sz="4" w:space="0" w:color="auto"/>
              <w:bottom w:val="nil"/>
              <w:right w:val="nil"/>
            </w:tcBorders>
            <w:shd w:val="clear" w:color="000000" w:fill="D8D8D8"/>
            <w:noWrap/>
            <w:vAlign w:val="center"/>
            <w:hideMark/>
          </w:tcPr>
          <w:p w:rsidR="006851A4" w:rsidRPr="00D56C84" w:rsidRDefault="006851A4" w:rsidP="006851A4">
            <w:pPr>
              <w:spacing w:after="0" w:line="240" w:lineRule="auto"/>
              <w:ind w:left="0"/>
              <w:rPr>
                <w:rFonts w:cs="Arial"/>
                <w:color w:val="000000"/>
                <w:sz w:val="18"/>
                <w:szCs w:val="18"/>
                <w:lang w:eastAsia="en-AU"/>
              </w:rPr>
            </w:pPr>
            <w:r w:rsidRPr="00D56C84">
              <w:rPr>
                <w:rFonts w:cs="Arial"/>
                <w:color w:val="000000"/>
                <w:sz w:val="18"/>
                <w:szCs w:val="18"/>
                <w:lang w:eastAsia="en-AU"/>
              </w:rPr>
              <w:t>WA</w:t>
            </w:r>
          </w:p>
        </w:tc>
        <w:tc>
          <w:tcPr>
            <w:tcW w:w="261"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26</w:t>
            </w:r>
          </w:p>
        </w:tc>
        <w:tc>
          <w:tcPr>
            <w:tcW w:w="421"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1,436,032</w:t>
            </w:r>
          </w:p>
        </w:tc>
        <w:tc>
          <w:tcPr>
            <w:tcW w:w="38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2,232</w:t>
            </w:r>
          </w:p>
        </w:tc>
        <w:tc>
          <w:tcPr>
            <w:tcW w:w="244"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17</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455,975</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18,394</w:t>
            </w:r>
          </w:p>
        </w:tc>
        <w:tc>
          <w:tcPr>
            <w:tcW w:w="291" w:type="pct"/>
            <w:tcBorders>
              <w:top w:val="nil"/>
              <w:left w:val="single" w:sz="4" w:space="0" w:color="auto"/>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96</w:t>
            </w:r>
          </w:p>
        </w:tc>
        <w:tc>
          <w:tcPr>
            <w:tcW w:w="390"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353,050</w:t>
            </w:r>
          </w:p>
        </w:tc>
        <w:tc>
          <w:tcPr>
            <w:tcW w:w="438" w:type="pct"/>
            <w:tcBorders>
              <w:top w:val="nil"/>
              <w:left w:val="nil"/>
              <w:bottom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2,510,937</w:t>
            </w:r>
          </w:p>
        </w:tc>
        <w:tc>
          <w:tcPr>
            <w:tcW w:w="243" w:type="pct"/>
            <w:tcBorders>
              <w:top w:val="nil"/>
              <w:left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139</w:t>
            </w:r>
          </w:p>
        </w:tc>
        <w:tc>
          <w:tcPr>
            <w:tcW w:w="438" w:type="pct"/>
            <w:tcBorders>
              <w:top w:val="nil"/>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2,245,057</w:t>
            </w:r>
          </w:p>
        </w:tc>
        <w:tc>
          <w:tcPr>
            <w:tcW w:w="389" w:type="pct"/>
            <w:tcBorders>
              <w:top w:val="nil"/>
              <w:left w:val="nil"/>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2,531,563</w:t>
            </w:r>
          </w:p>
        </w:tc>
        <w:tc>
          <w:tcPr>
            <w:tcW w:w="389" w:type="pct"/>
            <w:tcBorders>
              <w:top w:val="nil"/>
              <w:left w:val="nil"/>
              <w:right w:val="single" w:sz="4" w:space="0" w:color="auto"/>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0.9</w:t>
            </w:r>
          </w:p>
        </w:tc>
      </w:tr>
      <w:tr w:rsidR="000B1FF7" w:rsidRPr="00D56C84" w:rsidTr="000B1FF7">
        <w:trPr>
          <w:trHeight w:val="450"/>
        </w:trPr>
        <w:tc>
          <w:tcPr>
            <w:tcW w:w="232" w:type="pct"/>
            <w:tcBorders>
              <w:top w:val="nil"/>
              <w:left w:val="single" w:sz="4" w:space="0" w:color="auto"/>
              <w:bottom w:val="nil"/>
              <w:right w:val="nil"/>
            </w:tcBorders>
            <w:shd w:val="clear" w:color="auto" w:fill="auto"/>
            <w:noWrap/>
            <w:vAlign w:val="center"/>
            <w:hideMark/>
          </w:tcPr>
          <w:p w:rsidR="006851A4" w:rsidRPr="00D56C84" w:rsidRDefault="006851A4" w:rsidP="006851A4">
            <w:pPr>
              <w:spacing w:after="0" w:line="240" w:lineRule="auto"/>
              <w:ind w:left="0"/>
              <w:rPr>
                <w:rFonts w:cs="Arial"/>
                <w:color w:val="000000"/>
                <w:sz w:val="18"/>
                <w:szCs w:val="18"/>
                <w:lang w:eastAsia="en-AU"/>
              </w:rPr>
            </w:pPr>
            <w:r w:rsidRPr="00D56C84">
              <w:rPr>
                <w:rFonts w:cs="Arial"/>
                <w:color w:val="000000"/>
                <w:sz w:val="18"/>
                <w:szCs w:val="18"/>
                <w:lang w:eastAsia="en-AU"/>
              </w:rPr>
              <w:t>T</w:t>
            </w:r>
            <w:r w:rsidR="00D34756" w:rsidRPr="00D56C84">
              <w:rPr>
                <w:rFonts w:cs="Arial"/>
                <w:color w:val="000000"/>
                <w:sz w:val="18"/>
                <w:szCs w:val="18"/>
                <w:lang w:eastAsia="en-AU"/>
              </w:rPr>
              <w:t>AS</w:t>
            </w:r>
          </w:p>
        </w:tc>
        <w:tc>
          <w:tcPr>
            <w:tcW w:w="26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0</w:t>
            </w:r>
          </w:p>
        </w:tc>
        <w:tc>
          <w:tcPr>
            <w:tcW w:w="421"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38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244"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261,474</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2,877</w:t>
            </w:r>
          </w:p>
        </w:tc>
        <w:tc>
          <w:tcPr>
            <w:tcW w:w="291" w:type="pct"/>
            <w:tcBorders>
              <w:top w:val="nil"/>
              <w:left w:val="single" w:sz="4" w:space="0" w:color="auto"/>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23</w:t>
            </w:r>
          </w:p>
        </w:tc>
        <w:tc>
          <w:tcPr>
            <w:tcW w:w="390"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241,818</w:t>
            </w:r>
          </w:p>
        </w:tc>
        <w:tc>
          <w:tcPr>
            <w:tcW w:w="438" w:type="pct"/>
            <w:tcBorders>
              <w:top w:val="nil"/>
              <w:left w:val="nil"/>
              <w:bottom w:val="nil"/>
              <w:right w:val="nil"/>
            </w:tcBorders>
            <w:shd w:val="clear" w:color="auto" w:fill="auto"/>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65,038</w:t>
            </w:r>
          </w:p>
        </w:tc>
        <w:tc>
          <w:tcPr>
            <w:tcW w:w="243" w:type="pct"/>
            <w:tcBorders>
              <w:top w:val="nil"/>
              <w:left w:val="single" w:sz="4" w:space="0" w:color="auto"/>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29</w:t>
            </w:r>
          </w:p>
        </w:tc>
        <w:tc>
          <w:tcPr>
            <w:tcW w:w="438"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503,292</w:t>
            </w:r>
          </w:p>
        </w:tc>
        <w:tc>
          <w:tcPr>
            <w:tcW w:w="389" w:type="pct"/>
            <w:tcBorders>
              <w:top w:val="nil"/>
              <w:left w:val="nil"/>
              <w:bottom w:val="nil"/>
              <w:right w:val="nil"/>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67,914</w:t>
            </w:r>
          </w:p>
        </w:tc>
        <w:tc>
          <w:tcPr>
            <w:tcW w:w="389" w:type="pct"/>
            <w:tcBorders>
              <w:top w:val="nil"/>
              <w:left w:val="nil"/>
              <w:bottom w:val="nil"/>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7.4</w:t>
            </w:r>
          </w:p>
        </w:tc>
      </w:tr>
      <w:tr w:rsidR="000B1FF7" w:rsidRPr="00D56C84" w:rsidTr="000B1FF7">
        <w:trPr>
          <w:trHeight w:val="450"/>
        </w:trPr>
        <w:tc>
          <w:tcPr>
            <w:tcW w:w="232" w:type="pct"/>
            <w:tcBorders>
              <w:top w:val="nil"/>
              <w:left w:val="single" w:sz="4" w:space="0" w:color="auto"/>
              <w:bottom w:val="single" w:sz="4" w:space="0" w:color="auto"/>
              <w:right w:val="nil"/>
            </w:tcBorders>
            <w:shd w:val="clear" w:color="000000" w:fill="D8D8D8"/>
            <w:noWrap/>
            <w:vAlign w:val="center"/>
            <w:hideMark/>
          </w:tcPr>
          <w:p w:rsidR="006851A4" w:rsidRPr="00D56C84" w:rsidRDefault="006851A4" w:rsidP="006851A4">
            <w:pPr>
              <w:spacing w:after="0" w:line="240" w:lineRule="auto"/>
              <w:ind w:left="0"/>
              <w:rPr>
                <w:rFonts w:cs="Arial"/>
                <w:color w:val="000000"/>
                <w:sz w:val="18"/>
                <w:szCs w:val="18"/>
                <w:lang w:eastAsia="en-AU"/>
              </w:rPr>
            </w:pPr>
            <w:r w:rsidRPr="00D56C84">
              <w:rPr>
                <w:rFonts w:cs="Arial"/>
                <w:color w:val="000000"/>
                <w:sz w:val="18"/>
                <w:szCs w:val="18"/>
                <w:lang w:eastAsia="en-AU"/>
              </w:rPr>
              <w:t>NT</w:t>
            </w:r>
          </w:p>
        </w:tc>
        <w:tc>
          <w:tcPr>
            <w:tcW w:w="261" w:type="pct"/>
            <w:tcBorders>
              <w:top w:val="nil"/>
              <w:left w:val="single" w:sz="4" w:space="0" w:color="auto"/>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0</w:t>
            </w:r>
          </w:p>
        </w:tc>
        <w:tc>
          <w:tcPr>
            <w:tcW w:w="421"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388"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244" w:type="pct"/>
            <w:tcBorders>
              <w:top w:val="nil"/>
              <w:left w:val="single" w:sz="4" w:space="0" w:color="auto"/>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0</w:t>
            </w:r>
          </w:p>
        </w:tc>
        <w:tc>
          <w:tcPr>
            <w:tcW w:w="438"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438"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w:t>
            </w:r>
          </w:p>
        </w:tc>
        <w:tc>
          <w:tcPr>
            <w:tcW w:w="291" w:type="pct"/>
            <w:tcBorders>
              <w:top w:val="nil"/>
              <w:left w:val="single" w:sz="4" w:space="0" w:color="auto"/>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16</w:t>
            </w:r>
          </w:p>
        </w:tc>
        <w:tc>
          <w:tcPr>
            <w:tcW w:w="390"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216,857</w:t>
            </w:r>
          </w:p>
        </w:tc>
        <w:tc>
          <w:tcPr>
            <w:tcW w:w="438"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1,331,776</w:t>
            </w:r>
          </w:p>
        </w:tc>
        <w:tc>
          <w:tcPr>
            <w:tcW w:w="243" w:type="pct"/>
            <w:tcBorders>
              <w:top w:val="nil"/>
              <w:left w:val="single" w:sz="4" w:space="0" w:color="auto"/>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16</w:t>
            </w:r>
          </w:p>
        </w:tc>
        <w:tc>
          <w:tcPr>
            <w:tcW w:w="438"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216,857</w:t>
            </w:r>
          </w:p>
        </w:tc>
        <w:tc>
          <w:tcPr>
            <w:tcW w:w="389" w:type="pct"/>
            <w:tcBorders>
              <w:top w:val="nil"/>
              <w:left w:val="nil"/>
              <w:bottom w:val="single" w:sz="4" w:space="0" w:color="auto"/>
              <w:right w:val="nil"/>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1,331,776</w:t>
            </w:r>
          </w:p>
        </w:tc>
        <w:tc>
          <w:tcPr>
            <w:tcW w:w="389" w:type="pct"/>
            <w:tcBorders>
              <w:top w:val="nil"/>
              <w:left w:val="nil"/>
              <w:bottom w:val="single" w:sz="4" w:space="0" w:color="auto"/>
              <w:right w:val="single" w:sz="4" w:space="0" w:color="auto"/>
            </w:tcBorders>
            <w:shd w:val="clear" w:color="000000" w:fill="D8D8D8"/>
            <w:noWrap/>
            <w:vAlign w:val="center"/>
            <w:hideMark/>
          </w:tcPr>
          <w:p w:rsidR="006851A4" w:rsidRPr="00D56C84" w:rsidRDefault="006851A4" w:rsidP="00D34756">
            <w:pPr>
              <w:spacing w:after="0" w:line="240" w:lineRule="auto"/>
              <w:ind w:left="0"/>
              <w:jc w:val="center"/>
              <w:rPr>
                <w:rFonts w:cs="Arial"/>
                <w:color w:val="000000"/>
                <w:sz w:val="18"/>
                <w:szCs w:val="18"/>
                <w:lang w:eastAsia="en-AU"/>
              </w:rPr>
            </w:pPr>
            <w:r w:rsidRPr="00D56C84">
              <w:rPr>
                <w:rFonts w:cs="Arial"/>
                <w:color w:val="000000"/>
                <w:sz w:val="18"/>
                <w:szCs w:val="18"/>
                <w:lang w:eastAsia="en-AU"/>
              </w:rPr>
              <w:t>0.2</w:t>
            </w:r>
          </w:p>
        </w:tc>
      </w:tr>
      <w:tr w:rsidR="000B1FF7" w:rsidRPr="00D56C84" w:rsidTr="000B1FF7">
        <w:trPr>
          <w:trHeight w:val="450"/>
        </w:trPr>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6851A4">
            <w:pPr>
              <w:spacing w:after="0" w:line="240" w:lineRule="auto"/>
              <w:ind w:left="0"/>
              <w:rPr>
                <w:rFonts w:cs="Arial"/>
                <w:b/>
                <w:bCs/>
                <w:color w:val="000000"/>
                <w:sz w:val="18"/>
                <w:szCs w:val="18"/>
                <w:lang w:eastAsia="en-AU"/>
              </w:rPr>
            </w:pPr>
            <w:r w:rsidRPr="00D56C84">
              <w:rPr>
                <w:rFonts w:cs="Arial"/>
                <w:b/>
                <w:bCs/>
                <w:color w:val="000000"/>
                <w:sz w:val="18"/>
                <w:szCs w:val="18"/>
                <w:lang w:eastAsia="en-AU"/>
              </w:rPr>
              <w:t>Total</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116</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11,824,959</w:t>
            </w:r>
          </w:p>
        </w:tc>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19,711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128</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5,729,915</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425,944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315</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4,030,719</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6,413,058</w:t>
            </w:r>
          </w:p>
        </w:tc>
        <w:tc>
          <w:tcPr>
            <w:tcW w:w="243"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559</w:t>
            </w:r>
          </w:p>
        </w:tc>
        <w:tc>
          <w:tcPr>
            <w:tcW w:w="438"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21,585,593</w:t>
            </w:r>
          </w:p>
        </w:tc>
        <w:tc>
          <w:tcPr>
            <w:tcW w:w="38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6,858,713</w:t>
            </w:r>
          </w:p>
        </w:tc>
        <w:tc>
          <w:tcPr>
            <w:tcW w:w="38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6851A4" w:rsidRPr="00D56C84" w:rsidRDefault="006851A4" w:rsidP="00D34756">
            <w:pPr>
              <w:spacing w:after="0" w:line="240" w:lineRule="auto"/>
              <w:ind w:left="0"/>
              <w:jc w:val="center"/>
              <w:rPr>
                <w:rFonts w:cs="Arial"/>
                <w:b/>
                <w:bCs/>
                <w:color w:val="000000"/>
                <w:sz w:val="18"/>
                <w:szCs w:val="18"/>
                <w:lang w:eastAsia="en-AU"/>
              </w:rPr>
            </w:pPr>
            <w:r w:rsidRPr="00D56C84">
              <w:rPr>
                <w:rFonts w:cs="Arial"/>
                <w:b/>
                <w:bCs/>
                <w:color w:val="000000"/>
                <w:sz w:val="18"/>
                <w:szCs w:val="18"/>
                <w:lang w:eastAsia="en-AU"/>
              </w:rPr>
              <w:t>3.1</w:t>
            </w:r>
          </w:p>
        </w:tc>
      </w:tr>
    </w:tbl>
    <w:p w:rsidR="007C6281" w:rsidRPr="00D56C84" w:rsidRDefault="007C6281" w:rsidP="00BE546A">
      <w:pPr>
        <w:pStyle w:val="ParaIndent"/>
        <w:jc w:val="both"/>
      </w:pPr>
    </w:p>
    <w:p w:rsidR="00F05D2D" w:rsidRPr="00F05D2D" w:rsidRDefault="00A54302" w:rsidP="00BE546A">
      <w:pPr>
        <w:spacing w:before="20" w:after="20"/>
        <w:jc w:val="both"/>
      </w:pPr>
      <w:r>
        <w:t>*</w:t>
      </w:r>
      <w:r w:rsidR="00F05D2D" w:rsidRPr="00F05D2D">
        <w:t xml:space="preserve">Australian Standard Geographical Classification (ASGC) </w:t>
      </w:r>
      <w:r>
        <w:rPr>
          <w:rFonts w:cs="Arial"/>
          <w:i/>
          <w:iCs/>
        </w:rPr>
        <w:t xml:space="preserve">Remoteness Classification: Purpose and Use Census Paper No. 03/01 2003 </w:t>
      </w:r>
      <w:r w:rsidR="00F05D2D" w:rsidRPr="00F05D2D">
        <w:t xml:space="preserve">was </w:t>
      </w:r>
      <w:r>
        <w:t xml:space="preserve">compiled </w:t>
      </w:r>
      <w:r w:rsidR="00F05D2D" w:rsidRPr="00F05D2D">
        <w:t>by the ABS, based on the Accessibility-Remoteness Index of Australia Plus (ARIA+) index. ASGC Remoteness categorises areas as 'major cities', 'inner regional', 'outer regional', 'remote' and 'very remote'.</w:t>
      </w:r>
      <w:r>
        <w:t xml:space="preserve"> For the purposes of this study;</w:t>
      </w:r>
      <w:r w:rsidR="00F05D2D">
        <w:t xml:space="preserve"> </w:t>
      </w:r>
      <w:r w:rsidR="00F05D2D" w:rsidRPr="00F05D2D">
        <w:t>’metropo</w:t>
      </w:r>
      <w:r>
        <w:t>litan’ refers to ‘major cities’;</w:t>
      </w:r>
      <w:r w:rsidR="00F05D2D" w:rsidRPr="00F05D2D">
        <w:t xml:space="preserve"> ‘regional’ refers to both 'inner regional' and 'outer regional'</w:t>
      </w:r>
      <w:r>
        <w:t>; and</w:t>
      </w:r>
      <w:r w:rsidR="00F05D2D" w:rsidRPr="00F05D2D">
        <w:t xml:space="preserve"> ‘remote’ refers to 'remote' and 'very remote'.</w:t>
      </w:r>
    </w:p>
    <w:p w:rsidR="00F05D2D" w:rsidRPr="00D56C84" w:rsidRDefault="00F05D2D" w:rsidP="007C6281">
      <w:pPr>
        <w:pStyle w:val="ParaIndent"/>
      </w:pPr>
    </w:p>
    <w:p w:rsidR="006851A4" w:rsidRPr="00D56C84" w:rsidRDefault="006851A4" w:rsidP="007C6281">
      <w:pPr>
        <w:pStyle w:val="ParaIndent"/>
      </w:pPr>
    </w:p>
    <w:p w:rsidR="006851A4" w:rsidRPr="00D56C84" w:rsidRDefault="006851A4" w:rsidP="007C6281">
      <w:pPr>
        <w:pStyle w:val="ParaIndent"/>
        <w:sectPr w:rsidR="006851A4" w:rsidRPr="00D56C84" w:rsidSect="000B1FF7">
          <w:footerReference w:type="default" r:id="rId19"/>
          <w:pgSz w:w="16840" w:h="11907" w:orient="landscape" w:code="9"/>
          <w:pgMar w:top="1134" w:right="1134" w:bottom="1134" w:left="1134" w:header="567" w:footer="567" w:gutter="0"/>
          <w:cols w:space="708"/>
          <w:docGrid w:linePitch="360"/>
        </w:sectPr>
      </w:pPr>
    </w:p>
    <w:p w:rsidR="00AA187D" w:rsidRPr="00D56C84" w:rsidRDefault="00C77697" w:rsidP="00AA187D">
      <w:pPr>
        <w:pStyle w:val="Heading1"/>
      </w:pPr>
      <w:bookmarkStart w:id="22" w:name="_Toc307470416"/>
      <w:bookmarkStart w:id="23" w:name="_Ref299523128"/>
      <w:r w:rsidRPr="00D56C84">
        <w:lastRenderedPageBreak/>
        <w:t>I</w:t>
      </w:r>
      <w:r w:rsidR="004D5A0F">
        <w:t>nformation needs of key users</w:t>
      </w:r>
      <w:bookmarkEnd w:id="22"/>
    </w:p>
    <w:bookmarkEnd w:id="23"/>
    <w:p w:rsidR="00AA187D" w:rsidRPr="00D56C84" w:rsidRDefault="00AA187D" w:rsidP="0006111E">
      <w:pPr>
        <w:spacing w:after="0"/>
        <w:jc w:val="both"/>
      </w:pPr>
      <w:r w:rsidRPr="00D56C84">
        <w:t>The key users of data and information on local government waste and recycling activity are:</w:t>
      </w:r>
    </w:p>
    <w:p w:rsidR="00AA187D" w:rsidRPr="00D56C84" w:rsidRDefault="00FF7D82" w:rsidP="008247B3">
      <w:pPr>
        <w:pStyle w:val="PointsBullets"/>
      </w:pPr>
      <w:r>
        <w:t>l</w:t>
      </w:r>
      <w:r w:rsidR="00AA187D" w:rsidRPr="00D56C84">
        <w:t>ocal, state, territory, and federal governments</w:t>
      </w:r>
    </w:p>
    <w:p w:rsidR="00AA187D" w:rsidRPr="00D56C84" w:rsidRDefault="00FF7D82" w:rsidP="008247B3">
      <w:pPr>
        <w:pStyle w:val="PointsBullets"/>
      </w:pPr>
      <w:r>
        <w:t>t</w:t>
      </w:r>
      <w:r w:rsidR="00AA187D" w:rsidRPr="00D56C84">
        <w:t>he waste and recycling industry</w:t>
      </w:r>
    </w:p>
    <w:p w:rsidR="00AA187D" w:rsidRPr="00D56C84" w:rsidRDefault="00FF7D82" w:rsidP="008247B3">
      <w:pPr>
        <w:pStyle w:val="PointsBullets"/>
      </w:pPr>
      <w:proofErr w:type="gramStart"/>
      <w:r>
        <w:t>t</w:t>
      </w:r>
      <w:r w:rsidR="00AA187D" w:rsidRPr="00D56C84">
        <w:t>he</w:t>
      </w:r>
      <w:proofErr w:type="gramEnd"/>
      <w:r w:rsidR="00AA187D" w:rsidRPr="00D56C84">
        <w:t xml:space="preserve"> community</w:t>
      </w:r>
      <w:r>
        <w:t>.</w:t>
      </w:r>
    </w:p>
    <w:p w:rsidR="00AA187D" w:rsidRPr="00D56C84" w:rsidRDefault="003C2C0A" w:rsidP="0006111E">
      <w:pPr>
        <w:jc w:val="both"/>
      </w:pPr>
      <w:r>
        <w:t>Councils</w:t>
      </w:r>
      <w:r w:rsidR="00AA187D" w:rsidRPr="00D56C84">
        <w:t xml:space="preserve"> are generally in the position to choose the information they collect about municipal waste and recycling in order to meet their own internal needs, so long as the information collected also meets the needs of state and territory governments. There is some need/desire for local governments to have access to information about services and performance in other council areas, primarily to allow for benchmarking</w:t>
      </w:r>
      <w:r>
        <w:t xml:space="preserve"> (in those jurisdictions where information</w:t>
      </w:r>
      <w:r w:rsidR="000C7B1C">
        <w:t xml:space="preserve"> is not readily available,</w:t>
      </w:r>
      <w:r>
        <w:t xml:space="preserve"> this </w:t>
      </w:r>
      <w:r w:rsidR="000C7B1C">
        <w:t xml:space="preserve">need </w:t>
      </w:r>
      <w:r>
        <w:t>will often be met through informal arrangements and discussion between councils)</w:t>
      </w:r>
      <w:r w:rsidR="00AA187D" w:rsidRPr="00D56C84">
        <w:t>. State and territory governments too are generally able to dictate the municipal waste and recycling information provided in order to meet their needs.</w:t>
      </w:r>
    </w:p>
    <w:p w:rsidR="00AA187D" w:rsidRPr="00D56C84" w:rsidRDefault="00AA187D" w:rsidP="0006111E">
      <w:pPr>
        <w:jc w:val="both"/>
      </w:pPr>
      <w:r w:rsidRPr="00D56C84">
        <w:t>Non-government stakeholders are generally not in a position to decide the municipal waste and recycling data that is collected, or how that information is expressed and/or used, other than in relation to material they process internally. This is potentially problematic as the lack of access to high quality information may hamper the ability of the private sector to make appropriate business decisions, particularly in relation to investing in waste management and resource recovery infrastructure.</w:t>
      </w:r>
    </w:p>
    <w:p w:rsidR="00AA187D" w:rsidRPr="00D56C84" w:rsidRDefault="00AA187D" w:rsidP="0006111E">
      <w:pPr>
        <w:jc w:val="both"/>
      </w:pPr>
      <w:r w:rsidRPr="00D56C84">
        <w:t>This report has therefore concentrated on gathering feedback on the key information needs of stakeholders outside of government spheres.</w:t>
      </w:r>
    </w:p>
    <w:p w:rsidR="00AA187D" w:rsidRPr="00D56C84" w:rsidRDefault="00AA187D" w:rsidP="00AA187D">
      <w:pPr>
        <w:pStyle w:val="Heading2"/>
        <w:spacing w:before="240"/>
      </w:pPr>
      <w:bookmarkStart w:id="24" w:name="_Toc307470417"/>
      <w:r w:rsidRPr="00D56C84">
        <w:t>Overview</w:t>
      </w:r>
      <w:bookmarkEnd w:id="24"/>
    </w:p>
    <w:p w:rsidR="00AA187D" w:rsidRPr="00D56C84" w:rsidRDefault="00AA187D" w:rsidP="0006111E">
      <w:pPr>
        <w:jc w:val="both"/>
      </w:pPr>
      <w:r w:rsidRPr="00D56C84">
        <w:t xml:space="preserve">In order to establish the needs of key users </w:t>
      </w:r>
      <w:proofErr w:type="spellStart"/>
      <w:r w:rsidRPr="00D56C84">
        <w:t>Hyder</w:t>
      </w:r>
      <w:proofErr w:type="spellEnd"/>
      <w:r w:rsidRPr="00D56C84">
        <w:t xml:space="preserve"> undertook a telephone survey that was designed to determine</w:t>
      </w:r>
      <w:r w:rsidR="007E5390">
        <w:t>:</w:t>
      </w:r>
      <w:r w:rsidR="007E5390" w:rsidRPr="00D56C84">
        <w:t xml:space="preserve"> </w:t>
      </w:r>
      <w:r w:rsidRPr="00D56C84">
        <w:t>the data and information that key stakeholders in each of the mainland states are currently accessing; their perceived level of confidence in that data; the sorts of information they are seeking access to; and the value they place on access to good information. A sample questionnaire is appended.</w:t>
      </w:r>
    </w:p>
    <w:p w:rsidR="00163D89" w:rsidRDefault="000C7B1C" w:rsidP="0006111E">
      <w:pPr>
        <w:jc w:val="both"/>
      </w:pPr>
      <w:r>
        <w:t>A total of 10 individual stakeholders completed the questionnaire, of which five provided separate responses for multiple jurisdictions. A total of 20 responses were gathered</w:t>
      </w:r>
      <w:r w:rsidR="00BD5554">
        <w:t>, with a minimum of two different stakeholders surveyed for each of the mainland states</w:t>
      </w:r>
      <w:r>
        <w:t>.</w:t>
      </w:r>
      <w:r w:rsidR="00163D89">
        <w:t xml:space="preserve"> No stakeholders were surveyed in the ACT, NT or Tasmania. </w:t>
      </w:r>
    </w:p>
    <w:p w:rsidR="000C7B1C" w:rsidRPr="00D56C84" w:rsidRDefault="00BD5554" w:rsidP="0006111E">
      <w:pPr>
        <w:jc w:val="both"/>
      </w:pPr>
      <w:r>
        <w:t>Th</w:t>
      </w:r>
      <w:r w:rsidR="00163D89">
        <w:t>os</w:t>
      </w:r>
      <w:r>
        <w:t>e stakeholders consulted included a selection of</w:t>
      </w:r>
      <w:r w:rsidR="00042AAE">
        <w:t xml:space="preserve">: </w:t>
      </w:r>
      <w:r>
        <w:t xml:space="preserve">private sector operators of recycling facilities; private sector operators of landfill facilities; private sector </w:t>
      </w:r>
      <w:r w:rsidR="00B6467B">
        <w:t>AWT operators; private sector collection providers; private sector equipment suppliers; and N</w:t>
      </w:r>
      <w:r w:rsidR="0006111E">
        <w:t xml:space="preserve">on </w:t>
      </w:r>
      <w:r w:rsidR="00B6467B">
        <w:t>G</w:t>
      </w:r>
      <w:r w:rsidR="0006111E">
        <w:t xml:space="preserve">overnment </w:t>
      </w:r>
      <w:r w:rsidR="00B6467B">
        <w:t>O</w:t>
      </w:r>
      <w:r w:rsidR="0006111E">
        <w:t>rganisation (NGO)</w:t>
      </w:r>
      <w:r w:rsidR="00B6467B">
        <w:t xml:space="preserve"> environment groups. </w:t>
      </w:r>
    </w:p>
    <w:p w:rsidR="00AA187D" w:rsidRPr="00D56C84" w:rsidRDefault="00AA187D" w:rsidP="0006111E">
      <w:pPr>
        <w:jc w:val="both"/>
      </w:pPr>
      <w:r w:rsidRPr="00D56C84">
        <w:t>As shown in</w:t>
      </w:r>
      <w:r w:rsidR="0067186F">
        <w:t xml:space="preserve"> </w:t>
      </w:r>
      <w:r w:rsidR="00ED6CA0">
        <w:fldChar w:fldCharType="begin"/>
      </w:r>
      <w:r w:rsidR="0067186F">
        <w:instrText xml:space="preserve"> REF _Ref297119942 \h </w:instrText>
      </w:r>
      <w:r w:rsidR="00ED6CA0">
        <w:fldChar w:fldCharType="separate"/>
      </w:r>
      <w:r w:rsidR="00166111" w:rsidRPr="00D56C84">
        <w:t xml:space="preserve">Table </w:t>
      </w:r>
      <w:r w:rsidR="00166111">
        <w:rPr>
          <w:noProof/>
        </w:rPr>
        <w:t>3</w:t>
      </w:r>
      <w:r w:rsidR="00166111" w:rsidRPr="00D56C84">
        <w:t>-</w:t>
      </w:r>
      <w:r w:rsidR="00166111">
        <w:rPr>
          <w:noProof/>
        </w:rPr>
        <w:t>3</w:t>
      </w:r>
      <w:r w:rsidR="00ED6CA0">
        <w:fldChar w:fldCharType="end"/>
      </w:r>
      <w:r w:rsidRPr="00D56C84">
        <w:t xml:space="preserve">, the trend across all jurisdictions was that users generally considered there would be a high value in being able to easily access reliable information about local government waste and recycling, but generally rated their current access to such information – and the quality of that information – to be moderate. </w:t>
      </w:r>
    </w:p>
    <w:p w:rsidR="003063C7" w:rsidRPr="00D56C84" w:rsidRDefault="003063C7" w:rsidP="0006111E">
      <w:pPr>
        <w:jc w:val="both"/>
      </w:pPr>
      <w:r>
        <w:t>It should be noted the perceived availability of information</w:t>
      </w:r>
      <w:r w:rsidR="00137202">
        <w:t xml:space="preserve"> from the limited number of stakeholders surveyed, as</w:t>
      </w:r>
      <w:r>
        <w:t xml:space="preserve"> shown in </w:t>
      </w:r>
      <w:fldSimple w:instr=" REF _Ref297119942 \h  \* MERGEFORMAT ">
        <w:r w:rsidR="00166111" w:rsidRPr="00D56C84">
          <w:t xml:space="preserve">Table </w:t>
        </w:r>
        <w:r w:rsidR="00166111">
          <w:rPr>
            <w:noProof/>
          </w:rPr>
          <w:t>3</w:t>
        </w:r>
        <w:r w:rsidR="00166111" w:rsidRPr="00D56C84">
          <w:rPr>
            <w:noProof/>
          </w:rPr>
          <w:t>-</w:t>
        </w:r>
        <w:r w:rsidR="00166111">
          <w:rPr>
            <w:noProof/>
          </w:rPr>
          <w:t>3</w:t>
        </w:r>
      </w:fldSimple>
      <w:r w:rsidR="00137202">
        <w:t>, does in some cases</w:t>
      </w:r>
      <w:r>
        <w:t xml:space="preserve"> differ </w:t>
      </w:r>
      <w:r w:rsidR="00137202">
        <w:t xml:space="preserve">from </w:t>
      </w:r>
      <w:proofErr w:type="spellStart"/>
      <w:r w:rsidR="00137202">
        <w:t>Hyder’s</w:t>
      </w:r>
      <w:proofErr w:type="spellEnd"/>
      <w:r w:rsidR="00137202">
        <w:t xml:space="preserve"> assessment of the availability of information, which are detailed within each of the jurisdictional-specific chapters. </w:t>
      </w:r>
    </w:p>
    <w:p w:rsidR="00AA187D" w:rsidRPr="00D56C84" w:rsidRDefault="00AA187D" w:rsidP="00AA187D">
      <w:pPr>
        <w:pStyle w:val="Caption"/>
      </w:pPr>
      <w:bookmarkStart w:id="25" w:name="_Ref297119942"/>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3</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w:t>
      </w:r>
      <w:r w:rsidR="00ED6CA0">
        <w:rPr>
          <w:noProof/>
        </w:rPr>
        <w:fldChar w:fldCharType="end"/>
      </w:r>
      <w:bookmarkEnd w:id="25"/>
      <w:r w:rsidRPr="00D56C84">
        <w:tab/>
        <w:t>Perceived availability and value of information about municipal waste and recycling in the mainland states, based on an interpretation of stakeholder responses to a telephone questionnaire</w:t>
      </w:r>
    </w:p>
    <w:tbl>
      <w:tblPr>
        <w:tblStyle w:val="TableGrid"/>
        <w:tblW w:w="5000" w:type="pct"/>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2357"/>
        <w:gridCol w:w="1212"/>
        <w:gridCol w:w="1214"/>
        <w:gridCol w:w="1215"/>
        <w:gridCol w:w="1213"/>
        <w:gridCol w:w="1215"/>
        <w:gridCol w:w="1213"/>
      </w:tblGrid>
      <w:tr w:rsidR="00AA187D" w:rsidRPr="00D56C84" w:rsidTr="00F85C3C">
        <w:tc>
          <w:tcPr>
            <w:tcW w:w="1223" w:type="pct"/>
            <w:shd w:val="clear" w:color="auto" w:fill="auto"/>
          </w:tcPr>
          <w:p w:rsidR="00AA187D" w:rsidRPr="00D56C84" w:rsidRDefault="00AA187D" w:rsidP="00AA187D">
            <w:pPr>
              <w:pStyle w:val="TableHeading"/>
            </w:pPr>
          </w:p>
        </w:tc>
        <w:tc>
          <w:tcPr>
            <w:tcW w:w="629" w:type="pct"/>
            <w:shd w:val="clear" w:color="auto" w:fill="auto"/>
          </w:tcPr>
          <w:p w:rsidR="00AA187D" w:rsidRPr="00D56C84" w:rsidRDefault="00AA187D" w:rsidP="00AA187D">
            <w:pPr>
              <w:pStyle w:val="TableHeading"/>
            </w:pPr>
            <w:r w:rsidRPr="00D56C84">
              <w:t>NSW</w:t>
            </w:r>
          </w:p>
        </w:tc>
        <w:tc>
          <w:tcPr>
            <w:tcW w:w="630" w:type="pct"/>
            <w:shd w:val="clear" w:color="auto" w:fill="auto"/>
          </w:tcPr>
          <w:p w:rsidR="00AA187D" w:rsidRPr="00D56C84" w:rsidRDefault="00AA187D" w:rsidP="00AA187D">
            <w:pPr>
              <w:pStyle w:val="TableHeading"/>
            </w:pPr>
            <w:r w:rsidRPr="00D56C84">
              <w:t>Victoria</w:t>
            </w:r>
          </w:p>
        </w:tc>
        <w:tc>
          <w:tcPr>
            <w:tcW w:w="630" w:type="pct"/>
            <w:shd w:val="clear" w:color="auto" w:fill="auto"/>
          </w:tcPr>
          <w:p w:rsidR="00AA187D" w:rsidRPr="00D56C84" w:rsidRDefault="00AA187D" w:rsidP="00AA187D">
            <w:pPr>
              <w:pStyle w:val="TableHeading"/>
            </w:pPr>
            <w:r w:rsidRPr="00D56C84">
              <w:t>Queensland</w:t>
            </w:r>
          </w:p>
        </w:tc>
        <w:tc>
          <w:tcPr>
            <w:tcW w:w="629" w:type="pct"/>
            <w:shd w:val="clear" w:color="auto" w:fill="auto"/>
          </w:tcPr>
          <w:p w:rsidR="00AA187D" w:rsidRPr="00D56C84" w:rsidRDefault="00AA187D" w:rsidP="00AA187D">
            <w:pPr>
              <w:pStyle w:val="TableHeading"/>
            </w:pPr>
            <w:r w:rsidRPr="00D56C84">
              <w:t xml:space="preserve">SA </w:t>
            </w:r>
          </w:p>
        </w:tc>
        <w:tc>
          <w:tcPr>
            <w:tcW w:w="630" w:type="pct"/>
            <w:shd w:val="clear" w:color="auto" w:fill="auto"/>
          </w:tcPr>
          <w:p w:rsidR="00AA187D" w:rsidRPr="00D56C84" w:rsidRDefault="00AA187D" w:rsidP="00AA187D">
            <w:pPr>
              <w:pStyle w:val="TableHeading"/>
            </w:pPr>
            <w:r w:rsidRPr="00D56C84">
              <w:t>WA</w:t>
            </w:r>
          </w:p>
        </w:tc>
        <w:tc>
          <w:tcPr>
            <w:tcW w:w="630" w:type="pct"/>
            <w:shd w:val="clear" w:color="auto" w:fill="auto"/>
          </w:tcPr>
          <w:p w:rsidR="00AA187D" w:rsidRPr="00D56C84" w:rsidRDefault="00AA187D" w:rsidP="00AA187D">
            <w:pPr>
              <w:pStyle w:val="TableHeading"/>
            </w:pPr>
            <w:r w:rsidRPr="00D56C84">
              <w:t>Overall</w:t>
            </w:r>
          </w:p>
        </w:tc>
      </w:tr>
      <w:tr w:rsidR="00AA187D" w:rsidRPr="00D56C84" w:rsidTr="00F85C3C">
        <w:tc>
          <w:tcPr>
            <w:tcW w:w="1223" w:type="pct"/>
            <w:shd w:val="clear" w:color="auto" w:fill="auto"/>
          </w:tcPr>
          <w:p w:rsidR="00AA187D" w:rsidRPr="00D56C84" w:rsidRDefault="00AA187D" w:rsidP="00AA187D">
            <w:pPr>
              <w:pStyle w:val="TableText"/>
            </w:pPr>
            <w:r w:rsidRPr="00D56C84">
              <w:t>Existing information on amount of waste to landfill</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Low</w:t>
            </w:r>
          </w:p>
        </w:tc>
        <w:tc>
          <w:tcPr>
            <w:tcW w:w="629"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Moderate</w:t>
            </w:r>
          </w:p>
        </w:tc>
      </w:tr>
      <w:tr w:rsidR="00AA187D" w:rsidRPr="00D56C84" w:rsidTr="00F85C3C">
        <w:tc>
          <w:tcPr>
            <w:tcW w:w="1223" w:type="pct"/>
            <w:shd w:val="clear" w:color="auto" w:fill="auto"/>
          </w:tcPr>
          <w:p w:rsidR="00AA187D" w:rsidRPr="00D56C84" w:rsidRDefault="00AA187D" w:rsidP="00AA187D">
            <w:pPr>
              <w:pStyle w:val="TableText"/>
            </w:pPr>
            <w:r w:rsidRPr="00D56C84">
              <w:t>Existing information on composition of waste to landfill</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Low</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Moderate</w:t>
            </w:r>
          </w:p>
        </w:tc>
      </w:tr>
      <w:tr w:rsidR="00AA187D" w:rsidRPr="00D56C84" w:rsidTr="00F85C3C">
        <w:tc>
          <w:tcPr>
            <w:tcW w:w="1223" w:type="pct"/>
            <w:shd w:val="clear" w:color="auto" w:fill="auto"/>
          </w:tcPr>
          <w:p w:rsidR="00AA187D" w:rsidRPr="00D56C84" w:rsidRDefault="00AA187D" w:rsidP="00AA187D">
            <w:pPr>
              <w:pStyle w:val="TableText"/>
            </w:pPr>
            <w:r w:rsidRPr="00D56C84">
              <w:t xml:space="preserve">Value of good waste to landfill information </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High</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High</w:t>
            </w:r>
          </w:p>
        </w:tc>
      </w:tr>
      <w:tr w:rsidR="00AA187D" w:rsidRPr="00D56C84" w:rsidTr="00F85C3C">
        <w:tc>
          <w:tcPr>
            <w:tcW w:w="1223" w:type="pct"/>
            <w:shd w:val="clear" w:color="auto" w:fill="auto"/>
          </w:tcPr>
          <w:p w:rsidR="00AA187D" w:rsidRPr="00D56C84" w:rsidRDefault="00AA187D" w:rsidP="00AA187D">
            <w:pPr>
              <w:pStyle w:val="TableText"/>
            </w:pPr>
            <w:r w:rsidRPr="00D56C84">
              <w:t>Existing information on amount of recycling</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Low</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Moderate</w:t>
            </w:r>
          </w:p>
        </w:tc>
      </w:tr>
      <w:tr w:rsidR="00AA187D" w:rsidRPr="00D56C84" w:rsidTr="00F85C3C">
        <w:tc>
          <w:tcPr>
            <w:tcW w:w="1223" w:type="pct"/>
            <w:shd w:val="clear" w:color="auto" w:fill="auto"/>
          </w:tcPr>
          <w:p w:rsidR="00AA187D" w:rsidRPr="00D56C84" w:rsidRDefault="00AA187D" w:rsidP="00AA187D">
            <w:pPr>
              <w:pStyle w:val="TableText"/>
            </w:pPr>
            <w:r w:rsidRPr="00D56C84">
              <w:t>Existing information on composition of recycling</w:t>
            </w:r>
          </w:p>
        </w:tc>
        <w:tc>
          <w:tcPr>
            <w:tcW w:w="629"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Low</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Moderate</w:t>
            </w:r>
          </w:p>
        </w:tc>
      </w:tr>
      <w:tr w:rsidR="00AA187D" w:rsidRPr="00D56C84" w:rsidTr="00F85C3C">
        <w:tc>
          <w:tcPr>
            <w:tcW w:w="1223" w:type="pct"/>
            <w:shd w:val="clear" w:color="auto" w:fill="auto"/>
          </w:tcPr>
          <w:p w:rsidR="00AA187D" w:rsidRPr="00D56C84" w:rsidRDefault="00AA187D" w:rsidP="00AA187D">
            <w:pPr>
              <w:pStyle w:val="TableText"/>
            </w:pPr>
            <w:r w:rsidRPr="00D56C84">
              <w:t>Value of good recycling information</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High</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High</w:t>
            </w:r>
          </w:p>
        </w:tc>
      </w:tr>
      <w:tr w:rsidR="00AA187D" w:rsidRPr="00D56C84" w:rsidTr="00F85C3C">
        <w:tc>
          <w:tcPr>
            <w:tcW w:w="1223" w:type="pct"/>
            <w:shd w:val="clear" w:color="auto" w:fill="auto"/>
          </w:tcPr>
          <w:p w:rsidR="00AA187D" w:rsidRPr="00D56C84" w:rsidRDefault="00AA187D" w:rsidP="00AA187D">
            <w:pPr>
              <w:pStyle w:val="TableText"/>
            </w:pPr>
            <w:r w:rsidRPr="00D56C84">
              <w:t>Overall confidence in the waste and recycling information available</w:t>
            </w:r>
          </w:p>
        </w:tc>
        <w:tc>
          <w:tcPr>
            <w:tcW w:w="629" w:type="pct"/>
            <w:shd w:val="clear" w:color="auto" w:fill="auto"/>
            <w:vAlign w:val="bottom"/>
          </w:tcPr>
          <w:p w:rsidR="00AA187D" w:rsidRPr="00D56C84" w:rsidRDefault="00AA187D" w:rsidP="00AA187D">
            <w:pPr>
              <w:pStyle w:val="TableText"/>
            </w:pPr>
            <w:r w:rsidRPr="00D56C84">
              <w:t>High</w:t>
            </w:r>
          </w:p>
        </w:tc>
        <w:tc>
          <w:tcPr>
            <w:tcW w:w="630"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Low</w:t>
            </w:r>
          </w:p>
        </w:tc>
        <w:tc>
          <w:tcPr>
            <w:tcW w:w="629" w:type="pct"/>
            <w:shd w:val="clear" w:color="auto" w:fill="auto"/>
            <w:vAlign w:val="bottom"/>
          </w:tcPr>
          <w:p w:rsidR="00AA187D" w:rsidRPr="00D56C84" w:rsidRDefault="00AA187D" w:rsidP="00AA187D">
            <w:pPr>
              <w:pStyle w:val="TableText"/>
            </w:pPr>
            <w:r w:rsidRPr="00D56C84">
              <w:t>Moderate</w:t>
            </w:r>
          </w:p>
        </w:tc>
        <w:tc>
          <w:tcPr>
            <w:tcW w:w="630" w:type="pct"/>
            <w:shd w:val="clear" w:color="auto" w:fill="auto"/>
            <w:vAlign w:val="bottom"/>
          </w:tcPr>
          <w:p w:rsidR="00AA187D" w:rsidRPr="00D56C84" w:rsidRDefault="00AA187D" w:rsidP="00AA187D">
            <w:pPr>
              <w:pStyle w:val="TableText"/>
            </w:pPr>
            <w:r w:rsidRPr="00D56C84">
              <w:t>Low</w:t>
            </w:r>
          </w:p>
        </w:tc>
        <w:tc>
          <w:tcPr>
            <w:tcW w:w="630" w:type="pct"/>
            <w:shd w:val="clear" w:color="auto" w:fill="auto"/>
            <w:vAlign w:val="bottom"/>
          </w:tcPr>
          <w:p w:rsidR="00AA187D" w:rsidRPr="00D56C84" w:rsidRDefault="00AA187D" w:rsidP="00AA187D">
            <w:pPr>
              <w:pStyle w:val="TableText"/>
            </w:pPr>
            <w:r w:rsidRPr="00D56C84">
              <w:t>Moderate</w:t>
            </w:r>
          </w:p>
        </w:tc>
      </w:tr>
    </w:tbl>
    <w:p w:rsidR="00AA187D" w:rsidRPr="00D56C84" w:rsidRDefault="00AA187D" w:rsidP="00AA187D">
      <w:pPr>
        <w:pStyle w:val="Heading2"/>
        <w:spacing w:before="240"/>
      </w:pPr>
      <w:bookmarkStart w:id="26" w:name="_Toc307470418"/>
      <w:r w:rsidRPr="00D56C84">
        <w:t>General observations</w:t>
      </w:r>
      <w:bookmarkEnd w:id="26"/>
    </w:p>
    <w:p w:rsidR="00AA187D" w:rsidRPr="008247B3" w:rsidRDefault="00AA187D" w:rsidP="0006111E">
      <w:pPr>
        <w:pStyle w:val="ParaIndent"/>
        <w:jc w:val="both"/>
      </w:pPr>
      <w:r w:rsidRPr="008247B3">
        <w:t>The following general observations can be drawn from the telephone surveys</w:t>
      </w:r>
      <w:r w:rsidR="00F85C3C" w:rsidRPr="008247B3">
        <w:t xml:space="preserve">. It should be noted that judgements of data availability should not be read as implying that the </w:t>
      </w:r>
      <w:r w:rsidR="008247B3" w:rsidRPr="008247B3">
        <w:t xml:space="preserve">available </w:t>
      </w:r>
      <w:r w:rsidR="00F85C3C" w:rsidRPr="008247B3">
        <w:t>data is of quality</w:t>
      </w:r>
      <w:r w:rsidRPr="008247B3">
        <w:t>:</w:t>
      </w:r>
    </w:p>
    <w:p w:rsidR="00AA187D" w:rsidRPr="00D56C84" w:rsidRDefault="00EF4745" w:rsidP="0006111E">
      <w:pPr>
        <w:pStyle w:val="PointsBullets"/>
        <w:jc w:val="both"/>
      </w:pPr>
      <w:r w:rsidRPr="008247B3">
        <w:t>The s</w:t>
      </w:r>
      <w:r w:rsidR="00AA187D" w:rsidRPr="008247B3">
        <w:t xml:space="preserve">takeholders </w:t>
      </w:r>
      <w:r w:rsidR="00163D89" w:rsidRPr="008247B3">
        <w:t>surveyed</w:t>
      </w:r>
      <w:r w:rsidR="00163D89">
        <w:t xml:space="preserve"> were</w:t>
      </w:r>
      <w:r w:rsidR="00AA187D" w:rsidRPr="00D56C84">
        <w:t xml:space="preserve"> commonly aware that data is being gathered, by someone, but less commonly aware of how they </w:t>
      </w:r>
      <w:r w:rsidR="007E2248">
        <w:t>could</w:t>
      </w:r>
      <w:r w:rsidR="007E2248" w:rsidRPr="00D56C84">
        <w:t xml:space="preserve"> </w:t>
      </w:r>
      <w:r w:rsidR="00AA187D" w:rsidRPr="00D56C84">
        <w:t>gain access to that data, particularly in a disaggregated form.</w:t>
      </w:r>
    </w:p>
    <w:p w:rsidR="00AA187D" w:rsidRPr="00D56C84" w:rsidRDefault="00AA187D" w:rsidP="0006111E">
      <w:pPr>
        <w:pStyle w:val="PointsBullets"/>
        <w:jc w:val="both"/>
      </w:pPr>
      <w:r w:rsidRPr="00D56C84">
        <w:t xml:space="preserve">There is concern about comparability of results between different jurisdictions, as well as different </w:t>
      </w:r>
      <w:r w:rsidR="00163D89">
        <w:t xml:space="preserve">methodologies used by various waste organisations and individuals undertaking waste </w:t>
      </w:r>
      <w:r w:rsidRPr="00D56C84">
        <w:t>audit</w:t>
      </w:r>
      <w:r w:rsidR="00163D89">
        <w:t>s</w:t>
      </w:r>
      <w:r w:rsidRPr="00D56C84">
        <w:t xml:space="preserve"> within the same jurisdiction.</w:t>
      </w:r>
    </w:p>
    <w:p w:rsidR="00AA187D" w:rsidRPr="00D56C84" w:rsidRDefault="00AA187D" w:rsidP="0006111E">
      <w:pPr>
        <w:pStyle w:val="PointsBullets"/>
        <w:jc w:val="both"/>
      </w:pPr>
      <w:r w:rsidRPr="00D56C84">
        <w:t xml:space="preserve">NSW, Victoria, South Australia and Western Australia have published kerbside waste auditing methodologies, although </w:t>
      </w:r>
      <w:r w:rsidR="008E2D41" w:rsidRPr="00D56C84">
        <w:t>the various methodologies are not</w:t>
      </w:r>
      <w:r w:rsidRPr="00D56C84">
        <w:t xml:space="preserve"> consisten</w:t>
      </w:r>
      <w:r w:rsidR="008E2D41" w:rsidRPr="00D56C84">
        <w:t>t</w:t>
      </w:r>
      <w:r w:rsidRPr="00D56C84">
        <w:t xml:space="preserve"> and no guidance </w:t>
      </w:r>
      <w:r w:rsidR="008E2D41" w:rsidRPr="00D56C84">
        <w:t xml:space="preserve">is </w:t>
      </w:r>
      <w:r w:rsidRPr="00D56C84">
        <w:t xml:space="preserve">provided in the other jurisdictions. </w:t>
      </w:r>
    </w:p>
    <w:p w:rsidR="00AA187D" w:rsidRPr="00D56C84" w:rsidRDefault="00AA187D" w:rsidP="0006111E">
      <w:pPr>
        <w:pStyle w:val="PointsBullets"/>
        <w:jc w:val="both"/>
      </w:pPr>
      <w:r w:rsidRPr="00D56C84">
        <w:t>It was suggested that a well established, standard national audit methodology would be of significant benefit to provide stakeholder confidence in data gathered and presented.</w:t>
      </w:r>
    </w:p>
    <w:p w:rsidR="00AA187D" w:rsidRPr="00D56C84" w:rsidRDefault="00AA187D" w:rsidP="0006111E">
      <w:pPr>
        <w:pStyle w:val="PointsBullets"/>
        <w:jc w:val="both"/>
      </w:pPr>
      <w:r w:rsidRPr="00D56C84">
        <w:t>In those jurisdictions with high usage of weighbridge systems – generally those with a history of charging levies and having an agency focused on resource recovery – stakeholders believe reliable data is collected (if not well expressed). There is a low level of confidence in data from other jurisdictions.</w:t>
      </w:r>
    </w:p>
    <w:p w:rsidR="00AA187D" w:rsidRPr="00D56C84" w:rsidRDefault="00AA187D" w:rsidP="0006111E">
      <w:pPr>
        <w:pStyle w:val="PointsBullets"/>
        <w:jc w:val="both"/>
      </w:pPr>
      <w:r w:rsidRPr="00D56C84">
        <w:t xml:space="preserve">There is better data on the material composition of </w:t>
      </w:r>
      <w:r w:rsidR="008E2D41" w:rsidRPr="00D56C84">
        <w:t xml:space="preserve">the </w:t>
      </w:r>
      <w:r w:rsidRPr="00D56C84">
        <w:t>recycling</w:t>
      </w:r>
      <w:r w:rsidR="008E2D41" w:rsidRPr="00D56C84">
        <w:t xml:space="preserve"> stream</w:t>
      </w:r>
      <w:r w:rsidRPr="00D56C84">
        <w:t>,</w:t>
      </w:r>
      <w:r w:rsidR="008E2D41" w:rsidRPr="00D56C84">
        <w:t xml:space="preserve"> compared to the waste stream,</w:t>
      </w:r>
      <w:r w:rsidRPr="00D56C84">
        <w:t xml:space="preserve"> because materials are generally separated for re sale. There is less reliable data on the material composition of waste</w:t>
      </w:r>
      <w:r w:rsidR="00042AAE">
        <w:t xml:space="preserve"> to landfill</w:t>
      </w:r>
      <w:r w:rsidRPr="00D56C84">
        <w:t>. In terms of recycling information, the biggest area of uncertainty surrounds the composition of residual wastes.</w:t>
      </w:r>
    </w:p>
    <w:p w:rsidR="00AA187D" w:rsidRPr="00D56C84" w:rsidRDefault="00AA187D" w:rsidP="0006111E">
      <w:pPr>
        <w:pStyle w:val="PointsBullets"/>
        <w:jc w:val="both"/>
      </w:pPr>
      <w:r w:rsidRPr="00D56C84">
        <w:t>There is a lack of reliable information about organics recycling, compared to the information available in regards to more established comingled recycling systems.</w:t>
      </w:r>
    </w:p>
    <w:p w:rsidR="00AA187D" w:rsidRDefault="00AA187D" w:rsidP="00AA187D">
      <w:pPr>
        <w:pStyle w:val="Heading2"/>
        <w:spacing w:before="240"/>
      </w:pPr>
      <w:bookmarkStart w:id="27" w:name="_Toc307470419"/>
      <w:r w:rsidRPr="00D56C84">
        <w:lastRenderedPageBreak/>
        <w:t>Observations by jurisdiction</w:t>
      </w:r>
      <w:bookmarkEnd w:id="27"/>
    </w:p>
    <w:p w:rsidR="00F85C3C" w:rsidRPr="00F85C3C" w:rsidRDefault="00F85C3C" w:rsidP="00F85C3C">
      <w:pPr>
        <w:pStyle w:val="ParaIndent"/>
      </w:pPr>
      <w:r w:rsidRPr="00776610">
        <w:t>A minimum of two different stakeholders were surveyed for each of the mainland states. No stakeholders were surveyed in the ACT, NT or Tasmania. This section outlines observations by relevant jurisdiction.</w:t>
      </w:r>
      <w:r>
        <w:t xml:space="preserve"> </w:t>
      </w:r>
    </w:p>
    <w:p w:rsidR="00AA187D" w:rsidRPr="00D56C84" w:rsidRDefault="00AA187D" w:rsidP="00AA187D">
      <w:pPr>
        <w:pStyle w:val="Heading3"/>
        <w:spacing w:before="240" w:after="240"/>
      </w:pPr>
      <w:r w:rsidRPr="00D56C84">
        <w:t>NSW</w:t>
      </w:r>
    </w:p>
    <w:p w:rsidR="00AA187D" w:rsidRPr="00D56C84" w:rsidRDefault="00AA187D" w:rsidP="0006111E">
      <w:pPr>
        <w:pStyle w:val="PointsBullets"/>
        <w:jc w:val="both"/>
      </w:pPr>
      <w:r w:rsidRPr="00D56C84">
        <w:t>Industry stakeholders are aware local government waste and recycling tonnage data is being collected, but they do not know how to access it. They generally only access disaggregated information on an ‘ad hoc’ basis.</w:t>
      </w:r>
    </w:p>
    <w:p w:rsidR="00AA187D" w:rsidRPr="00D56C84" w:rsidRDefault="00AA187D" w:rsidP="0006111E">
      <w:pPr>
        <w:pStyle w:val="PointsBullets"/>
        <w:jc w:val="both"/>
      </w:pPr>
      <w:r w:rsidRPr="00D56C84">
        <w:t xml:space="preserve">Aggregated data is perceived to be of limited use, and stakeholders believe LGA-level data would be most useful. </w:t>
      </w:r>
    </w:p>
    <w:p w:rsidR="00AA187D" w:rsidRPr="00D56C84" w:rsidRDefault="00AA187D" w:rsidP="0006111E">
      <w:pPr>
        <w:pStyle w:val="PointsBullets"/>
        <w:jc w:val="both"/>
      </w:pPr>
      <w:r w:rsidRPr="00D56C84">
        <w:t>Access to ‘raw data’ would improve stakeholder confidence in the information available. There is a perception that, when data is provided on an ad hoc basis, there is potential for it to be ‘flavoured’ to suit specific needs at the time.</w:t>
      </w:r>
    </w:p>
    <w:p w:rsidR="00AA187D" w:rsidRPr="00D56C84" w:rsidRDefault="00AA187D" w:rsidP="0006111E">
      <w:pPr>
        <w:pStyle w:val="PointsBullets"/>
        <w:jc w:val="both"/>
      </w:pPr>
      <w:r w:rsidRPr="00D56C84">
        <w:t>Industry stakeholders believed there is ‘some really good audit data</w:t>
      </w:r>
      <w:r w:rsidR="00C514D3">
        <w:t>’</w:t>
      </w:r>
      <w:r w:rsidRPr="00D56C84">
        <w:t xml:space="preserve"> on municipal waste stream compositions, but it is collected ‘spasmodically’ and not to a standard methodology.</w:t>
      </w:r>
    </w:p>
    <w:p w:rsidR="00AA187D" w:rsidRPr="00D56C84" w:rsidRDefault="00AA187D" w:rsidP="0006111E">
      <w:pPr>
        <w:pStyle w:val="PointsBullets"/>
        <w:jc w:val="both"/>
      </w:pPr>
      <w:r w:rsidRPr="00D56C84">
        <w:t>Where audit data is available, assumptions and methodology are often not well explained. Users are seeking information on sample sizes and seasonal influences to composition.</w:t>
      </w:r>
    </w:p>
    <w:p w:rsidR="00AA187D" w:rsidRPr="00D56C84" w:rsidRDefault="00AA187D" w:rsidP="0006111E">
      <w:pPr>
        <w:pStyle w:val="PointsBullets"/>
        <w:jc w:val="both"/>
      </w:pPr>
      <w:r w:rsidRPr="00D56C84">
        <w:t>Some stakeholders see value in publishing ‘league tables’ providing detailed performance information by local council area.</w:t>
      </w:r>
    </w:p>
    <w:p w:rsidR="00AA187D" w:rsidRPr="00D56C84" w:rsidRDefault="00AA187D" w:rsidP="0006111E">
      <w:pPr>
        <w:pStyle w:val="PointsBullets"/>
        <w:jc w:val="both"/>
      </w:pPr>
      <w:r w:rsidRPr="00D56C84">
        <w:t xml:space="preserve">There is a strong reliance on information in specific landmark reports, for example the 2000 </w:t>
      </w:r>
      <w:r w:rsidRPr="001D4B03">
        <w:rPr>
          <w:i/>
        </w:rPr>
        <w:t>Review of Putrescible Waste Landfill Capacity – Sydney Region</w:t>
      </w:r>
      <w:r w:rsidRPr="00D56C84">
        <w:t>.</w:t>
      </w:r>
    </w:p>
    <w:p w:rsidR="00AA187D" w:rsidRPr="00D56C84" w:rsidRDefault="00AA187D" w:rsidP="0006111E">
      <w:pPr>
        <w:pStyle w:val="PointsBullets"/>
        <w:jc w:val="both"/>
      </w:pPr>
      <w:r w:rsidRPr="00D56C84">
        <w:t xml:space="preserve">The stakeholders contacted generally preferred to rely on outdated data they had a high level of confidence in, rather than more recent data where the collection methodology was unclear. </w:t>
      </w:r>
    </w:p>
    <w:p w:rsidR="00AA187D" w:rsidRPr="00D56C84" w:rsidRDefault="00AA187D" w:rsidP="0006111E">
      <w:pPr>
        <w:pStyle w:val="PointsBullets"/>
        <w:jc w:val="both"/>
      </w:pPr>
      <w:r w:rsidRPr="00D56C84">
        <w:t>Stakeholders were aware of information sources for some specific material streams (for example PACIA reports on plastics) but consider there would be high value in having access to a centralised repository of the most up-to-date, reliable information.</w:t>
      </w:r>
    </w:p>
    <w:p w:rsidR="00AA187D" w:rsidRPr="00D56C84" w:rsidRDefault="00AA187D" w:rsidP="0006111E">
      <w:pPr>
        <w:pStyle w:val="Heading3"/>
        <w:spacing w:before="240" w:after="240"/>
        <w:jc w:val="both"/>
      </w:pPr>
      <w:r w:rsidRPr="00D56C84">
        <w:t>Victoria</w:t>
      </w:r>
    </w:p>
    <w:p w:rsidR="00AA187D" w:rsidRPr="00D56C84" w:rsidRDefault="00AA187D" w:rsidP="0006111E">
      <w:pPr>
        <w:pStyle w:val="PointsBullets"/>
        <w:jc w:val="both"/>
      </w:pPr>
      <w:r w:rsidRPr="00D56C84">
        <w:t>A number of stakeholders with dealings across multiple jurisdictions considered Sustainability Victoria provided the best data</w:t>
      </w:r>
      <w:r w:rsidR="008E2D41" w:rsidRPr="00D56C84">
        <w:t xml:space="preserve"> on local government waste and recycling</w:t>
      </w:r>
      <w:r w:rsidRPr="00D56C84">
        <w:t>.</w:t>
      </w:r>
    </w:p>
    <w:p w:rsidR="00AA187D" w:rsidRPr="00D56C84" w:rsidRDefault="00AA187D" w:rsidP="0006111E">
      <w:pPr>
        <w:pStyle w:val="PointsBullets"/>
        <w:jc w:val="both"/>
      </w:pPr>
      <w:r w:rsidRPr="00D56C84">
        <w:t>While several stakeholders lauded Victoria’s publication of detailed information by local government area, others suggested there was ‘great secrecy’, and ‘people don’t know how to access it’.</w:t>
      </w:r>
    </w:p>
    <w:p w:rsidR="00AA187D" w:rsidRDefault="00AA187D" w:rsidP="0006111E">
      <w:pPr>
        <w:pStyle w:val="PointsBullets"/>
        <w:jc w:val="both"/>
      </w:pPr>
      <w:r w:rsidRPr="00D56C84">
        <w:t>Per capita waste and recycling rates for each LGA are contained in Sustainability Victoria’s Local Government Annual Survey and can be used to calculate key information about tonnages, if the user has access to population data.</w:t>
      </w:r>
      <w:r w:rsidR="001D4B03">
        <w:t xml:space="preserve"> Information about population, number of households and number of dwellings in each LGA is not always readily available in a form that allows meaningful comparison of the data.</w:t>
      </w:r>
    </w:p>
    <w:p w:rsidR="00AA187D" w:rsidRPr="00D56C84" w:rsidRDefault="00AA187D" w:rsidP="0006111E">
      <w:pPr>
        <w:pStyle w:val="PointsBullets"/>
        <w:jc w:val="both"/>
      </w:pPr>
      <w:r w:rsidRPr="00D56C84">
        <w:t>Stakeholders believe information about recycling is more readily available than information about waste, because stakeholders are more willing to promote their resource recovery successes.</w:t>
      </w:r>
    </w:p>
    <w:p w:rsidR="00AA187D" w:rsidRPr="00D56C84" w:rsidRDefault="00AA187D" w:rsidP="009B286E">
      <w:pPr>
        <w:pStyle w:val="PointsBullets"/>
        <w:jc w:val="both"/>
      </w:pPr>
      <w:r w:rsidRPr="00D56C84">
        <w:lastRenderedPageBreak/>
        <w:t xml:space="preserve">It was suggested that, even where regulators have access to weighbridge information, there is the potential for some inaccuracy in data if the weighbridge operator fails to record all data (either accidentally or </w:t>
      </w:r>
      <w:r w:rsidR="008E2D41" w:rsidRPr="00D56C84">
        <w:t>intentionally</w:t>
      </w:r>
      <w:r w:rsidRPr="00D56C84">
        <w:t xml:space="preserve">). This was not considered </w:t>
      </w:r>
      <w:r w:rsidR="00A63B34" w:rsidRPr="00D56C84">
        <w:t xml:space="preserve">to be </w:t>
      </w:r>
      <w:r w:rsidRPr="00D56C84">
        <w:t>a major issue.</w:t>
      </w:r>
    </w:p>
    <w:p w:rsidR="00AA187D" w:rsidRPr="00D56C84" w:rsidRDefault="00AA187D" w:rsidP="009B286E">
      <w:pPr>
        <w:pStyle w:val="PointsBullets"/>
        <w:jc w:val="both"/>
      </w:pPr>
      <w:r w:rsidRPr="00D56C84">
        <w:t>One stakeholder noted that, even within one local government area, there can be major demographic differences, and it may be useful to access subsets of data for each LGA.</w:t>
      </w:r>
    </w:p>
    <w:p w:rsidR="00AA187D" w:rsidRPr="00D56C84" w:rsidRDefault="00AA187D" w:rsidP="009B286E">
      <w:pPr>
        <w:pStyle w:val="PointsBullets"/>
        <w:jc w:val="both"/>
      </w:pPr>
      <w:r w:rsidRPr="00D56C84">
        <w:t>There was discussion of the need for access to better data on consumption of specific problem waste types (for example lead acid batteries) in order to determine recovery rates for key products of concern.</w:t>
      </w:r>
    </w:p>
    <w:p w:rsidR="00AA187D" w:rsidRPr="00D56C84" w:rsidRDefault="00AA187D" w:rsidP="009B286E">
      <w:pPr>
        <w:pStyle w:val="PointsBullets"/>
        <w:jc w:val="both"/>
      </w:pPr>
      <w:r w:rsidRPr="00D56C84">
        <w:t>Stakeholders expressed desire for more information about contamination in recycling streams.</w:t>
      </w:r>
    </w:p>
    <w:p w:rsidR="00AA187D" w:rsidRPr="00D56C84" w:rsidRDefault="00AA187D" w:rsidP="009B286E">
      <w:pPr>
        <w:pStyle w:val="PointsBullets"/>
        <w:jc w:val="both"/>
      </w:pPr>
      <w:r w:rsidRPr="00D56C84">
        <w:t>The value of developing a national methodology for auditing and reporting waste and recycling information was rated very highly, indeed ‘10 out of 5’ by one stakeholder.</w:t>
      </w:r>
    </w:p>
    <w:p w:rsidR="00AA187D" w:rsidRPr="00D56C84" w:rsidRDefault="00AA187D" w:rsidP="009B286E">
      <w:pPr>
        <w:pStyle w:val="PointsBullets"/>
        <w:jc w:val="both"/>
      </w:pPr>
      <w:r w:rsidRPr="00D56C84">
        <w:t>The publication of information about collection services and frequencies for each Victorian LGA was considered advantageous by stakeholders involved in providing associated services.</w:t>
      </w:r>
    </w:p>
    <w:p w:rsidR="00AA187D" w:rsidRPr="00D56C84" w:rsidRDefault="00AA187D" w:rsidP="009B286E">
      <w:pPr>
        <w:pStyle w:val="PointsBullets"/>
        <w:jc w:val="both"/>
      </w:pPr>
      <w:r w:rsidRPr="00D56C84">
        <w:t>It was suggested the LGAs should be required to report the destination of their waste, in order to improve transparency about which facilities – and surrounding communities – bear the burden of managing other region’s wastes.</w:t>
      </w:r>
    </w:p>
    <w:p w:rsidR="00AA187D" w:rsidRPr="00D56C84" w:rsidRDefault="00AA187D" w:rsidP="009B286E">
      <w:pPr>
        <w:pStyle w:val="Heading3"/>
        <w:spacing w:before="240" w:after="240"/>
        <w:jc w:val="both"/>
      </w:pPr>
      <w:r w:rsidRPr="00D56C84">
        <w:t>Queensland</w:t>
      </w:r>
    </w:p>
    <w:p w:rsidR="00AA187D" w:rsidRPr="00D56C84" w:rsidRDefault="00AA187D" w:rsidP="009B286E">
      <w:pPr>
        <w:pStyle w:val="PointsBullets"/>
        <w:jc w:val="both"/>
      </w:pPr>
      <w:r w:rsidRPr="00D56C84">
        <w:t>Stakeholders noted there is a general lack of high quality tonnage information in Queensland, due in part to a low reliance on weighbridge systems.</w:t>
      </w:r>
    </w:p>
    <w:p w:rsidR="00A63B34" w:rsidRPr="00D56C84" w:rsidRDefault="00A63B34" w:rsidP="009B286E">
      <w:pPr>
        <w:pStyle w:val="PointsBullets"/>
        <w:jc w:val="both"/>
      </w:pPr>
      <w:r w:rsidRPr="00D56C84">
        <w:t>Stakeholders believe introduction of a landfill levy on industrial wastes from December 2011 will lead to improved information about tonnes of waste in the state.</w:t>
      </w:r>
    </w:p>
    <w:p w:rsidR="00AA187D" w:rsidRPr="00D56C84" w:rsidRDefault="00AA187D" w:rsidP="009B286E">
      <w:pPr>
        <w:pStyle w:val="PointsBullets"/>
        <w:jc w:val="both"/>
      </w:pPr>
      <w:r w:rsidRPr="00D56C84">
        <w:t>Where data is collected, stakeholders want access to it in ‘raw form’ because they believe aggregated data is of limited use, and may be ‘flavoured’ to suit particular perspectives.</w:t>
      </w:r>
    </w:p>
    <w:p w:rsidR="00AA187D" w:rsidRPr="00D56C84" w:rsidRDefault="00AA187D" w:rsidP="009B286E">
      <w:pPr>
        <w:pStyle w:val="PointsBullets"/>
        <w:jc w:val="both"/>
      </w:pPr>
      <w:r w:rsidRPr="00D56C84">
        <w:t>There are issues with defining the source sector of waste in Queensland, due to the common practice of co-collecting some commercial wastes with domestic wastes.</w:t>
      </w:r>
    </w:p>
    <w:p w:rsidR="00AA187D" w:rsidRPr="00D56C84" w:rsidRDefault="00AA187D" w:rsidP="00AA187D">
      <w:pPr>
        <w:pStyle w:val="Heading3"/>
        <w:spacing w:before="240" w:after="240"/>
      </w:pPr>
      <w:r w:rsidRPr="00D56C84">
        <w:t>South Australia</w:t>
      </w:r>
    </w:p>
    <w:p w:rsidR="00AA187D" w:rsidRPr="00D56C84" w:rsidRDefault="00AA187D" w:rsidP="009B286E">
      <w:pPr>
        <w:pStyle w:val="PointsBullets"/>
        <w:jc w:val="both"/>
      </w:pPr>
      <w:r w:rsidRPr="00D56C84">
        <w:t>There is concern that recycling audits may be based on kerbside audits, rather than audits at the end of process</w:t>
      </w:r>
      <w:r w:rsidR="00A63B34" w:rsidRPr="00D56C84">
        <w:t>ing</w:t>
      </w:r>
      <w:r w:rsidRPr="00D56C84">
        <w:t>. This means residual waste from recycling operations is not appropriately accounted for. There was also concern about the small sample size used in several studies.</w:t>
      </w:r>
    </w:p>
    <w:p w:rsidR="00AA187D" w:rsidRPr="00D56C84" w:rsidRDefault="00AA187D" w:rsidP="009B286E">
      <w:pPr>
        <w:pStyle w:val="PointsBullets"/>
        <w:jc w:val="both"/>
      </w:pPr>
      <w:r w:rsidRPr="00D56C84">
        <w:t xml:space="preserve">Stakeholders rated the availability of waste tonnage data as very low, but believed Zero Waste SA provided reasonably reliable information about waste composition. </w:t>
      </w:r>
    </w:p>
    <w:p w:rsidR="00AA187D" w:rsidRPr="00D56C84" w:rsidRDefault="00AA187D" w:rsidP="009B286E">
      <w:pPr>
        <w:pStyle w:val="PointsBullets"/>
        <w:jc w:val="both"/>
      </w:pPr>
      <w:r w:rsidRPr="00D56C84">
        <w:t>It was noted that some waste audits provide too many material categories; one stakeholder in particular was keen to ensure results were not over complicated by providing ‘infinite detail’ and suggested standard, broad categories should be adopted.</w:t>
      </w:r>
    </w:p>
    <w:p w:rsidR="00AA187D" w:rsidRPr="00D56C84" w:rsidRDefault="00AA187D" w:rsidP="009B286E">
      <w:pPr>
        <w:pStyle w:val="PointsBullets"/>
        <w:jc w:val="both"/>
      </w:pPr>
      <w:r w:rsidRPr="00D56C84">
        <w:t>The impact of seasonal changes and different socioeconomic areas was noted, as was the desire for audits to be conducted to a well defined and repeatable methodology.</w:t>
      </w:r>
    </w:p>
    <w:p w:rsidR="00AA187D" w:rsidRPr="00D56C84" w:rsidRDefault="00AA187D" w:rsidP="009B286E">
      <w:pPr>
        <w:pStyle w:val="PointsBullets"/>
        <w:jc w:val="both"/>
      </w:pPr>
      <w:r w:rsidRPr="00D56C84">
        <w:t>One large private operator felt publication of detailed information about waste volumes may commercially disadvantage his operations, because in the current market only established operators have any real information about the size of the commercial opportunity.</w:t>
      </w:r>
    </w:p>
    <w:p w:rsidR="00AA187D" w:rsidRPr="00D56C84" w:rsidRDefault="00AA187D" w:rsidP="00AA187D">
      <w:pPr>
        <w:pStyle w:val="Heading3"/>
        <w:spacing w:before="240" w:after="240"/>
      </w:pPr>
      <w:r w:rsidRPr="00D56C84">
        <w:lastRenderedPageBreak/>
        <w:t>Western Australia</w:t>
      </w:r>
    </w:p>
    <w:p w:rsidR="00AA187D" w:rsidRPr="00D56C84" w:rsidRDefault="00AA187D" w:rsidP="009B286E">
      <w:pPr>
        <w:pStyle w:val="PointsBullets"/>
        <w:jc w:val="both"/>
      </w:pPr>
      <w:r w:rsidRPr="00D56C84">
        <w:t xml:space="preserve">Private landfill operators hold their own waste tonnage information, but do not </w:t>
      </w:r>
      <w:r w:rsidR="00A63B34" w:rsidRPr="00D56C84">
        <w:t xml:space="preserve">necessarily </w:t>
      </w:r>
      <w:r w:rsidRPr="00D56C84">
        <w:t>share it with other operators or regulators.</w:t>
      </w:r>
    </w:p>
    <w:p w:rsidR="00AA187D" w:rsidRPr="00D56C84" w:rsidRDefault="00AA187D" w:rsidP="009B286E">
      <w:pPr>
        <w:pStyle w:val="PointsBullets"/>
        <w:jc w:val="both"/>
      </w:pPr>
      <w:r w:rsidRPr="00D56C84">
        <w:t xml:space="preserve">Where the state government does have information, private stakeholders believed they </w:t>
      </w:r>
      <w:r w:rsidR="00A63B34" w:rsidRPr="00D56C84">
        <w:t xml:space="preserve">are reluctant </w:t>
      </w:r>
      <w:r w:rsidRPr="00D56C84">
        <w:t>to publish it and</w:t>
      </w:r>
      <w:r w:rsidR="00A63B34" w:rsidRPr="00D56C84">
        <w:t xml:space="preserve"> will</w:t>
      </w:r>
      <w:r w:rsidRPr="00D56C84">
        <w:t xml:space="preserve"> only provide specific snippets of information on reasonable request.</w:t>
      </w:r>
    </w:p>
    <w:p w:rsidR="00AA187D" w:rsidRPr="00D56C84" w:rsidRDefault="00AA187D" w:rsidP="009B286E">
      <w:pPr>
        <w:pStyle w:val="PointsBullets"/>
        <w:jc w:val="both"/>
      </w:pPr>
      <w:r w:rsidRPr="00D56C84">
        <w:t>The manager of one major landfill suggested there had been no waste composition audits conducted in his memory, over several years.</w:t>
      </w:r>
    </w:p>
    <w:p w:rsidR="00AA187D" w:rsidRPr="00D56C84" w:rsidRDefault="00AA187D" w:rsidP="009B286E">
      <w:pPr>
        <w:pStyle w:val="PointsBullets"/>
        <w:jc w:val="both"/>
      </w:pPr>
      <w:r w:rsidRPr="00D56C84">
        <w:t>There was a feeling good tonnage and composition data would be useful in helping make informed business decisions, including about potentially introducing resource recovery infrastructure at transfer stations.</w:t>
      </w:r>
    </w:p>
    <w:p w:rsidR="00AA187D" w:rsidRPr="00D56C84" w:rsidRDefault="00AA187D" w:rsidP="009B286E">
      <w:pPr>
        <w:pStyle w:val="PointsBullets"/>
        <w:jc w:val="both"/>
      </w:pPr>
      <w:r w:rsidRPr="00D56C84">
        <w:t xml:space="preserve">Stakeholders are relying on information contained in national reports, particularly the </w:t>
      </w:r>
      <w:r w:rsidRPr="00D56C84">
        <w:rPr>
          <w:i/>
        </w:rPr>
        <w:t>Waste and Recycling in Australia</w:t>
      </w:r>
      <w:r w:rsidRPr="00D56C84">
        <w:t xml:space="preserve"> series of reports, rather than accessing state-specific information sources.</w:t>
      </w:r>
    </w:p>
    <w:p w:rsidR="00AA187D" w:rsidRPr="00D56C84" w:rsidRDefault="00AA187D">
      <w:pPr>
        <w:spacing w:after="0" w:line="240" w:lineRule="auto"/>
        <w:ind w:left="0"/>
      </w:pPr>
      <w:r w:rsidRPr="00D56C84">
        <w:br w:type="page"/>
      </w:r>
    </w:p>
    <w:p w:rsidR="00177363" w:rsidRPr="00D56C84" w:rsidRDefault="00F85367" w:rsidP="0006111E">
      <w:pPr>
        <w:pStyle w:val="Heading1"/>
        <w:jc w:val="both"/>
      </w:pPr>
      <w:bookmarkStart w:id="28" w:name="_Toc307470420"/>
      <w:r>
        <w:lastRenderedPageBreak/>
        <w:t>Availability of information</w:t>
      </w:r>
      <w:bookmarkEnd w:id="28"/>
      <w:r>
        <w:t xml:space="preserve"> </w:t>
      </w:r>
    </w:p>
    <w:p w:rsidR="00177363" w:rsidRPr="00D56C84" w:rsidRDefault="00177363" w:rsidP="0006111E">
      <w:pPr>
        <w:pStyle w:val="ParaIndent"/>
        <w:jc w:val="both"/>
      </w:pPr>
      <w:r w:rsidRPr="00D56C84">
        <w:t xml:space="preserve">The availability of waste and recycling information in each Australian jurisdiction has been assessed during compilation of this report, and a high-level appraisal of the availability is provided in </w:t>
      </w:r>
      <w:fldSimple w:instr=" REF _Ref297117476 \h  \* MERGEFORMAT ">
        <w:r w:rsidR="00166111" w:rsidRPr="00D56C84">
          <w:t xml:space="preserve">Table </w:t>
        </w:r>
        <w:r w:rsidR="00166111">
          <w:rPr>
            <w:noProof/>
          </w:rPr>
          <w:t>4</w:t>
        </w:r>
        <w:r w:rsidR="00166111" w:rsidRPr="00D56C84">
          <w:rPr>
            <w:noProof/>
          </w:rPr>
          <w:t>-</w:t>
        </w:r>
        <w:r w:rsidR="00166111">
          <w:rPr>
            <w:noProof/>
          </w:rPr>
          <w:t>4</w:t>
        </w:r>
      </w:fldSimple>
      <w:r w:rsidRPr="00D56C84">
        <w:t xml:space="preserve">. </w:t>
      </w:r>
      <w:r w:rsidR="00052D54" w:rsidRPr="00776610">
        <w:t>This does not include an assessment of data quality.</w:t>
      </w:r>
      <w:r w:rsidR="00052D54">
        <w:t xml:space="preserve"> </w:t>
      </w:r>
    </w:p>
    <w:p w:rsidR="00177363" w:rsidRPr="00D56C84" w:rsidRDefault="00177363" w:rsidP="00177363">
      <w:pPr>
        <w:pStyle w:val="Caption"/>
      </w:pPr>
      <w:bookmarkStart w:id="29" w:name="_Ref297117476"/>
      <w:r w:rsidRPr="00D56C84">
        <w:t xml:space="preserve">Table </w:t>
      </w:r>
      <w:r w:rsidR="00ED6CA0">
        <w:fldChar w:fldCharType="begin"/>
      </w:r>
      <w:r w:rsidR="006D5406">
        <w:instrText xml:space="preserve"> STYLEREF "_Heading1" \n </w:instrText>
      </w:r>
      <w:r w:rsidR="00ED6CA0">
        <w:fldChar w:fldCharType="separate"/>
      </w:r>
      <w:r w:rsidR="00166111">
        <w:rPr>
          <w:noProof/>
        </w:rPr>
        <w:t>4</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4</w:t>
      </w:r>
      <w:r w:rsidR="00ED6CA0">
        <w:rPr>
          <w:noProof/>
        </w:rPr>
        <w:fldChar w:fldCharType="end"/>
      </w:r>
      <w:bookmarkEnd w:id="29"/>
      <w:r w:rsidRPr="00D56C84">
        <w:tab/>
        <w:t xml:space="preserve">Availability of </w:t>
      </w:r>
      <w:r w:rsidR="00042AAE">
        <w:t xml:space="preserve">local government </w:t>
      </w:r>
      <w:r w:rsidRPr="00D56C84">
        <w:t xml:space="preserve">waste and recycling </w:t>
      </w:r>
      <w:r w:rsidR="00042AAE">
        <w:t xml:space="preserve">data and </w:t>
      </w:r>
      <w:r w:rsidRPr="00D56C84">
        <w:t>information by jurisdiction</w:t>
      </w:r>
    </w:p>
    <w:tbl>
      <w:tblPr>
        <w:tblStyle w:val="TableGrid"/>
        <w:tblW w:w="5000" w:type="pct"/>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1703"/>
        <w:gridCol w:w="2153"/>
        <w:gridCol w:w="1673"/>
        <w:gridCol w:w="2182"/>
        <w:gridCol w:w="1928"/>
      </w:tblGrid>
      <w:tr w:rsidR="00177363" w:rsidRPr="00D56C84" w:rsidTr="00052D54">
        <w:tc>
          <w:tcPr>
            <w:tcW w:w="883" w:type="pct"/>
            <w:shd w:val="clear" w:color="auto" w:fill="auto"/>
            <w:vAlign w:val="center"/>
          </w:tcPr>
          <w:p w:rsidR="00177363" w:rsidRPr="00D56C84" w:rsidRDefault="00177363" w:rsidP="00FF7720">
            <w:pPr>
              <w:pStyle w:val="TableHeading"/>
            </w:pPr>
          </w:p>
        </w:tc>
        <w:tc>
          <w:tcPr>
            <w:tcW w:w="1117" w:type="pct"/>
            <w:shd w:val="clear" w:color="auto" w:fill="auto"/>
            <w:vAlign w:val="center"/>
          </w:tcPr>
          <w:p w:rsidR="00177363" w:rsidRPr="00D56C84" w:rsidRDefault="00177363" w:rsidP="00052D54">
            <w:pPr>
              <w:pStyle w:val="TableHeading"/>
            </w:pPr>
            <w:r w:rsidRPr="00D56C84">
              <w:t>Disaggregated data by Local Government Area</w:t>
            </w:r>
          </w:p>
        </w:tc>
        <w:tc>
          <w:tcPr>
            <w:tcW w:w="868" w:type="pct"/>
            <w:shd w:val="clear" w:color="auto" w:fill="auto"/>
            <w:vAlign w:val="center"/>
          </w:tcPr>
          <w:p w:rsidR="00177363" w:rsidRPr="00D56C84" w:rsidRDefault="00177363" w:rsidP="00052D54">
            <w:pPr>
              <w:pStyle w:val="TableHeading"/>
            </w:pPr>
            <w:r w:rsidRPr="00D56C84">
              <w:t>Material composition split</w:t>
            </w:r>
          </w:p>
        </w:tc>
        <w:tc>
          <w:tcPr>
            <w:tcW w:w="1132" w:type="pct"/>
            <w:shd w:val="clear" w:color="auto" w:fill="auto"/>
            <w:vAlign w:val="center"/>
          </w:tcPr>
          <w:p w:rsidR="00177363" w:rsidRPr="00D56C84" w:rsidRDefault="00177363" w:rsidP="00052D54">
            <w:pPr>
              <w:pStyle w:val="TableHeading"/>
            </w:pPr>
            <w:r w:rsidRPr="00D56C84">
              <w:t>Source sector split (MSW, C&amp;I, C&amp;D)</w:t>
            </w:r>
          </w:p>
        </w:tc>
        <w:tc>
          <w:tcPr>
            <w:tcW w:w="1000" w:type="pct"/>
            <w:shd w:val="clear" w:color="auto" w:fill="auto"/>
            <w:vAlign w:val="center"/>
          </w:tcPr>
          <w:p w:rsidR="00177363" w:rsidRPr="00D56C84" w:rsidRDefault="00177363" w:rsidP="00052D54">
            <w:pPr>
              <w:pStyle w:val="TableHeading"/>
            </w:pPr>
            <w:r w:rsidRPr="00D56C84">
              <w:t>Destination split (recycling, energy recovery or landfill)</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NSW</w:t>
            </w:r>
          </w:p>
        </w:tc>
        <w:tc>
          <w:tcPr>
            <w:tcW w:w="1117" w:type="pct"/>
            <w:shd w:val="clear" w:color="auto" w:fill="auto"/>
          </w:tcPr>
          <w:p w:rsidR="00177363" w:rsidRPr="00D56C84" w:rsidRDefault="00177363" w:rsidP="00FF7720">
            <w:pPr>
              <w:pStyle w:val="TableText"/>
            </w:pPr>
            <w:r w:rsidRPr="00D56C84">
              <w:t>High</w:t>
            </w:r>
          </w:p>
        </w:tc>
        <w:tc>
          <w:tcPr>
            <w:tcW w:w="868" w:type="pct"/>
            <w:shd w:val="clear" w:color="auto" w:fill="auto"/>
            <w:vAlign w:val="center"/>
          </w:tcPr>
          <w:p w:rsidR="00177363" w:rsidRPr="00D56C84" w:rsidRDefault="00177363" w:rsidP="00FF7720">
            <w:pPr>
              <w:pStyle w:val="TableText"/>
            </w:pPr>
            <w:r w:rsidRPr="00D56C84">
              <w:t>Medium</w:t>
            </w:r>
          </w:p>
        </w:tc>
        <w:tc>
          <w:tcPr>
            <w:tcW w:w="1132" w:type="pct"/>
            <w:shd w:val="clear" w:color="auto" w:fill="auto"/>
            <w:vAlign w:val="center"/>
          </w:tcPr>
          <w:p w:rsidR="00177363" w:rsidRPr="00D56C84" w:rsidRDefault="00177363" w:rsidP="00FF7720">
            <w:pPr>
              <w:pStyle w:val="TableText"/>
            </w:pPr>
            <w:r w:rsidRPr="00D56C84">
              <w:t>High</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Victoria</w:t>
            </w:r>
          </w:p>
        </w:tc>
        <w:tc>
          <w:tcPr>
            <w:tcW w:w="1117" w:type="pct"/>
            <w:shd w:val="clear" w:color="auto" w:fill="auto"/>
          </w:tcPr>
          <w:p w:rsidR="00177363" w:rsidRPr="00D56C84" w:rsidRDefault="00177363" w:rsidP="00FF7720">
            <w:pPr>
              <w:pStyle w:val="TableText"/>
            </w:pPr>
            <w:r w:rsidRPr="00D56C84">
              <w:t>High</w:t>
            </w:r>
          </w:p>
        </w:tc>
        <w:tc>
          <w:tcPr>
            <w:tcW w:w="868" w:type="pct"/>
            <w:shd w:val="clear" w:color="auto" w:fill="auto"/>
            <w:vAlign w:val="center"/>
          </w:tcPr>
          <w:p w:rsidR="00177363" w:rsidRPr="00D56C84" w:rsidRDefault="00177363" w:rsidP="00FF7720">
            <w:pPr>
              <w:pStyle w:val="TableText"/>
            </w:pPr>
            <w:r w:rsidRPr="00D56C84">
              <w:t>High</w:t>
            </w:r>
          </w:p>
        </w:tc>
        <w:tc>
          <w:tcPr>
            <w:tcW w:w="1132" w:type="pct"/>
            <w:shd w:val="clear" w:color="auto" w:fill="auto"/>
            <w:vAlign w:val="center"/>
          </w:tcPr>
          <w:p w:rsidR="00177363" w:rsidRPr="00D56C84" w:rsidRDefault="00177363" w:rsidP="00FF7720">
            <w:pPr>
              <w:pStyle w:val="TableText"/>
            </w:pPr>
            <w:r w:rsidRPr="00D56C84">
              <w:t>High</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Queensland</w:t>
            </w:r>
          </w:p>
        </w:tc>
        <w:tc>
          <w:tcPr>
            <w:tcW w:w="1117" w:type="pct"/>
            <w:shd w:val="clear" w:color="auto" w:fill="auto"/>
          </w:tcPr>
          <w:p w:rsidR="00177363" w:rsidRPr="00D56C84" w:rsidRDefault="00177363" w:rsidP="00FF7720">
            <w:pPr>
              <w:pStyle w:val="TableText"/>
            </w:pPr>
            <w:r w:rsidRPr="00D56C84">
              <w:t>Medium</w:t>
            </w:r>
          </w:p>
        </w:tc>
        <w:tc>
          <w:tcPr>
            <w:tcW w:w="868" w:type="pct"/>
            <w:shd w:val="clear" w:color="auto" w:fill="auto"/>
            <w:vAlign w:val="center"/>
          </w:tcPr>
          <w:p w:rsidR="00177363" w:rsidRPr="00D56C84" w:rsidRDefault="00177363" w:rsidP="00FF7720">
            <w:pPr>
              <w:pStyle w:val="TableText"/>
            </w:pPr>
            <w:r w:rsidRPr="00D56C84">
              <w:t>High</w:t>
            </w:r>
          </w:p>
        </w:tc>
        <w:tc>
          <w:tcPr>
            <w:tcW w:w="1132" w:type="pct"/>
            <w:shd w:val="clear" w:color="auto" w:fill="auto"/>
            <w:vAlign w:val="center"/>
          </w:tcPr>
          <w:p w:rsidR="00177363" w:rsidRPr="00D56C84" w:rsidRDefault="00177363" w:rsidP="00FF7720">
            <w:pPr>
              <w:pStyle w:val="TableText"/>
            </w:pPr>
            <w:r w:rsidRPr="00D56C84">
              <w:t>Medium</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South Australia</w:t>
            </w:r>
          </w:p>
        </w:tc>
        <w:tc>
          <w:tcPr>
            <w:tcW w:w="1117" w:type="pct"/>
            <w:shd w:val="clear" w:color="auto" w:fill="auto"/>
          </w:tcPr>
          <w:p w:rsidR="00177363" w:rsidRPr="00D56C84" w:rsidRDefault="00177363" w:rsidP="00FF7720">
            <w:pPr>
              <w:pStyle w:val="TableText"/>
            </w:pPr>
            <w:r w:rsidRPr="00D56C84">
              <w:t>Low</w:t>
            </w:r>
          </w:p>
        </w:tc>
        <w:tc>
          <w:tcPr>
            <w:tcW w:w="868" w:type="pct"/>
            <w:shd w:val="clear" w:color="auto" w:fill="auto"/>
            <w:vAlign w:val="center"/>
          </w:tcPr>
          <w:p w:rsidR="00177363" w:rsidRPr="00D56C84" w:rsidRDefault="00177363" w:rsidP="00FF7720">
            <w:pPr>
              <w:pStyle w:val="TableText"/>
            </w:pPr>
            <w:r w:rsidRPr="00D56C84">
              <w:t>High</w:t>
            </w:r>
          </w:p>
        </w:tc>
        <w:tc>
          <w:tcPr>
            <w:tcW w:w="1132" w:type="pct"/>
            <w:shd w:val="clear" w:color="auto" w:fill="auto"/>
            <w:vAlign w:val="center"/>
          </w:tcPr>
          <w:p w:rsidR="00177363" w:rsidRPr="00D56C84" w:rsidRDefault="00177363" w:rsidP="00FF7720">
            <w:pPr>
              <w:pStyle w:val="TableText"/>
            </w:pPr>
            <w:r w:rsidRPr="00D56C84">
              <w:t>High</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Western Australia</w:t>
            </w:r>
          </w:p>
        </w:tc>
        <w:tc>
          <w:tcPr>
            <w:tcW w:w="1117" w:type="pct"/>
            <w:shd w:val="clear" w:color="auto" w:fill="auto"/>
          </w:tcPr>
          <w:p w:rsidR="00177363" w:rsidRPr="00D56C84" w:rsidRDefault="00177363" w:rsidP="00FF7720">
            <w:pPr>
              <w:pStyle w:val="TableText"/>
            </w:pPr>
            <w:r w:rsidRPr="00D56C84">
              <w:t>Low</w:t>
            </w:r>
          </w:p>
        </w:tc>
        <w:tc>
          <w:tcPr>
            <w:tcW w:w="868" w:type="pct"/>
            <w:shd w:val="clear" w:color="auto" w:fill="auto"/>
            <w:vAlign w:val="center"/>
          </w:tcPr>
          <w:p w:rsidR="00177363" w:rsidRPr="00D56C84" w:rsidRDefault="00177363" w:rsidP="00FF7720">
            <w:pPr>
              <w:pStyle w:val="TableText"/>
            </w:pPr>
            <w:r w:rsidRPr="00D56C84">
              <w:t>High</w:t>
            </w:r>
          </w:p>
        </w:tc>
        <w:tc>
          <w:tcPr>
            <w:tcW w:w="1132" w:type="pct"/>
            <w:shd w:val="clear" w:color="auto" w:fill="auto"/>
            <w:vAlign w:val="center"/>
          </w:tcPr>
          <w:p w:rsidR="00177363" w:rsidRPr="00D56C84" w:rsidRDefault="00177363" w:rsidP="00FF7720">
            <w:pPr>
              <w:pStyle w:val="TableText"/>
            </w:pPr>
            <w:r w:rsidRPr="00D56C84">
              <w:t>High</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Tasmania</w:t>
            </w:r>
          </w:p>
        </w:tc>
        <w:tc>
          <w:tcPr>
            <w:tcW w:w="1117" w:type="pct"/>
            <w:shd w:val="clear" w:color="auto" w:fill="auto"/>
          </w:tcPr>
          <w:p w:rsidR="00177363" w:rsidRPr="00D56C84" w:rsidRDefault="00177363" w:rsidP="00FF7720">
            <w:pPr>
              <w:pStyle w:val="TableText"/>
            </w:pPr>
            <w:r w:rsidRPr="00D56C84">
              <w:t>Low</w:t>
            </w:r>
          </w:p>
        </w:tc>
        <w:tc>
          <w:tcPr>
            <w:tcW w:w="868" w:type="pct"/>
            <w:shd w:val="clear" w:color="auto" w:fill="auto"/>
            <w:vAlign w:val="center"/>
          </w:tcPr>
          <w:p w:rsidR="00177363" w:rsidRPr="00D56C84" w:rsidRDefault="00177363" w:rsidP="00FF7720">
            <w:pPr>
              <w:pStyle w:val="TableText"/>
            </w:pPr>
            <w:r w:rsidRPr="00D56C84">
              <w:t>Low</w:t>
            </w:r>
          </w:p>
        </w:tc>
        <w:tc>
          <w:tcPr>
            <w:tcW w:w="1132" w:type="pct"/>
            <w:shd w:val="clear" w:color="auto" w:fill="auto"/>
            <w:vAlign w:val="center"/>
          </w:tcPr>
          <w:p w:rsidR="00177363" w:rsidRPr="00D56C84" w:rsidRDefault="00177363" w:rsidP="00FF7720">
            <w:pPr>
              <w:pStyle w:val="TableText"/>
            </w:pPr>
            <w:r w:rsidRPr="00D56C84">
              <w:t>Low</w:t>
            </w:r>
          </w:p>
        </w:tc>
        <w:tc>
          <w:tcPr>
            <w:tcW w:w="1000" w:type="pct"/>
            <w:shd w:val="clear" w:color="auto" w:fill="auto"/>
            <w:vAlign w:val="center"/>
          </w:tcPr>
          <w:p w:rsidR="00177363" w:rsidRPr="00D56C84" w:rsidRDefault="00177363" w:rsidP="00FF7720">
            <w:pPr>
              <w:pStyle w:val="TableText"/>
            </w:pPr>
            <w:r w:rsidRPr="00D56C84">
              <w:t>Low</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ACT</w:t>
            </w:r>
          </w:p>
        </w:tc>
        <w:tc>
          <w:tcPr>
            <w:tcW w:w="1117" w:type="pct"/>
            <w:shd w:val="clear" w:color="auto" w:fill="auto"/>
          </w:tcPr>
          <w:p w:rsidR="00177363" w:rsidRPr="00D56C84" w:rsidRDefault="00177363" w:rsidP="00FF7720">
            <w:pPr>
              <w:pStyle w:val="TableText"/>
            </w:pPr>
            <w:r w:rsidRPr="00D56C84">
              <w:t>N/A</w:t>
            </w:r>
          </w:p>
        </w:tc>
        <w:tc>
          <w:tcPr>
            <w:tcW w:w="868" w:type="pct"/>
            <w:shd w:val="clear" w:color="auto" w:fill="auto"/>
            <w:vAlign w:val="center"/>
          </w:tcPr>
          <w:p w:rsidR="00177363" w:rsidRPr="00D56C84" w:rsidRDefault="00177363" w:rsidP="00FF7720">
            <w:pPr>
              <w:pStyle w:val="TableText"/>
            </w:pPr>
            <w:r w:rsidRPr="00D56C84">
              <w:t>Low</w:t>
            </w:r>
          </w:p>
        </w:tc>
        <w:tc>
          <w:tcPr>
            <w:tcW w:w="1132" w:type="pct"/>
            <w:shd w:val="clear" w:color="auto" w:fill="auto"/>
            <w:vAlign w:val="center"/>
          </w:tcPr>
          <w:p w:rsidR="00177363" w:rsidRPr="00D56C84" w:rsidRDefault="00177363" w:rsidP="00FF7720">
            <w:pPr>
              <w:pStyle w:val="TableText"/>
            </w:pPr>
            <w:r w:rsidRPr="00D56C84">
              <w:t>Medium</w:t>
            </w:r>
          </w:p>
        </w:tc>
        <w:tc>
          <w:tcPr>
            <w:tcW w:w="1000" w:type="pct"/>
            <w:shd w:val="clear" w:color="auto" w:fill="auto"/>
            <w:vAlign w:val="center"/>
          </w:tcPr>
          <w:p w:rsidR="00177363" w:rsidRPr="00D56C84" w:rsidRDefault="00177363" w:rsidP="00FF7720">
            <w:pPr>
              <w:pStyle w:val="TableText"/>
            </w:pPr>
            <w:r w:rsidRPr="00D56C84">
              <w:t>High</w:t>
            </w:r>
          </w:p>
        </w:tc>
      </w:tr>
      <w:tr w:rsidR="00177363" w:rsidRPr="00D56C84" w:rsidTr="00052D54">
        <w:tc>
          <w:tcPr>
            <w:tcW w:w="883" w:type="pct"/>
            <w:shd w:val="clear" w:color="auto" w:fill="auto"/>
            <w:vAlign w:val="center"/>
          </w:tcPr>
          <w:p w:rsidR="00177363" w:rsidRPr="00D56C84" w:rsidRDefault="00177363" w:rsidP="00FF7720">
            <w:pPr>
              <w:pStyle w:val="TableText"/>
            </w:pPr>
            <w:r w:rsidRPr="00D56C84">
              <w:t>Northern Territory</w:t>
            </w:r>
          </w:p>
        </w:tc>
        <w:tc>
          <w:tcPr>
            <w:tcW w:w="1117" w:type="pct"/>
            <w:shd w:val="clear" w:color="auto" w:fill="auto"/>
          </w:tcPr>
          <w:p w:rsidR="00177363" w:rsidRPr="00D56C84" w:rsidRDefault="00177363" w:rsidP="00FF7720">
            <w:pPr>
              <w:pStyle w:val="TableText"/>
            </w:pPr>
            <w:r w:rsidRPr="00D56C84">
              <w:t>Low</w:t>
            </w:r>
          </w:p>
        </w:tc>
        <w:tc>
          <w:tcPr>
            <w:tcW w:w="868" w:type="pct"/>
            <w:shd w:val="clear" w:color="auto" w:fill="auto"/>
            <w:vAlign w:val="center"/>
          </w:tcPr>
          <w:p w:rsidR="00177363" w:rsidRPr="00D56C84" w:rsidRDefault="00177363" w:rsidP="00FF7720">
            <w:pPr>
              <w:pStyle w:val="TableText"/>
            </w:pPr>
            <w:r w:rsidRPr="00D56C84">
              <w:t>Low</w:t>
            </w:r>
          </w:p>
        </w:tc>
        <w:tc>
          <w:tcPr>
            <w:tcW w:w="1132" w:type="pct"/>
            <w:shd w:val="clear" w:color="auto" w:fill="auto"/>
            <w:vAlign w:val="center"/>
          </w:tcPr>
          <w:p w:rsidR="00177363" w:rsidRPr="00D56C84" w:rsidRDefault="00177363" w:rsidP="00FF7720">
            <w:pPr>
              <w:pStyle w:val="TableText"/>
            </w:pPr>
            <w:r w:rsidRPr="00D56C84">
              <w:t>Low</w:t>
            </w:r>
          </w:p>
        </w:tc>
        <w:tc>
          <w:tcPr>
            <w:tcW w:w="1000" w:type="pct"/>
            <w:shd w:val="clear" w:color="auto" w:fill="auto"/>
            <w:vAlign w:val="center"/>
          </w:tcPr>
          <w:p w:rsidR="00177363" w:rsidRPr="00D56C84" w:rsidRDefault="00177363" w:rsidP="00FF7720">
            <w:pPr>
              <w:pStyle w:val="TableText"/>
            </w:pPr>
            <w:r w:rsidRPr="00D56C84">
              <w:t>Low</w:t>
            </w:r>
          </w:p>
        </w:tc>
      </w:tr>
    </w:tbl>
    <w:p w:rsidR="00177363" w:rsidRPr="00D56C84" w:rsidRDefault="00177363" w:rsidP="00177363">
      <w:pPr>
        <w:pStyle w:val="ParaIndent"/>
      </w:pPr>
    </w:p>
    <w:p w:rsidR="00177363" w:rsidRPr="00D56C84" w:rsidRDefault="00177363" w:rsidP="009B286E">
      <w:pPr>
        <w:pStyle w:val="ParaIndent"/>
        <w:jc w:val="both"/>
      </w:pPr>
      <w:r w:rsidRPr="00D56C84">
        <w:t xml:space="preserve">The most recent waste and recycling performance information that is publicly available for each LGA in Australia is detailed in the </w:t>
      </w:r>
      <w:r w:rsidRPr="00D56C84">
        <w:rPr>
          <w:i/>
        </w:rPr>
        <w:t>LGA Waste and Recycling Data</w:t>
      </w:r>
      <w:r w:rsidRPr="00D56C84">
        <w:t xml:space="preserve"> Excel Workbook, provided in conjunction with this report. This workbook includes information on the cost of service provision, where available.</w:t>
      </w:r>
    </w:p>
    <w:p w:rsidR="00FD516C" w:rsidRDefault="00A5158B" w:rsidP="009B286E">
      <w:pPr>
        <w:pStyle w:val="ParaIndent"/>
        <w:jc w:val="both"/>
      </w:pPr>
      <w:r w:rsidRPr="00AF6DB6">
        <w:t>The following chapters provide, f</w:t>
      </w:r>
      <w:r w:rsidR="00FD516C" w:rsidRPr="00AF6DB6">
        <w:t xml:space="preserve">or each jurisdiction, </w:t>
      </w:r>
      <w:r w:rsidRPr="00AF6DB6">
        <w:t xml:space="preserve">a summary of </w:t>
      </w:r>
      <w:r w:rsidR="00FD516C" w:rsidRPr="00AF6DB6">
        <w:t xml:space="preserve">key reporting pathways, the </w:t>
      </w:r>
      <w:r w:rsidRPr="00AF6DB6">
        <w:t xml:space="preserve">relevant waste and recycling </w:t>
      </w:r>
      <w:r w:rsidR="00FD516C" w:rsidRPr="00AF6DB6">
        <w:t>information that is collected, and</w:t>
      </w:r>
      <w:r w:rsidR="00A0267A" w:rsidRPr="00AF6DB6">
        <w:t xml:space="preserve"> a summary of</w:t>
      </w:r>
      <w:r w:rsidR="00FD516C" w:rsidRPr="00AF6DB6">
        <w:t xml:space="preserve"> the</w:t>
      </w:r>
      <w:r w:rsidRPr="00AF6DB6">
        <w:t xml:space="preserve"> LGA specific</w:t>
      </w:r>
      <w:r w:rsidR="00FD516C" w:rsidRPr="00AF6DB6">
        <w:t xml:space="preserve"> information </w:t>
      </w:r>
      <w:r w:rsidRPr="00AF6DB6">
        <w:t xml:space="preserve">that is </w:t>
      </w:r>
      <w:r w:rsidR="00A0267A" w:rsidRPr="00AF6DB6">
        <w:t>made publicly available.</w:t>
      </w:r>
      <w:r w:rsidR="00FD516C" w:rsidRPr="00AF6DB6">
        <w:t xml:space="preserve"> </w:t>
      </w:r>
    </w:p>
    <w:p w:rsidR="00DF51FB" w:rsidRDefault="00DF51FB" w:rsidP="009B286E">
      <w:pPr>
        <w:pStyle w:val="Heading2"/>
        <w:jc w:val="both"/>
      </w:pPr>
      <w:bookmarkStart w:id="30" w:name="_Toc307470421"/>
      <w:r>
        <w:t>Collection and availability of selected data</w:t>
      </w:r>
      <w:bookmarkEnd w:id="30"/>
      <w:r>
        <w:t xml:space="preserve"> </w:t>
      </w:r>
    </w:p>
    <w:p w:rsidR="00B371C6" w:rsidRDefault="00ED6CA0" w:rsidP="0006111E">
      <w:pPr>
        <w:pStyle w:val="ParaIndent"/>
        <w:jc w:val="both"/>
      </w:pPr>
      <w:r>
        <w:fldChar w:fldCharType="begin"/>
      </w:r>
      <w:r w:rsidR="0006111E">
        <w:instrText xml:space="preserve"> REF _Ref302127840 \h </w:instrText>
      </w:r>
      <w:r>
        <w:fldChar w:fldCharType="separate"/>
      </w:r>
      <w:r w:rsidR="00166111">
        <w:t xml:space="preserve">Table </w:t>
      </w:r>
      <w:r w:rsidR="00166111">
        <w:rPr>
          <w:noProof/>
        </w:rPr>
        <w:t>4</w:t>
      </w:r>
      <w:r w:rsidR="00166111" w:rsidRPr="00D56C84">
        <w:t>-</w:t>
      </w:r>
      <w:r w:rsidR="00166111">
        <w:rPr>
          <w:noProof/>
        </w:rPr>
        <w:t>5</w:t>
      </w:r>
      <w:r>
        <w:fldChar w:fldCharType="end"/>
      </w:r>
      <w:r w:rsidR="00B371C6">
        <w:t xml:space="preserve"> provides a comparison of </w:t>
      </w:r>
      <w:r w:rsidR="00137202" w:rsidRPr="00137202">
        <w:t xml:space="preserve">selected indicators of </w:t>
      </w:r>
      <w:r w:rsidR="00B371C6">
        <w:t xml:space="preserve">waste and recycling data </w:t>
      </w:r>
      <w:r w:rsidR="00137202" w:rsidRPr="00137202">
        <w:t xml:space="preserve">that may be </w:t>
      </w:r>
      <w:r w:rsidR="00B371C6">
        <w:t>collected by government bodies in Australia</w:t>
      </w:r>
      <w:r w:rsidR="00137202" w:rsidRPr="00137202">
        <w:t>,</w:t>
      </w:r>
      <w:r w:rsidR="00B371C6">
        <w:t xml:space="preserve"> against the </w:t>
      </w:r>
      <w:r w:rsidR="00137202" w:rsidRPr="00137202">
        <w:t xml:space="preserve">LGA-specific </w:t>
      </w:r>
      <w:r w:rsidR="00B371C6">
        <w:t xml:space="preserve">data which is </w:t>
      </w:r>
      <w:r w:rsidR="00137202" w:rsidRPr="00137202">
        <w:t xml:space="preserve">currently </w:t>
      </w:r>
      <w:r w:rsidR="00B371C6">
        <w:t>made available to the public.</w:t>
      </w:r>
    </w:p>
    <w:p w:rsidR="004A1651" w:rsidRPr="00776610" w:rsidRDefault="00052D54" w:rsidP="0006111E">
      <w:pPr>
        <w:pStyle w:val="ParaIndent"/>
        <w:jc w:val="both"/>
      </w:pPr>
      <w:r w:rsidRPr="00776610">
        <w:t xml:space="preserve">The </w:t>
      </w:r>
      <w:r w:rsidR="004A1651" w:rsidRPr="00776610">
        <w:t xml:space="preserve">selection of the </w:t>
      </w:r>
      <w:r w:rsidRPr="00776610">
        <w:t xml:space="preserve">17 indicators </w:t>
      </w:r>
      <w:r w:rsidR="004A1651" w:rsidRPr="00776610">
        <w:t xml:space="preserve">displayed in </w:t>
      </w:r>
      <w:fldSimple w:instr=" REF _Ref302127840 \h  \* MERGEFORMAT ">
        <w:r w:rsidR="00166111">
          <w:t xml:space="preserve">Table </w:t>
        </w:r>
        <w:r w:rsidR="00166111">
          <w:rPr>
            <w:noProof/>
          </w:rPr>
          <w:t>4</w:t>
        </w:r>
        <w:r w:rsidR="00166111" w:rsidRPr="00D56C84">
          <w:rPr>
            <w:noProof/>
          </w:rPr>
          <w:t>-</w:t>
        </w:r>
        <w:r w:rsidR="00166111">
          <w:rPr>
            <w:noProof/>
          </w:rPr>
          <w:t>5</w:t>
        </w:r>
      </w:fldSimple>
      <w:r w:rsidR="004A1651" w:rsidRPr="00776610">
        <w:t xml:space="preserve"> was based on an assessment of existing data collection templates used within each jurisdiction</w:t>
      </w:r>
      <w:r w:rsidR="00776610" w:rsidRPr="00776610">
        <w:t xml:space="preserve"> (see Appendices)</w:t>
      </w:r>
      <w:r w:rsidR="004A1651" w:rsidRPr="00776610">
        <w:t xml:space="preserve">. </w:t>
      </w:r>
      <w:r w:rsidR="00DF1255" w:rsidRPr="00776610">
        <w:t>While terminology used may vary between jurisdictions (as does the scope and quality of information collected), t</w:t>
      </w:r>
      <w:r w:rsidR="004A1651" w:rsidRPr="00776610">
        <w:t xml:space="preserve">he chosen indicators </w:t>
      </w:r>
      <w:r w:rsidR="00DF1255" w:rsidRPr="00776610">
        <w:t xml:space="preserve">generally </w:t>
      </w:r>
      <w:r w:rsidR="004A1651" w:rsidRPr="00776610">
        <w:t>cover LGA-level information regarding:</w:t>
      </w:r>
    </w:p>
    <w:p w:rsidR="004A1651" w:rsidRPr="00776610" w:rsidRDefault="004A1651" w:rsidP="004A1651">
      <w:pPr>
        <w:pStyle w:val="PointsBullets"/>
      </w:pPr>
      <w:r w:rsidRPr="00776610">
        <w:t>collection systems (collection services offered; collection frequencies; bin sizes / types)</w:t>
      </w:r>
    </w:p>
    <w:p w:rsidR="004A1651" w:rsidRPr="00776610" w:rsidRDefault="004A1651" w:rsidP="004A1651">
      <w:pPr>
        <w:pStyle w:val="PointsBullets"/>
      </w:pPr>
      <w:r w:rsidRPr="00776610">
        <w:t>tonnes of material collected (waste generation; recycling; organics; waste to landfill)</w:t>
      </w:r>
    </w:p>
    <w:p w:rsidR="004A1651" w:rsidRPr="00776610" w:rsidRDefault="004A1651" w:rsidP="004A1651">
      <w:pPr>
        <w:pStyle w:val="PointsBullets"/>
      </w:pPr>
      <w:r w:rsidRPr="00776610">
        <w:t xml:space="preserve">waste management costs and charges (costs / expenditure; charges) </w:t>
      </w:r>
    </w:p>
    <w:p w:rsidR="00052D54" w:rsidRPr="00776610" w:rsidRDefault="004A1651" w:rsidP="0006111E">
      <w:pPr>
        <w:pStyle w:val="PointsBullets"/>
        <w:jc w:val="both"/>
      </w:pPr>
      <w:proofErr w:type="gramStart"/>
      <w:r w:rsidRPr="00776610">
        <w:t>other</w:t>
      </w:r>
      <w:proofErr w:type="gramEnd"/>
      <w:r w:rsidRPr="00776610">
        <w:t xml:space="preserve"> information (</w:t>
      </w:r>
      <w:r w:rsidR="00DF1255" w:rsidRPr="00776610">
        <w:t xml:space="preserve">waste management infrastructure; </w:t>
      </w:r>
      <w:r w:rsidRPr="00776610">
        <w:t>contractor information; hard waste services; litter / illegal dumping; public place collections; commercial &amp; industrial services; audit data; data a</w:t>
      </w:r>
      <w:r w:rsidR="00DF1255" w:rsidRPr="00776610">
        <w:t>bout specific waste items).</w:t>
      </w:r>
    </w:p>
    <w:p w:rsidR="00052D54" w:rsidRPr="00A35187" w:rsidRDefault="00052D54" w:rsidP="0006111E">
      <w:pPr>
        <w:pStyle w:val="ParaIndent"/>
        <w:jc w:val="both"/>
      </w:pPr>
    </w:p>
    <w:p w:rsidR="0006111E" w:rsidRDefault="0006111E">
      <w:pPr>
        <w:spacing w:after="0" w:line="240" w:lineRule="auto"/>
        <w:ind w:left="0"/>
        <w:sectPr w:rsidR="0006111E" w:rsidSect="000B1FF7">
          <w:pgSz w:w="11907" w:h="16840" w:code="9"/>
          <w:pgMar w:top="1134" w:right="1134" w:bottom="1134" w:left="1134" w:header="567" w:footer="567" w:gutter="0"/>
          <w:cols w:space="708"/>
          <w:docGrid w:linePitch="360"/>
        </w:sectPr>
      </w:pPr>
      <w:bookmarkStart w:id="31" w:name="_Ref301860000"/>
    </w:p>
    <w:p w:rsidR="00B371C6" w:rsidRDefault="00B371C6" w:rsidP="00B371C6">
      <w:pPr>
        <w:pStyle w:val="TableHeading"/>
      </w:pPr>
      <w:bookmarkStart w:id="32" w:name="_Ref302127840"/>
      <w:r>
        <w:lastRenderedPageBreak/>
        <w:t xml:space="preserve">Table </w:t>
      </w:r>
      <w:r w:rsidR="00ED6CA0">
        <w:fldChar w:fldCharType="begin"/>
      </w:r>
      <w:r>
        <w:instrText xml:space="preserve"> STYLEREF "_Heading1" \n </w:instrText>
      </w:r>
      <w:r w:rsidR="00ED6CA0">
        <w:fldChar w:fldCharType="separate"/>
      </w:r>
      <w:r w:rsidR="00166111">
        <w:rPr>
          <w:noProof/>
        </w:rPr>
        <w:t>4</w:t>
      </w:r>
      <w:r w:rsidR="00ED6CA0">
        <w:rPr>
          <w:noProof/>
        </w:rPr>
        <w:fldChar w:fldCharType="end"/>
      </w:r>
      <w:r w:rsidRPr="00D56C84">
        <w:t>-</w:t>
      </w:r>
      <w:r w:rsidR="00ED6CA0">
        <w:fldChar w:fldCharType="begin"/>
      </w:r>
      <w:r>
        <w:instrText xml:space="preserve"> SEQ Table \* Arabic </w:instrText>
      </w:r>
      <w:r w:rsidR="00ED6CA0">
        <w:fldChar w:fldCharType="separate"/>
      </w:r>
      <w:r w:rsidR="00166111">
        <w:rPr>
          <w:noProof/>
        </w:rPr>
        <w:t>5</w:t>
      </w:r>
      <w:r w:rsidR="00ED6CA0">
        <w:rPr>
          <w:noProof/>
        </w:rPr>
        <w:fldChar w:fldCharType="end"/>
      </w:r>
      <w:bookmarkEnd w:id="31"/>
      <w:bookmarkEnd w:id="32"/>
      <w:r>
        <w:rPr>
          <w:noProof/>
        </w:rPr>
        <w:tab/>
        <w:t xml:space="preserve">Summary of </w:t>
      </w:r>
      <w:r w:rsidR="00DF51FB">
        <w:rPr>
          <w:noProof/>
        </w:rPr>
        <w:t xml:space="preserve">selected </w:t>
      </w:r>
      <w:r>
        <w:rPr>
          <w:noProof/>
        </w:rPr>
        <w:t xml:space="preserve">waste and recycling data collected </w:t>
      </w:r>
      <w:r w:rsidR="00DF51FB">
        <w:rPr>
          <w:noProof/>
        </w:rPr>
        <w:t>and</w:t>
      </w:r>
      <w:r>
        <w:rPr>
          <w:noProof/>
        </w:rPr>
        <w:t xml:space="preserve"> made available to the public</w:t>
      </w:r>
    </w:p>
    <w:tbl>
      <w:tblPr>
        <w:tblW w:w="4913" w:type="pct"/>
        <w:tblBorders>
          <w:bottom w:val="single" w:sz="18" w:space="0" w:color="808080"/>
          <w:insideH w:val="single" w:sz="4" w:space="0" w:color="808080"/>
        </w:tblBorders>
        <w:tblCellMar>
          <w:left w:w="0" w:type="dxa"/>
          <w:right w:w="0" w:type="dxa"/>
        </w:tblCellMar>
        <w:tblLook w:val="04A0"/>
      </w:tblPr>
      <w:tblGrid>
        <w:gridCol w:w="2943"/>
        <w:gridCol w:w="1960"/>
        <w:gridCol w:w="1455"/>
        <w:gridCol w:w="1455"/>
        <w:gridCol w:w="1455"/>
        <w:gridCol w:w="948"/>
        <w:gridCol w:w="1266"/>
        <w:gridCol w:w="1420"/>
        <w:gridCol w:w="1415"/>
      </w:tblGrid>
      <w:tr w:rsidR="00B371C6" w:rsidRPr="00A42A0E" w:rsidTr="00776610">
        <w:trPr>
          <w:trHeight w:val="270"/>
          <w:tblHeader/>
        </w:trPr>
        <w:tc>
          <w:tcPr>
            <w:tcW w:w="1028" w:type="pct"/>
            <w:shd w:val="clear" w:color="auto" w:fill="auto"/>
            <w:noWrap/>
            <w:vAlign w:val="bottom"/>
            <w:hideMark/>
          </w:tcPr>
          <w:p w:rsidR="00B371C6" w:rsidRPr="00A42A0E" w:rsidRDefault="00B371C6" w:rsidP="00085D2C">
            <w:pPr>
              <w:pStyle w:val="TableText"/>
              <w:rPr>
                <w:lang w:val="en-US"/>
              </w:rPr>
            </w:pPr>
            <w:r w:rsidRPr="00A42A0E">
              <w:rPr>
                <w:lang w:val="en-US"/>
              </w:rPr>
              <w:t> </w:t>
            </w:r>
          </w:p>
        </w:tc>
        <w:tc>
          <w:tcPr>
            <w:tcW w:w="685" w:type="pct"/>
            <w:shd w:val="clear" w:color="auto" w:fill="auto"/>
            <w:noWrap/>
            <w:vAlign w:val="bottom"/>
            <w:hideMark/>
          </w:tcPr>
          <w:p w:rsidR="00B371C6" w:rsidRPr="00A42A0E" w:rsidRDefault="00B371C6" w:rsidP="00085D2C">
            <w:pPr>
              <w:pStyle w:val="TableText"/>
              <w:rPr>
                <w:lang w:val="en-US"/>
              </w:rPr>
            </w:pPr>
            <w:r w:rsidRPr="00A42A0E">
              <w:rPr>
                <w:lang w:val="en-US"/>
              </w:rPr>
              <w:t> </w:t>
            </w:r>
          </w:p>
        </w:tc>
        <w:tc>
          <w:tcPr>
            <w:tcW w:w="508"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NSW</w:t>
            </w:r>
          </w:p>
        </w:tc>
        <w:tc>
          <w:tcPr>
            <w:tcW w:w="508"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VIC</w:t>
            </w:r>
          </w:p>
        </w:tc>
        <w:tc>
          <w:tcPr>
            <w:tcW w:w="508"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QLD</w:t>
            </w:r>
          </w:p>
        </w:tc>
        <w:tc>
          <w:tcPr>
            <w:tcW w:w="331"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SA</w:t>
            </w:r>
          </w:p>
        </w:tc>
        <w:tc>
          <w:tcPr>
            <w:tcW w:w="442"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WA</w:t>
            </w:r>
          </w:p>
        </w:tc>
        <w:tc>
          <w:tcPr>
            <w:tcW w:w="496"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TAS</w:t>
            </w:r>
          </w:p>
        </w:tc>
        <w:tc>
          <w:tcPr>
            <w:tcW w:w="495" w:type="pct"/>
            <w:shd w:val="clear" w:color="auto" w:fill="auto"/>
            <w:noWrap/>
            <w:vAlign w:val="bottom"/>
            <w:hideMark/>
          </w:tcPr>
          <w:p w:rsidR="00B371C6" w:rsidRPr="00DC4F78" w:rsidRDefault="00B371C6" w:rsidP="00085D2C">
            <w:pPr>
              <w:pStyle w:val="TableHeading"/>
              <w:jc w:val="center"/>
              <w:rPr>
                <w:lang w:val="en-US"/>
              </w:rPr>
            </w:pPr>
            <w:r w:rsidRPr="00DC4F78">
              <w:rPr>
                <w:lang w:val="en-US"/>
              </w:rPr>
              <w:t>NT</w:t>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lang w:val="en-US"/>
              </w:rPr>
            </w:pPr>
            <w:r w:rsidRPr="00DC4F78">
              <w:rPr>
                <w:b/>
                <w:bCs/>
                <w:lang w:val="en-US"/>
              </w:rPr>
              <w:t>Collection services offered</w:t>
            </w:r>
            <w:r w:rsidRPr="00A42A0E">
              <w:rPr>
                <w:b/>
                <w:lang w:val="en-US"/>
              </w:rPr>
              <w:t xml:space="preserve"> </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1" name="Picture 2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67" name="Picture 26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68" name="Picture 26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69" name="Picture 26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0" name="Picture 27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89" name="Picture 18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9" name="Picture 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1" name="Picture 27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2" name="Picture 27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110" name="Picture 110"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73" name="Picture 27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74" name="Picture 27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 name="Picture 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75" name="Picture 27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Collection frequencies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6" name="Picture 27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7" name="Picture 27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7" name="Picture 28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8" name="Picture 28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9" name="Picture 28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29" name="Picture 32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2" name="Picture 2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79" name="Picture 27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0" name="Picture 28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1" name="Picture 381"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3" name="Picture 37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4" name="Picture 37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0" name="Picture 33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3" name="Picture 2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Bin sizes/ types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1" name="Picture 28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2" name="Picture 28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0" name="Picture 29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3" name="Picture 383"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4" name="Picture 29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1" name="Picture 33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4" name="Picture 2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3" name="Picture 28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4" name="Picture 28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2" name="Picture 382"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7" name="Picture 37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8" name="Picture 37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2" name="Picture 33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5" name="Picture 2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 name="Picture 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6" name="Picture 2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1" name="Picture 29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2" name="Picture 29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3" name="Picture 29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3" name="Picture 33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7" name="Picture 2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5" name="Picture 28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 name="Picture 2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4" name="Picture 38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5" name="Picture 37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6" name="Picture 37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9" name="Picture 2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0" name="Picture 3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10" name="Picture 1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 name="Picture 3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5" name="Picture 29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6" name="Picture 29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7" name="Picture 29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96" name="Picture 9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97" name="Picture 9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11" name="Picture 1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98" name="Picture 9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9" name="Picture 36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0" name="Picture 37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1" name="Picture 37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99" name="Picture 9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1" name="Picture 10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86" name="Picture 28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102" name="Picture 10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8" name="Picture 29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299" name="Picture 29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0" name="Picture 30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4" name="Picture 33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4" name="Picture 10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7" name="Picture 30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5" name="Picture 36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6" name="Picture 36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7" name="Picture 36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8" name="Picture 36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5" name="Picture 10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6" name="Picture 10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8" name="Picture 30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4" name="Picture 30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1" name="Picture 30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2" name="Picture 30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3" name="Picture 30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8" name="Picture 10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224" name="Picture 22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9" name="Picture 30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5" name="Picture 30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3" name="Picture 36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5" name="Picture 385"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2" name="Picture 37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09" name="Picture 10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5" name="Picture 33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Waste management infrastructure</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0" name="Picture 31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06" name="Picture 30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4" name="Picture 36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1" name="Picture 31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2" name="Picture 31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11" name="Picture 11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6" name="Picture 33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8" name="Picture 35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9" name="Picture 35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0" name="Picture 36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1" name="Picture 36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62" name="Picture 36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112" name="Picture 11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7" name="Picture 33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Waste management costs/ expenditure</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7" name="Picture 31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8" name="Picture 3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9" name="Picture 31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0" name="Picture 32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1" name="Picture 32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113" name="Picture 11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8" name="Picture 33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7" name="Picture 35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8" name="Picture 32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6" name="Picture 386"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7" name="Picture 387"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6" name="Picture 35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8" name="Picture 388"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39" name="Picture 33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Contractor information</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3" name="Picture 31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4" name="Picture 31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5" name="Picture 31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16" name="Picture 31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114" name="Picture 11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8" name="Picture 34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0" name="Picture 34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2" name="Picture 34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3" name="Picture 34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4" name="Picture 34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5" name="Picture 34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6" name="Picture 34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9" name="Picture 34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41" name="Picture 34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Waste management charges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2" name="Picture 32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3" name="Picture 32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4" name="Picture 32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5" name="Picture 32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6" name="Picture 32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0" name="Picture 35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27" name="Picture 32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0" name="Picture 39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2" name="Picture 35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3" name="Picture 35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4" name="Picture 35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5" name="Picture 35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51" name="Picture 35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5" name="Picture 39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Hard waste services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1" name="Picture 39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2" name="Picture 39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3" name="Picture 39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389" name="Picture 38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394" name="Picture 39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79" name="Picture 37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80" name="Picture 38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96" name="Picture 39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97" name="Picture 39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98" name="Picture 39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399" name="Picture 39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0" name="Picture 40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1" name="Picture 40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2" name="Picture 40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Litter/ illegal dumping</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10" name="Picture 41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4" name="Picture 41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5" name="Picture 41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13" name="Picture 41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6" name="Picture 41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11" name="Picture 41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12" name="Picture 41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3" name="Picture 40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4" name="Picture 40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5" name="Picture 40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6" name="Picture 40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7" name="Picture 40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8" name="Picture 40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09" name="Picture 40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320"/>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Public Place Collections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7" name="Picture 41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8" name="Picture 4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19" name="Picture 41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1" name="Picture 42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20" name="Picture 42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2" name="Picture 42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3" name="Picture 42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4" name="Picture 42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5" name="Picture 42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430" name="Picture 430"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6" name="Picture 42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7" name="Picture 42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8" name="Picture 42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29" name="Picture 42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Commercial &amp; Industrial Services</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2" name="Picture 43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3" name="Picture 43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4" name="Picture 43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5" name="Picture 43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6" name="Picture 43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1" name="Picture 45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2" name="Picture 45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1" name="Picture 44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2" name="Picture 44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472" name="Picture 472"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7" name="Picture 44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8" name="Picture 44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3" name="Picture 45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4" name="Picture 45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vAlign w:val="center"/>
            <w:hideMark/>
          </w:tcPr>
          <w:p w:rsidR="00B371C6" w:rsidRPr="00A42A0E" w:rsidRDefault="00B371C6" w:rsidP="00085D2C">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3" name="Picture 44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4" name="Picture 44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1" name="Picture 43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71" name="Picture 47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40" name="Picture 44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5" name="Picture 45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6" name="Picture 45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5" name="Picture 44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46" name="Picture 44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473" name="Picture 473"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9" name="Picture 46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70" name="Picture 47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7" name="Picture 45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8" name="Picture 45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55"/>
        </w:trPr>
        <w:tc>
          <w:tcPr>
            <w:tcW w:w="1028" w:type="pct"/>
            <w:vMerge w:val="restart"/>
            <w:shd w:val="clear" w:color="auto" w:fill="auto"/>
            <w:noWrap/>
            <w:vAlign w:val="center"/>
            <w:hideMark/>
          </w:tcPr>
          <w:p w:rsidR="00B371C6" w:rsidRPr="00A42A0E" w:rsidRDefault="00B371C6" w:rsidP="00085D2C">
            <w:pPr>
              <w:pStyle w:val="TableText"/>
              <w:rPr>
                <w:b/>
                <w:bCs/>
                <w:lang w:val="en-US"/>
              </w:rPr>
            </w:pPr>
            <w:r w:rsidRPr="00A42A0E">
              <w:rPr>
                <w:b/>
                <w:bCs/>
                <w:lang w:val="en-US"/>
              </w:rPr>
              <w:t>Waste Audit Data</w:t>
            </w: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Data collected</w:t>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7" name="Picture 43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8" name="Picture 43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8" name="Picture 46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Pr="00A42A0E" w:rsidRDefault="00B371C6" w:rsidP="00085D2C">
            <w:pPr>
              <w:pStyle w:val="TableText"/>
              <w:jc w:val="center"/>
              <w:rPr>
                <w:lang w:val="en-US"/>
              </w:rPr>
            </w:pPr>
            <w:r>
              <w:rPr>
                <w:noProof/>
                <w:lang w:eastAsia="en-AU"/>
              </w:rPr>
              <w:drawing>
                <wp:inline distT="0" distB="0" distL="0" distR="0">
                  <wp:extent cx="209550" cy="209550"/>
                  <wp:effectExtent l="0" t="0" r="0" b="0"/>
                  <wp:docPr id="474" name="Picture 47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442" w:type="pct"/>
            <w:shd w:val="clear" w:color="auto" w:fill="auto"/>
            <w:noWrap/>
            <w:vAlign w:val="center"/>
            <w:hideMark/>
          </w:tcPr>
          <w:p w:rsidR="00B371C6" w:rsidRPr="00A42A0E" w:rsidRDefault="00B371C6" w:rsidP="00085D2C">
            <w:pPr>
              <w:pStyle w:val="TableHeading"/>
              <w:jc w:val="center"/>
              <w:rPr>
                <w:lang w:val="en-US"/>
              </w:rPr>
            </w:pPr>
            <w:r>
              <w:rPr>
                <w:noProof/>
                <w:lang w:eastAsia="en-AU"/>
              </w:rPr>
              <w:drawing>
                <wp:inline distT="0" distB="0" distL="0" distR="0">
                  <wp:extent cx="238125" cy="238125"/>
                  <wp:effectExtent l="0" t="0" r="9525" b="9525"/>
                  <wp:docPr id="439" name="Picture 43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59" name="Picture 45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0" name="Picture 46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B371C6" w:rsidRPr="00A42A0E" w:rsidTr="00776610">
        <w:trPr>
          <w:trHeight w:val="270"/>
        </w:trPr>
        <w:tc>
          <w:tcPr>
            <w:tcW w:w="1028" w:type="pct"/>
            <w:vMerge/>
            <w:shd w:val="clear" w:color="auto" w:fill="auto"/>
            <w:vAlign w:val="center"/>
            <w:hideMark/>
          </w:tcPr>
          <w:p w:rsidR="00B371C6" w:rsidRPr="00A42A0E" w:rsidRDefault="00B371C6" w:rsidP="00085D2C">
            <w:pPr>
              <w:pStyle w:val="TableText"/>
              <w:rPr>
                <w:b/>
                <w:bCs/>
                <w:lang w:val="en-US"/>
              </w:rPr>
            </w:pPr>
          </w:p>
        </w:tc>
        <w:tc>
          <w:tcPr>
            <w:tcW w:w="685" w:type="pct"/>
            <w:shd w:val="clear" w:color="auto" w:fill="auto"/>
            <w:vAlign w:val="center"/>
            <w:hideMark/>
          </w:tcPr>
          <w:p w:rsidR="00B371C6" w:rsidRPr="00A42A0E" w:rsidRDefault="00B371C6" w:rsidP="00085D2C">
            <w:pPr>
              <w:pStyle w:val="TableText"/>
              <w:rPr>
                <w:lang w:val="en-US"/>
              </w:rPr>
            </w:pPr>
            <w:r w:rsidRPr="00A42A0E">
              <w:rPr>
                <w:lang w:val="en-US"/>
              </w:rPr>
              <w:t xml:space="preserve">Data available </w:t>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3" name="Picture 46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4" name="Picture 46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508"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5" name="Picture 46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331"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6" name="Picture 46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42"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7" name="Picture 46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6"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1" name="Picture 46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495" w:type="pct"/>
            <w:shd w:val="clear" w:color="auto" w:fill="auto"/>
            <w:noWrap/>
            <w:vAlign w:val="center"/>
            <w:hideMark/>
          </w:tcPr>
          <w:p w:rsidR="00B371C6" w:rsidRDefault="00B371C6" w:rsidP="00085D2C">
            <w:pPr>
              <w:pStyle w:val="TableHeading"/>
              <w:jc w:val="center"/>
            </w:pPr>
            <w:r w:rsidRPr="00BB7661">
              <w:rPr>
                <w:noProof/>
                <w:lang w:eastAsia="en-AU"/>
              </w:rPr>
              <w:drawing>
                <wp:inline distT="0" distB="0" distL="0" distR="0">
                  <wp:extent cx="200025" cy="200025"/>
                  <wp:effectExtent l="0" t="0" r="9525" b="9525"/>
                  <wp:docPr id="462" name="Picture 46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06111E" w:rsidRDefault="00B371C6" w:rsidP="00177363">
      <w:pPr>
        <w:pStyle w:val="ParaIndent"/>
        <w:sectPr w:rsidR="0006111E" w:rsidSect="0006111E">
          <w:pgSz w:w="16839" w:h="23814" w:code="8"/>
          <w:pgMar w:top="1134" w:right="1134" w:bottom="1134" w:left="1134" w:header="567" w:footer="567" w:gutter="0"/>
          <w:cols w:space="708"/>
          <w:docGrid w:linePitch="360"/>
        </w:sectPr>
      </w:pPr>
      <w:r w:rsidRPr="008A184B">
        <w:rPr>
          <w:sz w:val="16"/>
          <w:szCs w:val="16"/>
        </w:rPr>
        <w:t>Note</w:t>
      </w:r>
      <w:r>
        <w:rPr>
          <w:sz w:val="16"/>
          <w:szCs w:val="16"/>
        </w:rPr>
        <w:t>s</w:t>
      </w:r>
      <w:r w:rsidRPr="008A184B">
        <w:rPr>
          <w:sz w:val="16"/>
          <w:szCs w:val="16"/>
        </w:rPr>
        <w:t>:</w:t>
      </w:r>
      <w:r>
        <w:rPr>
          <w:sz w:val="16"/>
          <w:szCs w:val="16"/>
        </w:rPr>
        <w:tab/>
        <w:t xml:space="preserve">The data collected by government bodies in each jurisdiction was assessed against the amount of data which is made available to the public. </w:t>
      </w:r>
      <w:r w:rsidRPr="008A184B">
        <w:rPr>
          <w:sz w:val="16"/>
          <w:szCs w:val="16"/>
        </w:rPr>
        <w:t xml:space="preserve">For the purposes of this </w:t>
      </w:r>
      <w:r>
        <w:rPr>
          <w:sz w:val="16"/>
          <w:szCs w:val="16"/>
        </w:rPr>
        <w:t>summary</w:t>
      </w:r>
      <w:r w:rsidRPr="008A184B">
        <w:rPr>
          <w:sz w:val="16"/>
          <w:szCs w:val="16"/>
        </w:rPr>
        <w:t>,</w:t>
      </w:r>
      <w:r>
        <w:rPr>
          <w:sz w:val="16"/>
          <w:szCs w:val="16"/>
        </w:rPr>
        <w:t xml:space="preserve"> the following assessment criteria were used</w:t>
      </w:r>
      <w:r>
        <w:rPr>
          <w:sz w:val="16"/>
          <w:szCs w:val="16"/>
        </w:rPr>
        <w:br/>
      </w:r>
      <w:r>
        <w:rPr>
          <w:noProof/>
          <w:lang w:eastAsia="en-AU"/>
        </w:rPr>
        <w:drawing>
          <wp:inline distT="0" distB="0" distL="0" distR="0">
            <wp:extent cx="209550" cy="209550"/>
            <wp:effectExtent l="0" t="0" r="0" b="0"/>
            <wp:docPr id="115" name="Picture 11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Pr>
          <w:sz w:val="16"/>
          <w:szCs w:val="16"/>
        </w:rPr>
        <w:t xml:space="preserve"> </w:t>
      </w:r>
      <w:proofErr w:type="gramStart"/>
      <w:r>
        <w:rPr>
          <w:sz w:val="16"/>
          <w:szCs w:val="16"/>
        </w:rPr>
        <w:t>=  Data</w:t>
      </w:r>
      <w:proofErr w:type="gramEnd"/>
      <w:r>
        <w:rPr>
          <w:sz w:val="16"/>
          <w:szCs w:val="16"/>
        </w:rPr>
        <w:t xml:space="preserve"> collected. / Data available for more than 85% of councils. </w:t>
      </w:r>
      <w:r>
        <w:rPr>
          <w:sz w:val="16"/>
          <w:szCs w:val="16"/>
        </w:rPr>
        <w:br/>
      </w:r>
      <w:r>
        <w:rPr>
          <w:noProof/>
          <w:lang w:eastAsia="en-AU"/>
        </w:rPr>
        <w:drawing>
          <wp:inline distT="0" distB="0" distL="0" distR="0">
            <wp:extent cx="200025" cy="200025"/>
            <wp:effectExtent l="0" t="0" r="0" b="0"/>
            <wp:docPr id="116" name="Picture 116"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Pr>
          <w:sz w:val="16"/>
          <w:szCs w:val="16"/>
        </w:rPr>
        <w:t xml:space="preserve"> </w:t>
      </w:r>
      <w:proofErr w:type="gramStart"/>
      <w:r>
        <w:rPr>
          <w:sz w:val="16"/>
          <w:szCs w:val="16"/>
        </w:rPr>
        <w:t>=  Some</w:t>
      </w:r>
      <w:proofErr w:type="gramEnd"/>
      <w:r>
        <w:rPr>
          <w:sz w:val="16"/>
          <w:szCs w:val="16"/>
        </w:rPr>
        <w:t xml:space="preserve"> data collected. / Data available for 50 – 85% of councils.</w:t>
      </w:r>
      <w:r>
        <w:rPr>
          <w:sz w:val="16"/>
          <w:szCs w:val="16"/>
        </w:rPr>
        <w:br/>
      </w:r>
      <w:r w:rsidRPr="00CE4DEF">
        <w:rPr>
          <w:noProof/>
          <w:lang w:eastAsia="en-AU"/>
        </w:rPr>
        <w:drawing>
          <wp:inline distT="0" distB="0" distL="0" distR="0">
            <wp:extent cx="200025" cy="200025"/>
            <wp:effectExtent l="0" t="0" r="0" b="0"/>
            <wp:docPr id="117" name="Picture 11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Pr>
          <w:sz w:val="16"/>
          <w:szCs w:val="16"/>
        </w:rPr>
        <w:t xml:space="preserve"> </w:t>
      </w:r>
      <w:proofErr w:type="gramStart"/>
      <w:r>
        <w:rPr>
          <w:sz w:val="16"/>
          <w:szCs w:val="16"/>
        </w:rPr>
        <w:t>=  Data</w:t>
      </w:r>
      <w:proofErr w:type="gramEnd"/>
      <w:r>
        <w:rPr>
          <w:sz w:val="16"/>
          <w:szCs w:val="16"/>
        </w:rPr>
        <w:t xml:space="preserve"> not collected. / Data available for less than 50% of councils. </w:t>
      </w:r>
      <w:r>
        <w:rPr>
          <w:sz w:val="16"/>
          <w:szCs w:val="16"/>
        </w:rPr>
        <w:br/>
      </w:r>
      <w:r>
        <w:rPr>
          <w:sz w:val="16"/>
          <w:szCs w:val="16"/>
        </w:rPr>
        <w:br/>
      </w:r>
    </w:p>
    <w:p w:rsidR="00DF1255" w:rsidRDefault="00DF1255" w:rsidP="00DF1255">
      <w:pPr>
        <w:pStyle w:val="Heading2"/>
      </w:pPr>
      <w:bookmarkStart w:id="33" w:name="_Toc307470422"/>
      <w:bookmarkStart w:id="34" w:name="_Ref299554990"/>
      <w:r>
        <w:lastRenderedPageBreak/>
        <w:t>Key reporting pathways</w:t>
      </w:r>
      <w:bookmarkEnd w:id="33"/>
    </w:p>
    <w:p w:rsidR="00DF1255" w:rsidRDefault="00ED6CA0" w:rsidP="00DF1255">
      <w:pPr>
        <w:pStyle w:val="ParaIndent"/>
        <w:jc w:val="both"/>
      </w:pPr>
      <w:r>
        <w:fldChar w:fldCharType="begin"/>
      </w:r>
      <w:r w:rsidR="0067186F">
        <w:instrText xml:space="preserve"> REF _Ref307311969 \h </w:instrText>
      </w:r>
      <w:r>
        <w:fldChar w:fldCharType="separate"/>
      </w:r>
      <w:r w:rsidR="00166111" w:rsidRPr="0076258D">
        <w:t xml:space="preserve">Table </w:t>
      </w:r>
      <w:r w:rsidR="00166111">
        <w:rPr>
          <w:noProof/>
        </w:rPr>
        <w:t>4</w:t>
      </w:r>
      <w:r w:rsidR="00166111" w:rsidRPr="0076258D">
        <w:t>-</w:t>
      </w:r>
      <w:r w:rsidR="00166111">
        <w:rPr>
          <w:noProof/>
        </w:rPr>
        <w:t>6</w:t>
      </w:r>
      <w:r>
        <w:fldChar w:fldCharType="end"/>
      </w:r>
      <w:r w:rsidR="0067186F">
        <w:t xml:space="preserve"> </w:t>
      </w:r>
      <w:r w:rsidR="00DF1255" w:rsidRPr="00AF6DB6">
        <w:t>provides a summary of the major reporting pathways for local government waste and recycling information in each jurisdiction, highlight</w:t>
      </w:r>
      <w:r w:rsidR="00DF1255">
        <w:t xml:space="preserve">ing key </w:t>
      </w:r>
      <w:r w:rsidR="00DF1255" w:rsidRPr="00AF6DB6">
        <w:t>data collected</w:t>
      </w:r>
      <w:r w:rsidR="00DF1255">
        <w:t xml:space="preserve"> by various organisations,</w:t>
      </w:r>
      <w:r w:rsidR="00DF1255" w:rsidRPr="00AF6DB6">
        <w:t xml:space="preserve"> and the information that is made publicly available</w:t>
      </w:r>
      <w:r w:rsidR="00DF1255">
        <w:t xml:space="preserve"> through key publications and public reports</w:t>
      </w:r>
      <w:r w:rsidR="00DF1255" w:rsidRPr="00AF6DB6">
        <w:t>.</w:t>
      </w:r>
    </w:p>
    <w:p w:rsidR="00DF1255" w:rsidRDefault="00DF1255" w:rsidP="00DF1255">
      <w:pPr>
        <w:pStyle w:val="ParaIndent"/>
        <w:jc w:val="both"/>
      </w:pPr>
    </w:p>
    <w:p w:rsidR="00A441BA" w:rsidRPr="0076258D" w:rsidRDefault="0076258D" w:rsidP="0076258D">
      <w:pPr>
        <w:pStyle w:val="Caption"/>
      </w:pPr>
      <w:bookmarkStart w:id="35" w:name="_Ref307311969"/>
      <w:r w:rsidRPr="0076258D">
        <w:t xml:space="preserve">Table </w:t>
      </w:r>
      <w:r w:rsidR="00ED6CA0">
        <w:fldChar w:fldCharType="begin"/>
      </w:r>
      <w:r w:rsidR="006D5406">
        <w:instrText xml:space="preserve"> STYLEREF "_Heading1" \n </w:instrText>
      </w:r>
      <w:r w:rsidR="00ED6CA0">
        <w:fldChar w:fldCharType="separate"/>
      </w:r>
      <w:r w:rsidR="00166111">
        <w:rPr>
          <w:noProof/>
        </w:rPr>
        <w:t>4</w:t>
      </w:r>
      <w:r w:rsidR="00ED6CA0">
        <w:rPr>
          <w:noProof/>
        </w:rPr>
        <w:fldChar w:fldCharType="end"/>
      </w:r>
      <w:r w:rsidRPr="0076258D">
        <w:t>-</w:t>
      </w:r>
      <w:r w:rsidR="00ED6CA0">
        <w:fldChar w:fldCharType="begin"/>
      </w:r>
      <w:r w:rsidR="006D5406">
        <w:instrText xml:space="preserve"> SEQ Table \* Arabic </w:instrText>
      </w:r>
      <w:r w:rsidR="00ED6CA0">
        <w:fldChar w:fldCharType="separate"/>
      </w:r>
      <w:r w:rsidR="00166111">
        <w:rPr>
          <w:noProof/>
        </w:rPr>
        <w:t>6</w:t>
      </w:r>
      <w:r w:rsidR="00ED6CA0">
        <w:rPr>
          <w:noProof/>
        </w:rPr>
        <w:fldChar w:fldCharType="end"/>
      </w:r>
      <w:bookmarkEnd w:id="34"/>
      <w:bookmarkEnd w:id="35"/>
      <w:r w:rsidRPr="0076258D">
        <w:tab/>
        <w:t>Summary of local government waste and recycling information gathered and publicly reported within each jurisdiction</w:t>
      </w:r>
    </w:p>
    <w:tbl>
      <w:tblPr>
        <w:tblW w:w="14172"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3595"/>
        <w:gridCol w:w="5002"/>
        <w:gridCol w:w="2740"/>
      </w:tblGrid>
      <w:tr w:rsidR="00E03407" w:rsidRPr="00D56C84" w:rsidTr="00E03407">
        <w:trPr>
          <w:trHeight w:val="510"/>
          <w:tblHeader/>
        </w:trPr>
        <w:tc>
          <w:tcPr>
            <w:tcW w:w="14172" w:type="dxa"/>
            <w:gridSpan w:val="5"/>
            <w:shd w:val="clear" w:color="auto" w:fill="auto"/>
            <w:hideMark/>
          </w:tcPr>
          <w:p w:rsidR="00E03407" w:rsidRPr="00E03407" w:rsidRDefault="00E03407" w:rsidP="0076258D">
            <w:pPr>
              <w:pStyle w:val="TableHeading"/>
              <w:rPr>
                <w:color w:val="000000" w:themeColor="text1"/>
                <w:lang w:eastAsia="en-AU"/>
              </w:rPr>
            </w:pPr>
            <w:r w:rsidRPr="00E03407">
              <w:rPr>
                <w:color w:val="000000" w:themeColor="text1"/>
                <w:lang w:eastAsia="en-AU"/>
              </w:rPr>
              <w:t>New South Wales</w:t>
            </w:r>
          </w:p>
        </w:tc>
      </w:tr>
      <w:tr w:rsidR="00D56C84" w:rsidRPr="00D56C84" w:rsidTr="0076258D">
        <w:trPr>
          <w:trHeight w:val="510"/>
          <w:tblHeader/>
        </w:trPr>
        <w:tc>
          <w:tcPr>
            <w:tcW w:w="1395" w:type="dxa"/>
            <w:shd w:val="clear" w:color="auto" w:fill="auto"/>
            <w:hideMark/>
          </w:tcPr>
          <w:p w:rsidR="00D56C84" w:rsidRPr="00D56C84" w:rsidRDefault="00D56C84" w:rsidP="0076258D">
            <w:pPr>
              <w:pStyle w:val="TableHeading"/>
              <w:rPr>
                <w:lang w:eastAsia="en-AU"/>
              </w:rPr>
            </w:pPr>
            <w:r w:rsidRPr="00D56C84">
              <w:rPr>
                <w:lang w:eastAsia="en-AU"/>
              </w:rPr>
              <w:t>Government Body</w:t>
            </w:r>
          </w:p>
        </w:tc>
        <w:tc>
          <w:tcPr>
            <w:tcW w:w="1440" w:type="dxa"/>
            <w:shd w:val="clear" w:color="auto" w:fill="auto"/>
            <w:hideMark/>
          </w:tcPr>
          <w:p w:rsidR="00D56C84" w:rsidRPr="00D56C84" w:rsidRDefault="00D56C84" w:rsidP="0076258D">
            <w:pPr>
              <w:pStyle w:val="TableHeading"/>
              <w:rPr>
                <w:lang w:eastAsia="en-AU"/>
              </w:rPr>
            </w:pPr>
            <w:r w:rsidRPr="00D56C84">
              <w:rPr>
                <w:lang w:eastAsia="en-AU"/>
              </w:rPr>
              <w:t>Reporting format</w:t>
            </w:r>
          </w:p>
        </w:tc>
        <w:tc>
          <w:tcPr>
            <w:tcW w:w="3595" w:type="dxa"/>
            <w:shd w:val="clear" w:color="auto" w:fill="auto"/>
            <w:hideMark/>
          </w:tcPr>
          <w:p w:rsidR="00D56C84" w:rsidRPr="00D56C84" w:rsidRDefault="00D56C84" w:rsidP="0076258D">
            <w:pPr>
              <w:pStyle w:val="TableHeading"/>
              <w:rPr>
                <w:lang w:eastAsia="en-AU"/>
              </w:rPr>
            </w:pPr>
            <w:r w:rsidRPr="00D56C84">
              <w:rPr>
                <w:lang w:eastAsia="en-AU"/>
              </w:rPr>
              <w:t xml:space="preserve">Data </w:t>
            </w:r>
            <w:r w:rsidR="0076258D">
              <w:rPr>
                <w:lang w:eastAsia="en-AU"/>
              </w:rPr>
              <w:t>gathered</w:t>
            </w:r>
          </w:p>
        </w:tc>
        <w:tc>
          <w:tcPr>
            <w:tcW w:w="5002" w:type="dxa"/>
            <w:shd w:val="clear" w:color="auto" w:fill="auto"/>
            <w:hideMark/>
          </w:tcPr>
          <w:p w:rsidR="00D56C84" w:rsidRPr="00D56C84" w:rsidRDefault="00D56C84" w:rsidP="0076258D">
            <w:pPr>
              <w:pStyle w:val="TableHeading"/>
              <w:rPr>
                <w:lang w:eastAsia="en-AU"/>
              </w:rPr>
            </w:pPr>
            <w:r w:rsidRPr="00D56C84">
              <w:rPr>
                <w:lang w:eastAsia="en-AU"/>
              </w:rPr>
              <w:t>Council specific data available to public</w:t>
            </w:r>
          </w:p>
        </w:tc>
        <w:tc>
          <w:tcPr>
            <w:tcW w:w="2740" w:type="dxa"/>
            <w:shd w:val="clear" w:color="auto" w:fill="auto"/>
            <w:hideMark/>
          </w:tcPr>
          <w:p w:rsidR="00D56C84" w:rsidRPr="00D56C84" w:rsidRDefault="00D56C84" w:rsidP="0076258D">
            <w:pPr>
              <w:pStyle w:val="TableHeading"/>
              <w:rPr>
                <w:lang w:eastAsia="en-AU"/>
              </w:rPr>
            </w:pPr>
            <w:r w:rsidRPr="00D56C84">
              <w:rPr>
                <w:lang w:eastAsia="en-AU"/>
              </w:rPr>
              <w:t>Information incorporated in</w:t>
            </w:r>
          </w:p>
        </w:tc>
      </w:tr>
      <w:tr w:rsidR="009348BE" w:rsidRPr="00D56C84" w:rsidTr="0076258D">
        <w:trPr>
          <w:trHeight w:val="330"/>
        </w:trPr>
        <w:tc>
          <w:tcPr>
            <w:tcW w:w="1395" w:type="dxa"/>
            <w:vMerge w:val="restart"/>
            <w:hideMark/>
          </w:tcPr>
          <w:p w:rsidR="009348BE" w:rsidRPr="00D56C84" w:rsidRDefault="009348BE" w:rsidP="0076258D">
            <w:pPr>
              <w:pStyle w:val="TableText"/>
              <w:rPr>
                <w:lang w:eastAsia="en-AU"/>
              </w:rPr>
            </w:pPr>
            <w:r w:rsidRPr="00D56C84">
              <w:rPr>
                <w:lang w:eastAsia="en-AU"/>
              </w:rPr>
              <w:t>Office of Environment and Heritage</w:t>
            </w:r>
            <w:r w:rsidR="00A0291C">
              <w:rPr>
                <w:lang w:eastAsia="en-AU"/>
              </w:rPr>
              <w:t xml:space="preserve"> (OEH) in NSW Department of Premier &amp; Cabinet</w:t>
            </w:r>
          </w:p>
        </w:tc>
        <w:tc>
          <w:tcPr>
            <w:tcW w:w="1440" w:type="dxa"/>
            <w:vMerge w:val="restart"/>
            <w:hideMark/>
          </w:tcPr>
          <w:p w:rsidR="009348BE" w:rsidRPr="00D56C84" w:rsidRDefault="009348BE" w:rsidP="0076258D">
            <w:pPr>
              <w:pStyle w:val="TableText"/>
              <w:rPr>
                <w:lang w:eastAsia="en-AU"/>
              </w:rPr>
            </w:pPr>
            <w:r w:rsidRPr="00D56C84">
              <w:rPr>
                <w:lang w:eastAsia="en-AU"/>
              </w:rPr>
              <w:t>Annual survey</w:t>
            </w:r>
          </w:p>
        </w:tc>
        <w:tc>
          <w:tcPr>
            <w:tcW w:w="3595" w:type="dxa"/>
            <w:hideMark/>
          </w:tcPr>
          <w:p w:rsidR="009348BE" w:rsidRPr="00D56C84" w:rsidRDefault="009348BE" w:rsidP="0076258D">
            <w:pPr>
              <w:pStyle w:val="TableText"/>
              <w:rPr>
                <w:lang w:eastAsia="en-AU"/>
              </w:rPr>
            </w:pPr>
            <w:r w:rsidRPr="00D56C84">
              <w:rPr>
                <w:lang w:eastAsia="en-AU"/>
              </w:rPr>
              <w:t>Collections offered and frequencies</w:t>
            </w:r>
          </w:p>
        </w:tc>
        <w:tc>
          <w:tcPr>
            <w:tcW w:w="5002" w:type="dxa"/>
            <w:hideMark/>
          </w:tcPr>
          <w:p w:rsidR="009348BE" w:rsidRPr="00D56C84" w:rsidRDefault="009348BE" w:rsidP="00E03407">
            <w:pPr>
              <w:pStyle w:val="TableText"/>
              <w:rPr>
                <w:lang w:eastAsia="en-AU"/>
              </w:rPr>
            </w:pPr>
            <w:r>
              <w:rPr>
                <w:lang w:eastAsia="en-AU"/>
              </w:rPr>
              <w:t>Tonnes</w:t>
            </w:r>
            <w:r w:rsidRPr="00D56C84">
              <w:rPr>
                <w:lang w:eastAsia="en-AU"/>
              </w:rPr>
              <w:t xml:space="preserve"> of dry recycling</w:t>
            </w:r>
            <w:r>
              <w:rPr>
                <w:lang w:eastAsia="en-AU"/>
              </w:rPr>
              <w:t xml:space="preserve"> </w:t>
            </w:r>
            <w:r w:rsidRPr="00D56C84">
              <w:rPr>
                <w:lang w:eastAsia="en-AU"/>
              </w:rPr>
              <w:t>and organics collected</w:t>
            </w:r>
          </w:p>
        </w:tc>
        <w:tc>
          <w:tcPr>
            <w:tcW w:w="2740" w:type="dxa"/>
            <w:vMerge w:val="restart"/>
            <w:vAlign w:val="center"/>
            <w:hideMark/>
          </w:tcPr>
          <w:p w:rsidR="009348BE" w:rsidRPr="00D56C84" w:rsidRDefault="009348BE" w:rsidP="007815AA">
            <w:pPr>
              <w:pStyle w:val="TableText"/>
              <w:rPr>
                <w:lang w:eastAsia="en-AU"/>
              </w:rPr>
            </w:pPr>
            <w:r w:rsidRPr="00DF1255">
              <w:rPr>
                <w:i/>
                <w:lang w:eastAsia="en-AU"/>
              </w:rPr>
              <w:t xml:space="preserve">Local Government Waste and Resource Recovery Data Report </w:t>
            </w:r>
            <w:r w:rsidRPr="00D56C84">
              <w:rPr>
                <w:lang w:eastAsia="en-AU"/>
              </w:rPr>
              <w:t xml:space="preserve">(latest available </w:t>
            </w:r>
            <w:r w:rsidR="007815AA">
              <w:rPr>
                <w:lang w:eastAsia="en-AU"/>
              </w:rPr>
              <w:t>20</w:t>
            </w:r>
            <w:r w:rsidRPr="00D56C84">
              <w:rPr>
                <w:lang w:eastAsia="en-AU"/>
              </w:rPr>
              <w:t>0</w:t>
            </w:r>
            <w:r w:rsidR="007815AA">
              <w:rPr>
                <w:lang w:eastAsia="en-AU"/>
              </w:rPr>
              <w:t>9-</w:t>
            </w:r>
            <w:r w:rsidRPr="00D56C84">
              <w:rPr>
                <w:lang w:eastAsia="en-AU"/>
              </w:rPr>
              <w:t>10)</w:t>
            </w:r>
          </w:p>
        </w:tc>
      </w:tr>
      <w:tr w:rsidR="009348BE" w:rsidRPr="00D56C84" w:rsidTr="0076258D">
        <w:trPr>
          <w:trHeight w:val="207"/>
        </w:trPr>
        <w:tc>
          <w:tcPr>
            <w:tcW w:w="1395" w:type="dxa"/>
            <w:vMerge/>
            <w:shd w:val="clear" w:color="auto" w:fill="auto"/>
            <w:vAlign w:val="center"/>
            <w:hideMark/>
          </w:tcPr>
          <w:p w:rsidR="009348BE" w:rsidRPr="00D56C84" w:rsidRDefault="009348BE" w:rsidP="0076258D">
            <w:pPr>
              <w:pStyle w:val="TableText"/>
              <w:rPr>
                <w:lang w:eastAsia="en-AU"/>
              </w:rPr>
            </w:pPr>
          </w:p>
        </w:tc>
        <w:tc>
          <w:tcPr>
            <w:tcW w:w="1440" w:type="dxa"/>
            <w:vMerge/>
            <w:shd w:val="clear" w:color="auto" w:fill="auto"/>
            <w:vAlign w:val="center"/>
            <w:hideMark/>
          </w:tcPr>
          <w:p w:rsidR="009348BE" w:rsidRPr="00D56C84" w:rsidRDefault="009348BE" w:rsidP="0076258D">
            <w:pPr>
              <w:pStyle w:val="TableText"/>
              <w:rPr>
                <w:lang w:eastAsia="en-AU"/>
              </w:rPr>
            </w:pPr>
          </w:p>
        </w:tc>
        <w:tc>
          <w:tcPr>
            <w:tcW w:w="3595" w:type="dxa"/>
            <w:shd w:val="clear" w:color="auto" w:fill="auto"/>
            <w:vAlign w:val="center"/>
            <w:hideMark/>
          </w:tcPr>
          <w:p w:rsidR="009348BE" w:rsidRPr="00D56C84" w:rsidRDefault="009348BE" w:rsidP="0076258D">
            <w:pPr>
              <w:pStyle w:val="TableText"/>
              <w:rPr>
                <w:lang w:eastAsia="en-AU"/>
              </w:rPr>
            </w:pPr>
            <w:r>
              <w:rPr>
                <w:lang w:eastAsia="en-AU"/>
              </w:rPr>
              <w:t>Number of households serviced</w:t>
            </w:r>
          </w:p>
        </w:tc>
        <w:tc>
          <w:tcPr>
            <w:tcW w:w="5002" w:type="dxa"/>
            <w:shd w:val="clear" w:color="auto" w:fill="auto"/>
            <w:vAlign w:val="center"/>
            <w:hideMark/>
          </w:tcPr>
          <w:p w:rsidR="009348BE" w:rsidRPr="00D56C84" w:rsidRDefault="009348BE" w:rsidP="00E03407">
            <w:pPr>
              <w:pStyle w:val="TableText"/>
              <w:rPr>
                <w:lang w:eastAsia="en-AU"/>
              </w:rPr>
            </w:pPr>
            <w:r>
              <w:rPr>
                <w:lang w:eastAsia="en-AU"/>
              </w:rPr>
              <w:t>Tonnes of wa</w:t>
            </w:r>
            <w:r w:rsidRPr="00D56C84">
              <w:rPr>
                <w:lang w:eastAsia="en-AU"/>
              </w:rPr>
              <w:t>ste to landfill</w:t>
            </w:r>
          </w:p>
        </w:tc>
        <w:tc>
          <w:tcPr>
            <w:tcW w:w="2740" w:type="dxa"/>
            <w:vMerge/>
            <w:shd w:val="clear" w:color="auto" w:fill="auto"/>
            <w:vAlign w:val="center"/>
            <w:hideMark/>
          </w:tcPr>
          <w:p w:rsidR="009348BE" w:rsidRPr="00D56C84" w:rsidRDefault="009348BE" w:rsidP="0076258D">
            <w:pPr>
              <w:pStyle w:val="TableText"/>
              <w:rPr>
                <w:lang w:eastAsia="en-AU"/>
              </w:rPr>
            </w:pPr>
          </w:p>
        </w:tc>
      </w:tr>
      <w:tr w:rsidR="009348BE" w:rsidRPr="00D56C84" w:rsidTr="0076258D">
        <w:trPr>
          <w:trHeight w:val="257"/>
        </w:trPr>
        <w:tc>
          <w:tcPr>
            <w:tcW w:w="1395" w:type="dxa"/>
            <w:vMerge/>
            <w:shd w:val="clear" w:color="auto" w:fill="auto"/>
            <w:vAlign w:val="center"/>
            <w:hideMark/>
          </w:tcPr>
          <w:p w:rsidR="009348BE" w:rsidRPr="00D56C84" w:rsidRDefault="009348BE" w:rsidP="0076258D">
            <w:pPr>
              <w:pStyle w:val="TableText"/>
              <w:rPr>
                <w:lang w:eastAsia="en-AU"/>
              </w:rPr>
            </w:pPr>
          </w:p>
        </w:tc>
        <w:tc>
          <w:tcPr>
            <w:tcW w:w="1440" w:type="dxa"/>
            <w:vMerge/>
            <w:shd w:val="clear" w:color="auto" w:fill="auto"/>
            <w:vAlign w:val="center"/>
            <w:hideMark/>
          </w:tcPr>
          <w:p w:rsidR="009348BE" w:rsidRPr="00D56C84" w:rsidRDefault="009348BE" w:rsidP="0076258D">
            <w:pPr>
              <w:pStyle w:val="TableText"/>
              <w:rPr>
                <w:lang w:eastAsia="en-AU"/>
              </w:rPr>
            </w:pPr>
          </w:p>
        </w:tc>
        <w:tc>
          <w:tcPr>
            <w:tcW w:w="3595" w:type="dxa"/>
            <w:shd w:val="clear" w:color="auto" w:fill="auto"/>
            <w:vAlign w:val="center"/>
            <w:hideMark/>
          </w:tcPr>
          <w:p w:rsidR="009348BE" w:rsidRPr="00D56C84" w:rsidRDefault="009348BE" w:rsidP="006D5406">
            <w:pPr>
              <w:pStyle w:val="TableText"/>
              <w:rPr>
                <w:lang w:eastAsia="en-AU"/>
              </w:rPr>
            </w:pPr>
            <w:r w:rsidRPr="00D56C84">
              <w:rPr>
                <w:lang w:eastAsia="en-AU"/>
              </w:rPr>
              <w:t xml:space="preserve">Commercial &amp; Industrial </w:t>
            </w:r>
            <w:r>
              <w:rPr>
                <w:lang w:eastAsia="en-AU"/>
              </w:rPr>
              <w:t>services</w:t>
            </w:r>
          </w:p>
        </w:tc>
        <w:tc>
          <w:tcPr>
            <w:tcW w:w="5002" w:type="dxa"/>
            <w:shd w:val="clear" w:color="auto" w:fill="auto"/>
            <w:vAlign w:val="center"/>
            <w:hideMark/>
          </w:tcPr>
          <w:p w:rsidR="009348BE" w:rsidRPr="00D56C84" w:rsidRDefault="009348BE" w:rsidP="0076258D">
            <w:pPr>
              <w:pStyle w:val="TableText"/>
              <w:rPr>
                <w:lang w:eastAsia="en-AU"/>
              </w:rPr>
            </w:pPr>
            <w:r w:rsidRPr="00D56C84">
              <w:rPr>
                <w:lang w:eastAsia="en-AU"/>
              </w:rPr>
              <w:t>Total waste generated (tonnes)</w:t>
            </w:r>
          </w:p>
        </w:tc>
        <w:tc>
          <w:tcPr>
            <w:tcW w:w="2740" w:type="dxa"/>
            <w:vMerge/>
            <w:shd w:val="clear" w:color="auto" w:fill="auto"/>
            <w:vAlign w:val="center"/>
            <w:hideMark/>
          </w:tcPr>
          <w:p w:rsidR="009348BE" w:rsidRPr="00D56C84" w:rsidRDefault="009348BE" w:rsidP="0076258D">
            <w:pPr>
              <w:pStyle w:val="TableText"/>
              <w:rPr>
                <w:lang w:eastAsia="en-AU"/>
              </w:rPr>
            </w:pPr>
          </w:p>
        </w:tc>
      </w:tr>
      <w:tr w:rsidR="009348BE" w:rsidRPr="00D56C84" w:rsidTr="0076258D">
        <w:trPr>
          <w:trHeight w:val="289"/>
        </w:trPr>
        <w:tc>
          <w:tcPr>
            <w:tcW w:w="1395" w:type="dxa"/>
            <w:vMerge/>
            <w:shd w:val="clear" w:color="auto" w:fill="auto"/>
            <w:vAlign w:val="center"/>
            <w:hideMark/>
          </w:tcPr>
          <w:p w:rsidR="009348BE" w:rsidRPr="00D56C84" w:rsidRDefault="009348BE" w:rsidP="0076258D">
            <w:pPr>
              <w:pStyle w:val="TableText"/>
              <w:rPr>
                <w:lang w:eastAsia="en-AU"/>
              </w:rPr>
            </w:pPr>
          </w:p>
        </w:tc>
        <w:tc>
          <w:tcPr>
            <w:tcW w:w="1440" w:type="dxa"/>
            <w:vMerge/>
            <w:shd w:val="clear" w:color="auto" w:fill="auto"/>
            <w:vAlign w:val="center"/>
            <w:hideMark/>
          </w:tcPr>
          <w:p w:rsidR="009348BE" w:rsidRPr="00D56C84" w:rsidRDefault="009348BE" w:rsidP="0076258D">
            <w:pPr>
              <w:pStyle w:val="TableText"/>
              <w:rPr>
                <w:lang w:eastAsia="en-AU"/>
              </w:rPr>
            </w:pPr>
          </w:p>
        </w:tc>
        <w:tc>
          <w:tcPr>
            <w:tcW w:w="3595" w:type="dxa"/>
            <w:shd w:val="clear" w:color="auto" w:fill="auto"/>
            <w:vAlign w:val="center"/>
            <w:hideMark/>
          </w:tcPr>
          <w:p w:rsidR="009348BE" w:rsidRPr="00D56C84" w:rsidRDefault="009348BE" w:rsidP="0076258D">
            <w:pPr>
              <w:pStyle w:val="TableText"/>
              <w:rPr>
                <w:lang w:eastAsia="en-AU"/>
              </w:rPr>
            </w:pPr>
            <w:r>
              <w:rPr>
                <w:lang w:eastAsia="en-AU"/>
              </w:rPr>
              <w:t>Bin sizes</w:t>
            </w:r>
          </w:p>
        </w:tc>
        <w:tc>
          <w:tcPr>
            <w:tcW w:w="5002" w:type="dxa"/>
            <w:shd w:val="clear" w:color="auto" w:fill="auto"/>
            <w:vAlign w:val="center"/>
            <w:hideMark/>
          </w:tcPr>
          <w:p w:rsidR="009348BE" w:rsidRPr="00D56C84" w:rsidRDefault="009348BE" w:rsidP="0076258D">
            <w:pPr>
              <w:pStyle w:val="TableText"/>
              <w:rPr>
                <w:lang w:eastAsia="en-AU"/>
              </w:rPr>
            </w:pPr>
            <w:r w:rsidRPr="00D56C84">
              <w:rPr>
                <w:lang w:eastAsia="en-AU"/>
              </w:rPr>
              <w:t>Recovery rates</w:t>
            </w:r>
          </w:p>
        </w:tc>
        <w:tc>
          <w:tcPr>
            <w:tcW w:w="2740" w:type="dxa"/>
            <w:vMerge/>
            <w:shd w:val="clear" w:color="auto" w:fill="auto"/>
            <w:vAlign w:val="center"/>
            <w:hideMark/>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hideMark/>
          </w:tcPr>
          <w:p w:rsidR="009348BE" w:rsidRPr="00D56C84" w:rsidRDefault="009348BE" w:rsidP="0076258D">
            <w:pPr>
              <w:pStyle w:val="TableText"/>
              <w:rPr>
                <w:lang w:eastAsia="en-AU"/>
              </w:rPr>
            </w:pPr>
          </w:p>
        </w:tc>
        <w:tc>
          <w:tcPr>
            <w:tcW w:w="1440" w:type="dxa"/>
            <w:vMerge/>
            <w:shd w:val="clear" w:color="auto" w:fill="auto"/>
            <w:vAlign w:val="center"/>
            <w:hideMark/>
          </w:tcPr>
          <w:p w:rsidR="009348BE" w:rsidRPr="00D56C84" w:rsidRDefault="009348BE" w:rsidP="0076258D">
            <w:pPr>
              <w:pStyle w:val="TableText"/>
              <w:rPr>
                <w:lang w:eastAsia="en-AU"/>
              </w:rPr>
            </w:pPr>
          </w:p>
        </w:tc>
        <w:tc>
          <w:tcPr>
            <w:tcW w:w="3595" w:type="dxa"/>
            <w:shd w:val="clear" w:color="auto" w:fill="auto"/>
            <w:vAlign w:val="center"/>
            <w:hideMark/>
          </w:tcPr>
          <w:p w:rsidR="009348BE" w:rsidRPr="00D56C84" w:rsidRDefault="009348BE" w:rsidP="0076258D">
            <w:pPr>
              <w:pStyle w:val="TableText"/>
              <w:rPr>
                <w:lang w:eastAsia="en-AU"/>
              </w:rPr>
            </w:pPr>
            <w:r>
              <w:rPr>
                <w:lang w:eastAsia="en-AU"/>
              </w:rPr>
              <w:t>Waste/ recycling/ garden organics/ food organics collected (tonnes)</w:t>
            </w:r>
          </w:p>
        </w:tc>
        <w:tc>
          <w:tcPr>
            <w:tcW w:w="5002" w:type="dxa"/>
            <w:shd w:val="clear" w:color="auto" w:fill="auto"/>
            <w:vAlign w:val="center"/>
            <w:hideMark/>
          </w:tcPr>
          <w:p w:rsidR="009348BE" w:rsidRPr="00D56C84" w:rsidRDefault="009348BE" w:rsidP="0076258D">
            <w:pPr>
              <w:pStyle w:val="TableText"/>
              <w:rPr>
                <w:lang w:eastAsia="en-AU"/>
              </w:rPr>
            </w:pPr>
            <w:r w:rsidRPr="00D56C84">
              <w:rPr>
                <w:lang w:eastAsia="en-AU"/>
              </w:rPr>
              <w:t>Waste management charges</w:t>
            </w:r>
          </w:p>
        </w:tc>
        <w:tc>
          <w:tcPr>
            <w:tcW w:w="2740" w:type="dxa"/>
            <w:vMerge/>
            <w:shd w:val="clear" w:color="auto" w:fill="auto"/>
            <w:vAlign w:val="center"/>
            <w:hideMark/>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hideMark/>
          </w:tcPr>
          <w:p w:rsidR="009348BE" w:rsidRPr="00D56C84" w:rsidRDefault="009348BE" w:rsidP="0076258D">
            <w:pPr>
              <w:pStyle w:val="TableText"/>
              <w:rPr>
                <w:lang w:eastAsia="en-AU"/>
              </w:rPr>
            </w:pPr>
          </w:p>
        </w:tc>
        <w:tc>
          <w:tcPr>
            <w:tcW w:w="1440" w:type="dxa"/>
            <w:vMerge/>
            <w:shd w:val="clear" w:color="auto" w:fill="auto"/>
            <w:vAlign w:val="center"/>
            <w:hideMark/>
          </w:tcPr>
          <w:p w:rsidR="009348BE" w:rsidRPr="00D56C84" w:rsidRDefault="009348BE" w:rsidP="0076258D">
            <w:pPr>
              <w:pStyle w:val="TableText"/>
              <w:rPr>
                <w:lang w:eastAsia="en-AU"/>
              </w:rPr>
            </w:pPr>
          </w:p>
        </w:tc>
        <w:tc>
          <w:tcPr>
            <w:tcW w:w="3595" w:type="dxa"/>
            <w:shd w:val="clear" w:color="auto" w:fill="auto"/>
            <w:vAlign w:val="center"/>
            <w:hideMark/>
          </w:tcPr>
          <w:p w:rsidR="009348BE" w:rsidRPr="00D56C84" w:rsidRDefault="009348BE" w:rsidP="006D5406">
            <w:pPr>
              <w:pStyle w:val="TableText"/>
              <w:rPr>
                <w:lang w:eastAsia="en-AU"/>
              </w:rPr>
            </w:pPr>
            <w:r>
              <w:rPr>
                <w:lang w:eastAsia="en-AU"/>
              </w:rPr>
              <w:t>Hard waste services</w:t>
            </w:r>
          </w:p>
        </w:tc>
        <w:tc>
          <w:tcPr>
            <w:tcW w:w="5002" w:type="dxa"/>
            <w:shd w:val="clear" w:color="auto" w:fill="auto"/>
            <w:vAlign w:val="center"/>
            <w:hideMark/>
          </w:tcPr>
          <w:p w:rsidR="009348BE" w:rsidRPr="00D56C84" w:rsidRDefault="009348BE" w:rsidP="0076258D">
            <w:pPr>
              <w:pStyle w:val="TableText"/>
              <w:rPr>
                <w:lang w:eastAsia="en-AU"/>
              </w:rPr>
            </w:pPr>
            <w:r w:rsidRPr="00D56C84">
              <w:rPr>
                <w:lang w:eastAsia="en-AU"/>
              </w:rPr>
              <w:t>Collection</w:t>
            </w:r>
            <w:r>
              <w:rPr>
                <w:lang w:eastAsia="en-AU"/>
              </w:rPr>
              <w:t xml:space="preserve"> </w:t>
            </w:r>
            <w:r w:rsidRPr="00D56C84">
              <w:rPr>
                <w:lang w:eastAsia="en-AU"/>
              </w:rPr>
              <w:t>s</w:t>
            </w:r>
            <w:r>
              <w:rPr>
                <w:lang w:eastAsia="en-AU"/>
              </w:rPr>
              <w:t>ervices and bin configurations</w:t>
            </w:r>
            <w:r w:rsidRPr="00D56C84">
              <w:rPr>
                <w:lang w:eastAsia="en-AU"/>
              </w:rPr>
              <w:t xml:space="preserve"> offered</w:t>
            </w:r>
          </w:p>
        </w:tc>
        <w:tc>
          <w:tcPr>
            <w:tcW w:w="2740" w:type="dxa"/>
            <w:vMerge/>
            <w:shd w:val="clear" w:color="auto" w:fill="auto"/>
            <w:vAlign w:val="center"/>
            <w:hideMark/>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Pr>
                <w:lang w:eastAsia="en-AU"/>
              </w:rPr>
              <w:t>Public Place Waste and Recycling</w:t>
            </w:r>
          </w:p>
        </w:tc>
        <w:tc>
          <w:tcPr>
            <w:tcW w:w="5002" w:type="dxa"/>
            <w:vMerge w:val="restart"/>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sidRPr="00D56C84">
              <w:rPr>
                <w:lang w:eastAsia="en-AU"/>
              </w:rPr>
              <w:t>Waste management infrastructure</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DF1255" w:rsidP="006D5406">
            <w:pPr>
              <w:pStyle w:val="TableText"/>
              <w:rPr>
                <w:lang w:eastAsia="en-AU"/>
              </w:rPr>
            </w:pPr>
            <w:r>
              <w:rPr>
                <w:lang w:eastAsia="en-AU"/>
              </w:rPr>
              <w:t>W</w:t>
            </w:r>
            <w:r w:rsidR="009348BE">
              <w:rPr>
                <w:lang w:eastAsia="en-AU"/>
              </w:rPr>
              <w:t xml:space="preserve">aste to </w:t>
            </w:r>
            <w:r>
              <w:rPr>
                <w:lang w:eastAsia="en-AU"/>
              </w:rPr>
              <w:t>Advanced Waste Treatment (</w:t>
            </w:r>
            <w:r w:rsidR="009348BE">
              <w:rPr>
                <w:lang w:eastAsia="en-AU"/>
              </w:rPr>
              <w:t>AWT</w:t>
            </w:r>
            <w:r>
              <w:rPr>
                <w:lang w:eastAsia="en-AU"/>
              </w:rPr>
              <w:t>)</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Pr>
                <w:lang w:eastAsia="en-AU"/>
              </w:rPr>
              <w:t>Construction &amp; Demolition services</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Pr>
                <w:lang w:eastAsia="en-AU"/>
              </w:rPr>
              <w:t>Waste management costs and charges</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Pr>
                <w:lang w:eastAsia="en-AU"/>
              </w:rPr>
              <w:t>Waste audit data</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r w:rsidR="009348BE" w:rsidRPr="00D56C84" w:rsidTr="0076258D">
        <w:trPr>
          <w:trHeight w:val="255"/>
        </w:trPr>
        <w:tc>
          <w:tcPr>
            <w:tcW w:w="1395" w:type="dxa"/>
            <w:vMerge/>
            <w:shd w:val="clear" w:color="auto" w:fill="auto"/>
            <w:vAlign w:val="center"/>
          </w:tcPr>
          <w:p w:rsidR="009348BE" w:rsidRPr="00D56C84" w:rsidRDefault="009348BE" w:rsidP="0076258D">
            <w:pPr>
              <w:pStyle w:val="TableText"/>
              <w:rPr>
                <w:lang w:eastAsia="en-AU"/>
              </w:rPr>
            </w:pPr>
          </w:p>
        </w:tc>
        <w:tc>
          <w:tcPr>
            <w:tcW w:w="1440" w:type="dxa"/>
            <w:vMerge/>
            <w:shd w:val="clear" w:color="auto" w:fill="auto"/>
            <w:vAlign w:val="center"/>
          </w:tcPr>
          <w:p w:rsidR="009348BE" w:rsidRPr="00D56C84" w:rsidRDefault="009348BE" w:rsidP="0076258D">
            <w:pPr>
              <w:pStyle w:val="TableText"/>
              <w:rPr>
                <w:lang w:eastAsia="en-AU"/>
              </w:rPr>
            </w:pPr>
          </w:p>
        </w:tc>
        <w:tc>
          <w:tcPr>
            <w:tcW w:w="3595" w:type="dxa"/>
            <w:shd w:val="clear" w:color="auto" w:fill="auto"/>
            <w:vAlign w:val="center"/>
          </w:tcPr>
          <w:p w:rsidR="009348BE" w:rsidRDefault="009348BE" w:rsidP="006D5406">
            <w:pPr>
              <w:pStyle w:val="TableText"/>
              <w:rPr>
                <w:lang w:eastAsia="en-AU"/>
              </w:rPr>
            </w:pPr>
            <w:r>
              <w:rPr>
                <w:lang w:eastAsia="en-AU"/>
              </w:rPr>
              <w:t>Contractor information</w:t>
            </w:r>
          </w:p>
        </w:tc>
        <w:tc>
          <w:tcPr>
            <w:tcW w:w="5002" w:type="dxa"/>
            <w:vMerge/>
            <w:shd w:val="clear" w:color="auto" w:fill="auto"/>
            <w:vAlign w:val="center"/>
          </w:tcPr>
          <w:p w:rsidR="009348BE" w:rsidRPr="00D56C84" w:rsidRDefault="009348BE" w:rsidP="0076258D">
            <w:pPr>
              <w:pStyle w:val="TableText"/>
              <w:rPr>
                <w:lang w:eastAsia="en-AU"/>
              </w:rPr>
            </w:pPr>
          </w:p>
        </w:tc>
        <w:tc>
          <w:tcPr>
            <w:tcW w:w="2740" w:type="dxa"/>
            <w:vMerge/>
            <w:shd w:val="clear" w:color="auto" w:fill="auto"/>
            <w:vAlign w:val="center"/>
          </w:tcPr>
          <w:p w:rsidR="009348BE" w:rsidRPr="00D56C84" w:rsidRDefault="009348BE" w:rsidP="0076258D">
            <w:pPr>
              <w:pStyle w:val="TableText"/>
              <w:rPr>
                <w:lang w:eastAsia="en-AU"/>
              </w:rPr>
            </w:pPr>
          </w:p>
        </w:tc>
      </w:tr>
    </w:tbl>
    <w:p w:rsidR="009836BE" w:rsidRDefault="009836BE" w:rsidP="00DF1255">
      <w:pPr>
        <w:ind w:left="0"/>
      </w:pPr>
    </w:p>
    <w:tbl>
      <w:tblPr>
        <w:tblW w:w="14172"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3595"/>
        <w:gridCol w:w="5002"/>
        <w:gridCol w:w="2740"/>
      </w:tblGrid>
      <w:tr w:rsidR="009836BE" w:rsidRPr="00D56C84" w:rsidTr="009836BE">
        <w:trPr>
          <w:trHeight w:val="255"/>
        </w:trPr>
        <w:tc>
          <w:tcPr>
            <w:tcW w:w="1395" w:type="dxa"/>
            <w:shd w:val="clear" w:color="auto" w:fill="auto"/>
            <w:vAlign w:val="center"/>
            <w:hideMark/>
          </w:tcPr>
          <w:p w:rsidR="009836BE" w:rsidRPr="00D56C84" w:rsidRDefault="009836BE" w:rsidP="009836BE">
            <w:pPr>
              <w:pStyle w:val="TableText"/>
              <w:rPr>
                <w:b/>
                <w:lang w:eastAsia="en-AU"/>
              </w:rPr>
            </w:pPr>
            <w:r w:rsidRPr="00D56C84">
              <w:rPr>
                <w:b/>
                <w:lang w:eastAsia="en-AU"/>
              </w:rPr>
              <w:t>Victoria</w:t>
            </w:r>
          </w:p>
        </w:tc>
        <w:tc>
          <w:tcPr>
            <w:tcW w:w="1440" w:type="dxa"/>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p>
        </w:tc>
        <w:tc>
          <w:tcPr>
            <w:tcW w:w="2740" w:type="dxa"/>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510"/>
          <w:tblHeader/>
        </w:trPr>
        <w:tc>
          <w:tcPr>
            <w:tcW w:w="1395" w:type="dxa"/>
            <w:tcBorders>
              <w:bottom w:val="nil"/>
            </w:tcBorders>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tcBorders>
              <w:bottom w:val="nil"/>
            </w:tcBorders>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3595"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5002"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740"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9836BE" w:rsidRPr="00D56C84" w:rsidTr="00DB4D47">
        <w:trPr>
          <w:trHeight w:val="392"/>
        </w:trPr>
        <w:tc>
          <w:tcPr>
            <w:tcW w:w="1395" w:type="dxa"/>
            <w:vMerge w:val="restart"/>
            <w:tcBorders>
              <w:top w:val="nil"/>
              <w:bottom w:val="nil"/>
            </w:tcBorders>
            <w:shd w:val="clear" w:color="auto" w:fill="auto"/>
            <w:vAlign w:val="center"/>
            <w:hideMark/>
          </w:tcPr>
          <w:p w:rsidR="009836BE" w:rsidRPr="00D56C84" w:rsidRDefault="009836BE" w:rsidP="009836BE">
            <w:pPr>
              <w:pStyle w:val="TableText"/>
              <w:rPr>
                <w:lang w:eastAsia="en-AU"/>
              </w:rPr>
            </w:pPr>
            <w:bookmarkStart w:id="36" w:name="Land"/>
            <w:bookmarkEnd w:id="36"/>
            <w:r w:rsidRPr="00D56C84">
              <w:rPr>
                <w:lang w:eastAsia="en-AU"/>
              </w:rPr>
              <w:t>Sustainability Victoria</w:t>
            </w:r>
          </w:p>
        </w:tc>
        <w:tc>
          <w:tcPr>
            <w:tcW w:w="1440" w:type="dxa"/>
            <w:vMerge w:val="restart"/>
            <w:tcBorders>
              <w:top w:val="nil"/>
              <w:bottom w:val="nil"/>
            </w:tcBorders>
            <w:shd w:val="clear" w:color="auto" w:fill="auto"/>
            <w:vAlign w:val="center"/>
            <w:hideMark/>
          </w:tcPr>
          <w:p w:rsidR="009836BE" w:rsidRPr="00D56C84" w:rsidRDefault="009836BE" w:rsidP="009836BE">
            <w:pPr>
              <w:pStyle w:val="TableText"/>
              <w:rPr>
                <w:lang w:eastAsia="en-AU"/>
              </w:rPr>
            </w:pPr>
            <w:r w:rsidRPr="00D56C84">
              <w:rPr>
                <w:lang w:eastAsia="en-AU"/>
              </w:rPr>
              <w:t>Online annual survey</w:t>
            </w: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Collections offered and frequencies</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Diversion rate</w:t>
            </w:r>
          </w:p>
        </w:tc>
        <w:tc>
          <w:tcPr>
            <w:tcW w:w="2740" w:type="dxa"/>
            <w:vMerge w:val="restart"/>
            <w:shd w:val="clear" w:color="auto" w:fill="auto"/>
            <w:hideMark/>
          </w:tcPr>
          <w:p w:rsidR="009836BE" w:rsidRPr="00D56C84" w:rsidRDefault="009836BE" w:rsidP="00DF1255">
            <w:pPr>
              <w:pStyle w:val="TableText"/>
              <w:jc w:val="center"/>
              <w:rPr>
                <w:lang w:eastAsia="en-AU"/>
              </w:rPr>
            </w:pPr>
            <w:r w:rsidRPr="00DF1255">
              <w:rPr>
                <w:i/>
                <w:lang w:eastAsia="en-AU"/>
              </w:rPr>
              <w:t xml:space="preserve">Victorian </w:t>
            </w:r>
            <w:r w:rsidR="00DF1255" w:rsidRPr="00DF1255">
              <w:rPr>
                <w:i/>
                <w:lang w:eastAsia="en-AU"/>
              </w:rPr>
              <w:t xml:space="preserve">Local Government Annual Survey </w:t>
            </w:r>
            <w:r w:rsidR="00DF1255" w:rsidRPr="00DF1255">
              <w:rPr>
                <w:lang w:eastAsia="en-AU"/>
              </w:rPr>
              <w:t>r</w:t>
            </w:r>
            <w:r w:rsidRPr="00DF1255">
              <w:rPr>
                <w:lang w:eastAsia="en-AU"/>
              </w:rPr>
              <w:t xml:space="preserve">eport </w:t>
            </w:r>
            <w:r w:rsidRPr="00D56C84">
              <w:rPr>
                <w:lang w:eastAsia="en-AU"/>
              </w:rPr>
              <w:t>(latest available 2008-09)</w:t>
            </w:r>
          </w:p>
        </w:tc>
      </w:tr>
      <w:tr w:rsidR="009836BE" w:rsidRPr="00D56C84" w:rsidTr="00DB4D47">
        <w:trPr>
          <w:trHeight w:val="255"/>
        </w:trPr>
        <w:tc>
          <w:tcPr>
            <w:tcW w:w="1395"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1440"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Bin sizes/ types</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Bin sizes/ types</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318"/>
        </w:trPr>
        <w:tc>
          <w:tcPr>
            <w:tcW w:w="1395"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1440"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3595" w:type="dxa"/>
            <w:tcBorders>
              <w:bottom w:val="single" w:sz="4" w:space="0" w:color="808080"/>
            </w:tcBorders>
            <w:shd w:val="clear" w:color="auto" w:fill="auto"/>
            <w:vAlign w:val="center"/>
            <w:hideMark/>
          </w:tcPr>
          <w:p w:rsidR="009836BE" w:rsidRPr="00D56C84" w:rsidRDefault="009836BE" w:rsidP="009836BE">
            <w:pPr>
              <w:pStyle w:val="TableText"/>
              <w:rPr>
                <w:lang w:eastAsia="en-AU"/>
              </w:rPr>
            </w:pPr>
            <w:r w:rsidRPr="00D56C84">
              <w:rPr>
                <w:lang w:eastAsia="en-AU"/>
              </w:rPr>
              <w:t>Waste management costs (collect and sort)</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Waste and recycling yield per household</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255"/>
        </w:trPr>
        <w:tc>
          <w:tcPr>
            <w:tcW w:w="1395"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1440"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3595" w:type="dxa"/>
            <w:tcBorders>
              <w:top w:val="single" w:sz="4" w:space="0" w:color="808080"/>
              <w:bottom w:val="single" w:sz="4" w:space="0" w:color="808080"/>
            </w:tcBorders>
            <w:shd w:val="clear" w:color="auto" w:fill="auto"/>
            <w:vAlign w:val="center"/>
            <w:hideMark/>
          </w:tcPr>
          <w:p w:rsidR="009836BE" w:rsidRPr="00D56C84" w:rsidRDefault="009836BE" w:rsidP="009836BE">
            <w:pPr>
              <w:pStyle w:val="TableText"/>
              <w:rPr>
                <w:lang w:eastAsia="en-AU"/>
              </w:rPr>
            </w:pPr>
            <w:r w:rsidRPr="00D56C84">
              <w:rPr>
                <w:lang w:eastAsia="en-AU"/>
              </w:rPr>
              <w:t>Participation rates</w:t>
            </w:r>
          </w:p>
        </w:tc>
        <w:tc>
          <w:tcPr>
            <w:tcW w:w="5002"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255"/>
        </w:trPr>
        <w:tc>
          <w:tcPr>
            <w:tcW w:w="1395"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1440" w:type="dxa"/>
            <w:vMerge/>
            <w:tcBorders>
              <w:bottom w:val="nil"/>
            </w:tcBorders>
            <w:shd w:val="clear" w:color="auto" w:fill="auto"/>
            <w:vAlign w:val="center"/>
            <w:hideMark/>
          </w:tcPr>
          <w:p w:rsidR="009836BE" w:rsidRPr="00D56C84" w:rsidRDefault="009836BE" w:rsidP="009836BE">
            <w:pPr>
              <w:pStyle w:val="TableText"/>
              <w:rPr>
                <w:lang w:eastAsia="en-AU"/>
              </w:rPr>
            </w:pPr>
          </w:p>
        </w:tc>
        <w:tc>
          <w:tcPr>
            <w:tcW w:w="3595" w:type="dxa"/>
            <w:tcBorders>
              <w:top w:val="single" w:sz="4" w:space="0" w:color="808080"/>
              <w:bottom w:val="single" w:sz="4" w:space="0" w:color="808080"/>
            </w:tcBorders>
            <w:shd w:val="clear" w:color="auto" w:fill="auto"/>
            <w:vAlign w:val="center"/>
            <w:hideMark/>
          </w:tcPr>
          <w:p w:rsidR="009836BE" w:rsidRPr="00D56C84" w:rsidRDefault="009836BE" w:rsidP="009836BE">
            <w:pPr>
              <w:pStyle w:val="TableText"/>
              <w:rPr>
                <w:lang w:eastAsia="en-AU"/>
              </w:rPr>
            </w:pPr>
            <w:r w:rsidRPr="00D56C84">
              <w:rPr>
                <w:lang w:eastAsia="en-AU"/>
              </w:rPr>
              <w:t>Contractor information</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277"/>
        </w:trPr>
        <w:tc>
          <w:tcPr>
            <w:tcW w:w="1395" w:type="dxa"/>
            <w:vMerge w:val="restart"/>
            <w:tcBorders>
              <w:top w:val="nil"/>
            </w:tcBorders>
            <w:shd w:val="clear" w:color="auto" w:fill="auto"/>
            <w:vAlign w:val="center"/>
            <w:hideMark/>
          </w:tcPr>
          <w:p w:rsidR="009836BE" w:rsidRPr="00D56C84" w:rsidRDefault="009836BE" w:rsidP="009836BE">
            <w:pPr>
              <w:pStyle w:val="TableText"/>
              <w:rPr>
                <w:lang w:eastAsia="en-AU"/>
              </w:rPr>
            </w:pPr>
          </w:p>
        </w:tc>
        <w:tc>
          <w:tcPr>
            <w:tcW w:w="1440" w:type="dxa"/>
            <w:vMerge w:val="restart"/>
            <w:tcBorders>
              <w:top w:val="nil"/>
            </w:tcBorders>
            <w:shd w:val="clear" w:color="auto" w:fill="auto"/>
            <w:vAlign w:val="center"/>
            <w:hideMark/>
          </w:tcPr>
          <w:p w:rsidR="009836BE" w:rsidRPr="00D56C84" w:rsidRDefault="009836BE" w:rsidP="009836BE">
            <w:pPr>
              <w:pStyle w:val="TableText"/>
              <w:rPr>
                <w:lang w:eastAsia="en-AU"/>
              </w:rPr>
            </w:pPr>
          </w:p>
        </w:tc>
        <w:tc>
          <w:tcPr>
            <w:tcW w:w="3595" w:type="dxa"/>
            <w:tcBorders>
              <w:top w:val="single" w:sz="4" w:space="0" w:color="808080"/>
              <w:bottom w:val="single" w:sz="4" w:space="0" w:color="808080"/>
            </w:tcBorders>
            <w:shd w:val="clear" w:color="auto" w:fill="auto"/>
            <w:vAlign w:val="center"/>
            <w:hideMark/>
          </w:tcPr>
          <w:p w:rsidR="009836BE" w:rsidRPr="00D56C84" w:rsidRDefault="00DF51FB" w:rsidP="009836BE">
            <w:pPr>
              <w:pStyle w:val="TableText"/>
              <w:rPr>
                <w:lang w:eastAsia="en-AU"/>
              </w:rPr>
            </w:pPr>
            <w:r>
              <w:rPr>
                <w:lang w:eastAsia="en-AU"/>
              </w:rPr>
              <w:t>W</w:t>
            </w:r>
            <w:r w:rsidR="009836BE" w:rsidRPr="00D56C84">
              <w:rPr>
                <w:lang w:eastAsia="en-AU"/>
              </w:rPr>
              <w:t>aste/ recycling/ organics collected (tonnes)</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DB4D47">
        <w:trPr>
          <w:trHeight w:val="326"/>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tcBorders>
              <w:top w:val="single" w:sz="4" w:space="0" w:color="808080"/>
            </w:tcBorders>
            <w:shd w:val="clear" w:color="auto" w:fill="auto"/>
            <w:vAlign w:val="center"/>
            <w:hideMark/>
          </w:tcPr>
          <w:p w:rsidR="009836BE" w:rsidRPr="00D56C84" w:rsidRDefault="007815AA" w:rsidP="007815AA">
            <w:pPr>
              <w:pStyle w:val="TableText"/>
              <w:rPr>
                <w:lang w:eastAsia="en-AU"/>
              </w:rPr>
            </w:pPr>
            <w:r>
              <w:rPr>
                <w:lang w:eastAsia="en-AU"/>
              </w:rPr>
              <w:t>R</w:t>
            </w:r>
            <w:r w:rsidR="009836BE" w:rsidRPr="00D56C84">
              <w:rPr>
                <w:lang w:eastAsia="en-AU"/>
              </w:rPr>
              <w:t>ecycling/ organics processed (tonnes)</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34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Amount of contaminants (tonnes)</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Waste management infrastructure</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Waste management charges</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Hard waste services</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Litter/ illegal dumping</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Street sweeping</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39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Commercial &amp; Industrial Recyclables </w:t>
            </w:r>
          </w:p>
        </w:tc>
        <w:tc>
          <w:tcPr>
            <w:tcW w:w="5002"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343"/>
        </w:trPr>
        <w:tc>
          <w:tcPr>
            <w:tcW w:w="1395" w:type="dxa"/>
            <w:vMerge w:val="restart"/>
            <w:shd w:val="clear" w:color="auto" w:fill="auto"/>
            <w:vAlign w:val="center"/>
            <w:hideMark/>
          </w:tcPr>
          <w:p w:rsidR="009836BE" w:rsidRPr="00D56C84" w:rsidRDefault="007815AA" w:rsidP="007815AA">
            <w:pPr>
              <w:pStyle w:val="TableText"/>
              <w:rPr>
                <w:lang w:eastAsia="en-AU"/>
              </w:rPr>
            </w:pPr>
            <w:r w:rsidRPr="007815AA">
              <w:rPr>
                <w:lang w:eastAsia="en-AU"/>
              </w:rPr>
              <w:t>Department of Pla</w:t>
            </w:r>
            <w:r>
              <w:rPr>
                <w:lang w:eastAsia="en-AU"/>
              </w:rPr>
              <w:t>nning and Community Development</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Local government annual reports</w:t>
            </w:r>
          </w:p>
        </w:tc>
        <w:tc>
          <w:tcPr>
            <w:tcW w:w="35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Reporting template not supplied</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Waste management expenditure (aggregated)</w:t>
            </w:r>
          </w:p>
        </w:tc>
        <w:tc>
          <w:tcPr>
            <w:tcW w:w="2740" w:type="dxa"/>
            <w:vMerge w:val="restart"/>
            <w:shd w:val="clear" w:color="auto" w:fill="auto"/>
            <w:vAlign w:val="center"/>
            <w:hideMark/>
          </w:tcPr>
          <w:p w:rsidR="009836BE" w:rsidRPr="00D56C84" w:rsidRDefault="009836BE" w:rsidP="009836BE">
            <w:pPr>
              <w:pStyle w:val="TableText"/>
              <w:rPr>
                <w:lang w:eastAsia="en-AU"/>
              </w:rPr>
            </w:pPr>
            <w:r w:rsidRPr="00DF1255">
              <w:rPr>
                <w:i/>
                <w:lang w:eastAsia="en-AU"/>
              </w:rPr>
              <w:t>Local Government in Victoria</w:t>
            </w:r>
            <w:r w:rsidRPr="00D56C84">
              <w:rPr>
                <w:lang w:eastAsia="en-AU"/>
              </w:rPr>
              <w:t xml:space="preserve"> annual report</w:t>
            </w:r>
          </w:p>
        </w:tc>
      </w:tr>
      <w:tr w:rsidR="009836BE" w:rsidRPr="00D56C84" w:rsidTr="009836BE">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Selected council specific data</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rPr>
        <w:tc>
          <w:tcPr>
            <w:tcW w:w="13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Victorian Grants Commission</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Information return</w:t>
            </w:r>
          </w:p>
        </w:tc>
        <w:tc>
          <w:tcPr>
            <w:tcW w:w="35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Reporting template not supplied</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Net Standardised Expenditure - Waste Management ($)</w:t>
            </w:r>
          </w:p>
        </w:tc>
        <w:tc>
          <w:tcPr>
            <w:tcW w:w="2740" w:type="dxa"/>
            <w:vMerge w:val="restart"/>
            <w:shd w:val="clear" w:color="auto" w:fill="auto"/>
            <w:vAlign w:val="center"/>
            <w:hideMark/>
          </w:tcPr>
          <w:p w:rsidR="009836BE" w:rsidRPr="00D56C84" w:rsidRDefault="009836BE" w:rsidP="009836BE">
            <w:pPr>
              <w:pStyle w:val="TableText"/>
              <w:rPr>
                <w:lang w:eastAsia="en-AU"/>
              </w:rPr>
            </w:pPr>
            <w:r w:rsidRPr="007815AA">
              <w:rPr>
                <w:i/>
                <w:lang w:eastAsia="en-AU"/>
              </w:rPr>
              <w:t>Victoria Grants Commission Annual Report</w:t>
            </w:r>
            <w:r w:rsidRPr="00D56C84">
              <w:rPr>
                <w:lang w:eastAsia="en-AU"/>
              </w:rPr>
              <w:t xml:space="preserve"> (latest available 2009-10)</w:t>
            </w:r>
          </w:p>
        </w:tc>
      </w:tr>
      <w:tr w:rsidR="009836BE" w:rsidRPr="00D56C84" w:rsidTr="00903DC1">
        <w:trPr>
          <w:trHeight w:val="319"/>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Standardised Fees and Charges - Waste Management ($)</w:t>
            </w:r>
          </w:p>
        </w:tc>
        <w:tc>
          <w:tcPr>
            <w:tcW w:w="2740" w:type="dxa"/>
            <w:vMerge/>
            <w:shd w:val="clear" w:color="auto" w:fill="auto"/>
            <w:vAlign w:val="center"/>
            <w:hideMark/>
          </w:tcPr>
          <w:p w:rsidR="009836BE" w:rsidRPr="00D56C84" w:rsidRDefault="009836BE" w:rsidP="009836BE">
            <w:pPr>
              <w:pStyle w:val="TableText"/>
              <w:rPr>
                <w:lang w:eastAsia="en-AU"/>
              </w:rPr>
            </w:pPr>
          </w:p>
        </w:tc>
      </w:tr>
    </w:tbl>
    <w:p w:rsidR="009836BE" w:rsidRDefault="009836BE" w:rsidP="00D56C84">
      <w:pPr>
        <w:spacing w:after="0" w:line="240" w:lineRule="auto"/>
        <w:ind w:left="0"/>
      </w:pPr>
    </w:p>
    <w:tbl>
      <w:tblPr>
        <w:tblW w:w="14368"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5012"/>
        <w:gridCol w:w="3969"/>
        <w:gridCol w:w="2552"/>
      </w:tblGrid>
      <w:tr w:rsidR="009836BE" w:rsidRPr="00D56C84" w:rsidTr="007815AA">
        <w:trPr>
          <w:trHeight w:val="494"/>
          <w:tblHeader/>
        </w:trPr>
        <w:tc>
          <w:tcPr>
            <w:tcW w:w="1395" w:type="dxa"/>
            <w:shd w:val="clear" w:color="auto" w:fill="auto"/>
            <w:vAlign w:val="center"/>
            <w:hideMark/>
          </w:tcPr>
          <w:p w:rsidR="009836BE" w:rsidRPr="00D56C84" w:rsidRDefault="009836BE" w:rsidP="009836BE">
            <w:pPr>
              <w:pStyle w:val="TableText"/>
              <w:rPr>
                <w:b/>
                <w:lang w:eastAsia="en-AU"/>
              </w:rPr>
            </w:pPr>
            <w:r w:rsidRPr="00D56C84">
              <w:rPr>
                <w:b/>
                <w:lang w:eastAsia="en-AU"/>
              </w:rPr>
              <w:t>Queensland</w:t>
            </w:r>
          </w:p>
        </w:tc>
        <w:tc>
          <w:tcPr>
            <w:tcW w:w="1440" w:type="dxa"/>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p>
        </w:tc>
        <w:tc>
          <w:tcPr>
            <w:tcW w:w="3969" w:type="dxa"/>
            <w:shd w:val="clear" w:color="auto" w:fill="auto"/>
            <w:vAlign w:val="center"/>
            <w:hideMark/>
          </w:tcPr>
          <w:p w:rsidR="009836BE" w:rsidRPr="00D56C84" w:rsidRDefault="009836BE" w:rsidP="009836BE">
            <w:pPr>
              <w:pStyle w:val="TableText"/>
              <w:rPr>
                <w:lang w:eastAsia="en-AU"/>
              </w:rPr>
            </w:pPr>
          </w:p>
        </w:tc>
        <w:tc>
          <w:tcPr>
            <w:tcW w:w="2552" w:type="dxa"/>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510"/>
          <w:tblHeader/>
        </w:trPr>
        <w:tc>
          <w:tcPr>
            <w:tcW w:w="1395" w:type="dxa"/>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5012"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3969"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552"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7815AA" w:rsidRPr="00D56C84" w:rsidTr="007815AA">
        <w:trPr>
          <w:trHeight w:val="365"/>
        </w:trPr>
        <w:tc>
          <w:tcPr>
            <w:tcW w:w="1395" w:type="dxa"/>
            <w:vMerge w:val="restart"/>
            <w:shd w:val="clear" w:color="auto" w:fill="auto"/>
            <w:vAlign w:val="center"/>
            <w:hideMark/>
          </w:tcPr>
          <w:p w:rsidR="007815AA" w:rsidRPr="00D56C84" w:rsidRDefault="007815AA" w:rsidP="009836BE">
            <w:pPr>
              <w:pStyle w:val="TableText"/>
              <w:rPr>
                <w:lang w:eastAsia="en-AU"/>
              </w:rPr>
            </w:pPr>
            <w:r w:rsidRPr="00D56C84">
              <w:rPr>
                <w:lang w:eastAsia="en-AU"/>
              </w:rPr>
              <w:t>D</w:t>
            </w:r>
            <w:r>
              <w:rPr>
                <w:lang w:eastAsia="en-AU"/>
              </w:rPr>
              <w:t>epartment of Environment and Resource Management (D</w:t>
            </w:r>
            <w:r w:rsidRPr="00D56C84">
              <w:rPr>
                <w:lang w:eastAsia="en-AU"/>
              </w:rPr>
              <w:t>ERM</w:t>
            </w:r>
            <w:r>
              <w:rPr>
                <w:lang w:eastAsia="en-AU"/>
              </w:rPr>
              <w:t>)</w:t>
            </w:r>
          </w:p>
        </w:tc>
        <w:tc>
          <w:tcPr>
            <w:tcW w:w="1440" w:type="dxa"/>
            <w:vMerge w:val="restart"/>
            <w:shd w:val="clear" w:color="auto" w:fill="auto"/>
            <w:vAlign w:val="center"/>
            <w:hideMark/>
          </w:tcPr>
          <w:p w:rsidR="007815AA" w:rsidRPr="00D56C84" w:rsidRDefault="007815AA" w:rsidP="009836BE">
            <w:pPr>
              <w:pStyle w:val="TableText"/>
              <w:rPr>
                <w:lang w:eastAsia="en-AU"/>
              </w:rPr>
            </w:pPr>
            <w:r w:rsidRPr="00D56C84">
              <w:rPr>
                <w:lang w:eastAsia="en-AU"/>
              </w:rPr>
              <w:t>Annual Waste and Recycling Survey</w:t>
            </w: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Collections offered and frequencies</w:t>
            </w:r>
          </w:p>
        </w:tc>
        <w:tc>
          <w:tcPr>
            <w:tcW w:w="3969" w:type="dxa"/>
            <w:shd w:val="clear" w:color="auto" w:fill="auto"/>
            <w:vAlign w:val="center"/>
            <w:hideMark/>
          </w:tcPr>
          <w:p w:rsidR="007815AA" w:rsidRPr="00D56C84" w:rsidRDefault="007815AA" w:rsidP="009836BE">
            <w:pPr>
              <w:pStyle w:val="TableText"/>
              <w:rPr>
                <w:lang w:eastAsia="en-AU"/>
              </w:rPr>
            </w:pPr>
            <w:r w:rsidRPr="00D56C84">
              <w:rPr>
                <w:lang w:eastAsia="en-AU"/>
              </w:rPr>
              <w:t>Collections offered</w:t>
            </w:r>
          </w:p>
        </w:tc>
        <w:tc>
          <w:tcPr>
            <w:tcW w:w="2552" w:type="dxa"/>
            <w:vMerge w:val="restart"/>
            <w:shd w:val="clear" w:color="auto" w:fill="auto"/>
            <w:vAlign w:val="center"/>
            <w:hideMark/>
          </w:tcPr>
          <w:p w:rsidR="007815AA" w:rsidRPr="007815AA" w:rsidRDefault="007815AA" w:rsidP="009836BE">
            <w:pPr>
              <w:pStyle w:val="TableText"/>
              <w:rPr>
                <w:i/>
                <w:lang w:eastAsia="en-AU"/>
              </w:rPr>
            </w:pPr>
            <w:r w:rsidRPr="007815AA">
              <w:rPr>
                <w:i/>
                <w:lang w:eastAsia="en-AU"/>
              </w:rPr>
              <w:t>The State of Waste and Recycling in Queensland 2008 Technical Report</w:t>
            </w:r>
          </w:p>
        </w:tc>
      </w:tr>
      <w:tr w:rsidR="007815AA" w:rsidRPr="00D56C84" w:rsidTr="007815AA">
        <w:trPr>
          <w:trHeight w:val="273"/>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Number of properties serviced</w:t>
            </w:r>
          </w:p>
        </w:tc>
        <w:tc>
          <w:tcPr>
            <w:tcW w:w="3969" w:type="dxa"/>
            <w:shd w:val="clear" w:color="auto" w:fill="auto"/>
            <w:vAlign w:val="center"/>
            <w:hideMark/>
          </w:tcPr>
          <w:p w:rsidR="007815AA" w:rsidRPr="00D56C84" w:rsidRDefault="007815AA" w:rsidP="009836BE">
            <w:pPr>
              <w:pStyle w:val="TableText"/>
              <w:rPr>
                <w:lang w:eastAsia="en-AU"/>
              </w:rPr>
            </w:pPr>
            <w:r w:rsidRPr="00D56C84">
              <w:rPr>
                <w:lang w:eastAsia="en-AU"/>
              </w:rPr>
              <w:t>Number of households with waste collection</w:t>
            </w: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328"/>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Amount of waste/ recycling/ green</w:t>
            </w:r>
            <w:r>
              <w:rPr>
                <w:lang w:eastAsia="en-AU"/>
              </w:rPr>
              <w:t xml:space="preserve"> </w:t>
            </w:r>
            <w:r w:rsidRPr="00D56C84">
              <w:rPr>
                <w:lang w:eastAsia="en-AU"/>
              </w:rPr>
              <w:t>waste collected</w:t>
            </w:r>
          </w:p>
        </w:tc>
        <w:tc>
          <w:tcPr>
            <w:tcW w:w="3969" w:type="dxa"/>
            <w:shd w:val="clear" w:color="auto" w:fill="auto"/>
            <w:vAlign w:val="center"/>
            <w:hideMark/>
          </w:tcPr>
          <w:p w:rsidR="007815AA" w:rsidRPr="00D56C84" w:rsidRDefault="007815AA" w:rsidP="009836BE">
            <w:pPr>
              <w:pStyle w:val="TableText"/>
              <w:rPr>
                <w:lang w:eastAsia="en-AU"/>
              </w:rPr>
            </w:pPr>
            <w:r w:rsidRPr="00D56C84">
              <w:rPr>
                <w:lang w:eastAsia="en-AU"/>
              </w:rPr>
              <w:t>Number of households with kerbside recycling</w:t>
            </w: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32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 xml:space="preserve">Amount of waste landfilled or incinerated </w:t>
            </w:r>
          </w:p>
        </w:tc>
        <w:tc>
          <w:tcPr>
            <w:tcW w:w="3969" w:type="dxa"/>
            <w:shd w:val="clear" w:color="auto" w:fill="auto"/>
            <w:vAlign w:val="center"/>
            <w:hideMark/>
          </w:tcPr>
          <w:p w:rsidR="007815AA" w:rsidRPr="00D56C84" w:rsidRDefault="007815AA" w:rsidP="009836BE">
            <w:pPr>
              <w:pStyle w:val="TableText"/>
              <w:rPr>
                <w:lang w:eastAsia="en-AU"/>
              </w:rPr>
            </w:pPr>
            <w:r w:rsidRPr="00D56C84">
              <w:rPr>
                <w:lang w:eastAsia="en-AU"/>
              </w:rPr>
              <w:t>Number of recycling drop off points</w:t>
            </w: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359"/>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Amount of material reprocessed</w:t>
            </w:r>
          </w:p>
        </w:tc>
        <w:tc>
          <w:tcPr>
            <w:tcW w:w="3969" w:type="dxa"/>
            <w:shd w:val="clear" w:color="auto" w:fill="auto"/>
            <w:vAlign w:val="center"/>
            <w:hideMark/>
          </w:tcPr>
          <w:p w:rsidR="007815AA" w:rsidRPr="00D56C84" w:rsidRDefault="007815AA" w:rsidP="009836BE">
            <w:pPr>
              <w:pStyle w:val="TableText"/>
              <w:rPr>
                <w:lang w:eastAsia="en-AU"/>
              </w:rPr>
            </w:pPr>
            <w:r w:rsidRPr="00D56C84">
              <w:rPr>
                <w:lang w:eastAsia="en-AU"/>
              </w:rPr>
              <w:t>Recycling bins in public places</w:t>
            </w: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343"/>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Reprocessing/ recovery methods and facilities</w:t>
            </w:r>
          </w:p>
        </w:tc>
        <w:tc>
          <w:tcPr>
            <w:tcW w:w="3969" w:type="dxa"/>
            <w:vMerge w:val="restart"/>
            <w:shd w:val="clear" w:color="auto" w:fill="auto"/>
            <w:vAlign w:val="center"/>
            <w:hideMark/>
          </w:tcPr>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tc>
        <w:tc>
          <w:tcPr>
            <w:tcW w:w="2552" w:type="dxa"/>
            <w:vMerge w:val="restart"/>
            <w:shd w:val="clear" w:color="auto" w:fill="auto"/>
            <w:vAlign w:val="center"/>
            <w:hideMark/>
          </w:tcPr>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p w:rsidR="007815AA" w:rsidRPr="00D56C84" w:rsidRDefault="007815AA" w:rsidP="009836BE">
            <w:pPr>
              <w:pStyle w:val="TableText"/>
              <w:rPr>
                <w:lang w:eastAsia="en-AU"/>
              </w:rPr>
            </w:pPr>
            <w:r w:rsidRPr="00D56C84">
              <w:rPr>
                <w:lang w:eastAsia="en-AU"/>
              </w:rPr>
              <w:t> </w:t>
            </w: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Street collections/ Litter/ illegal dumping</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41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Average annual waste management costs ($/per household)</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41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Average annual waste management fees ($/per household)</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60"/>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Self-Hauled Domestic Waste and Large Item Collection</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proofErr w:type="spellStart"/>
            <w:r w:rsidRPr="00D56C84">
              <w:rPr>
                <w:lang w:eastAsia="en-AU"/>
              </w:rPr>
              <w:t>Biosolids</w:t>
            </w:r>
            <w:proofErr w:type="spellEnd"/>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Clean fill</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68"/>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 xml:space="preserve">Contaminated and Acid </w:t>
            </w:r>
            <w:proofErr w:type="spellStart"/>
            <w:r w:rsidRPr="00D56C84">
              <w:rPr>
                <w:lang w:eastAsia="en-AU"/>
              </w:rPr>
              <w:t>Suplhate</w:t>
            </w:r>
            <w:proofErr w:type="spellEnd"/>
            <w:r w:rsidRPr="00D56C84">
              <w:rPr>
                <w:lang w:eastAsia="en-AU"/>
              </w:rPr>
              <w:t xml:space="preserve"> Soils</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303"/>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Construction and Demolition Waste</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3"/>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Commercial and Industrial Waste</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Tyres / Mineral (motor) Oil/ Lead Acid Batteries</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Asbestos / Clinical Waste / Electronic Waste</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Household, farm or industrial hazardous chemicals</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79"/>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Cross boundary waste movements</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7815AA" w:rsidRPr="00D56C84" w:rsidTr="007815AA">
        <w:trPr>
          <w:trHeight w:val="255"/>
        </w:trPr>
        <w:tc>
          <w:tcPr>
            <w:tcW w:w="1395" w:type="dxa"/>
            <w:vMerge/>
            <w:shd w:val="clear" w:color="auto" w:fill="auto"/>
            <w:vAlign w:val="center"/>
            <w:hideMark/>
          </w:tcPr>
          <w:p w:rsidR="007815AA" w:rsidRPr="00D56C84" w:rsidRDefault="007815AA" w:rsidP="009836BE">
            <w:pPr>
              <w:pStyle w:val="TableText"/>
              <w:rPr>
                <w:lang w:eastAsia="en-AU"/>
              </w:rPr>
            </w:pPr>
          </w:p>
        </w:tc>
        <w:tc>
          <w:tcPr>
            <w:tcW w:w="1440" w:type="dxa"/>
            <w:vMerge/>
            <w:shd w:val="clear" w:color="auto" w:fill="auto"/>
            <w:vAlign w:val="center"/>
            <w:hideMark/>
          </w:tcPr>
          <w:p w:rsidR="007815AA" w:rsidRPr="00D56C84" w:rsidRDefault="007815AA" w:rsidP="009836BE">
            <w:pPr>
              <w:pStyle w:val="TableText"/>
              <w:rPr>
                <w:lang w:eastAsia="en-AU"/>
              </w:rPr>
            </w:pPr>
          </w:p>
        </w:tc>
        <w:tc>
          <w:tcPr>
            <w:tcW w:w="5012" w:type="dxa"/>
            <w:shd w:val="clear" w:color="auto" w:fill="auto"/>
            <w:vAlign w:val="center"/>
            <w:hideMark/>
          </w:tcPr>
          <w:p w:rsidR="007815AA" w:rsidRPr="00D56C84" w:rsidRDefault="007815AA" w:rsidP="009836BE">
            <w:pPr>
              <w:pStyle w:val="TableText"/>
              <w:rPr>
                <w:lang w:eastAsia="en-AU"/>
              </w:rPr>
            </w:pPr>
            <w:r w:rsidRPr="00D56C84">
              <w:rPr>
                <w:lang w:eastAsia="en-AU"/>
              </w:rPr>
              <w:t>Waste Management Initiatives</w:t>
            </w:r>
          </w:p>
        </w:tc>
        <w:tc>
          <w:tcPr>
            <w:tcW w:w="3969" w:type="dxa"/>
            <w:vMerge/>
            <w:shd w:val="clear" w:color="auto" w:fill="auto"/>
            <w:vAlign w:val="center"/>
            <w:hideMark/>
          </w:tcPr>
          <w:p w:rsidR="007815AA" w:rsidRPr="00D56C84" w:rsidRDefault="007815AA" w:rsidP="009836BE">
            <w:pPr>
              <w:pStyle w:val="TableText"/>
              <w:rPr>
                <w:lang w:eastAsia="en-AU"/>
              </w:rPr>
            </w:pPr>
          </w:p>
        </w:tc>
        <w:tc>
          <w:tcPr>
            <w:tcW w:w="2552" w:type="dxa"/>
            <w:vMerge/>
            <w:shd w:val="clear" w:color="auto" w:fill="auto"/>
            <w:vAlign w:val="center"/>
            <w:hideMark/>
          </w:tcPr>
          <w:p w:rsidR="007815AA" w:rsidRPr="00D56C84" w:rsidRDefault="007815AA" w:rsidP="009836BE">
            <w:pPr>
              <w:pStyle w:val="TableText"/>
              <w:rPr>
                <w:lang w:eastAsia="en-AU"/>
              </w:rPr>
            </w:pPr>
          </w:p>
        </w:tc>
      </w:tr>
      <w:tr w:rsidR="009836BE" w:rsidRPr="00D56C84" w:rsidTr="007815AA">
        <w:trPr>
          <w:trHeight w:val="510"/>
        </w:trPr>
        <w:tc>
          <w:tcPr>
            <w:tcW w:w="1395" w:type="dxa"/>
            <w:vMerge w:val="restart"/>
            <w:shd w:val="clear" w:color="auto" w:fill="auto"/>
            <w:vAlign w:val="center"/>
            <w:hideMark/>
          </w:tcPr>
          <w:p w:rsidR="009836BE" w:rsidRPr="00D56C84" w:rsidRDefault="007815AA" w:rsidP="009836BE">
            <w:pPr>
              <w:pStyle w:val="TableText"/>
              <w:rPr>
                <w:lang w:eastAsia="en-AU"/>
              </w:rPr>
            </w:pPr>
            <w:r w:rsidRPr="007815AA">
              <w:rPr>
                <w:lang w:eastAsia="en-AU"/>
              </w:rPr>
              <w:t>Department of Local Government and Planning</w:t>
            </w:r>
            <w:r>
              <w:rPr>
                <w:lang w:eastAsia="en-AU"/>
              </w:rPr>
              <w:t>(</w:t>
            </w:r>
            <w:r w:rsidR="009836BE" w:rsidRPr="00D56C84">
              <w:rPr>
                <w:lang w:eastAsia="en-AU"/>
              </w:rPr>
              <w:t>DLGP</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data collection instrument</w:t>
            </w: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waste collection costs ($000)</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Total waste collection costs ($000)</w:t>
            </w:r>
          </w:p>
        </w:tc>
        <w:tc>
          <w:tcPr>
            <w:tcW w:w="2552" w:type="dxa"/>
            <w:vMerge w:val="restart"/>
            <w:shd w:val="clear" w:color="auto" w:fill="auto"/>
            <w:vAlign w:val="center"/>
            <w:hideMark/>
          </w:tcPr>
          <w:p w:rsidR="009836BE" w:rsidRPr="00D56C84" w:rsidRDefault="009836BE" w:rsidP="009836BE">
            <w:pPr>
              <w:pStyle w:val="TableText"/>
              <w:rPr>
                <w:lang w:eastAsia="en-AU"/>
              </w:rPr>
            </w:pPr>
            <w:r w:rsidRPr="007815AA">
              <w:rPr>
                <w:i/>
                <w:lang w:eastAsia="en-AU"/>
              </w:rPr>
              <w:t xml:space="preserve">Queensland local government comparative information annual report </w:t>
            </w:r>
            <w:r w:rsidRPr="00D56C84">
              <w:rPr>
                <w:lang w:eastAsia="en-AU"/>
              </w:rPr>
              <w:t>(latest available 2008-09)</w:t>
            </w:r>
          </w:p>
        </w:tc>
      </w:tr>
      <w:tr w:rsidR="009836BE" w:rsidRPr="00D56C84" w:rsidTr="007815AA">
        <w:trPr>
          <w:trHeight w:val="451"/>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number of residential properties serviced</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Total number of residential properties serviced</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number of bins serviced</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Total number of bins serviced</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337"/>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tonnage of domestic waste collected</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Total tonnage of domestic waste collected</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286"/>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Number of services provided per property per week</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Number of services provided per property per week</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277"/>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Waste bin type (split / non-split / galvanised)</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Waste bin type (split / non-split / galvanised)</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815AA">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Waste bin size (litres)</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Waste bin size (litres)</w:t>
            </w:r>
          </w:p>
        </w:tc>
        <w:tc>
          <w:tcPr>
            <w:tcW w:w="2552" w:type="dxa"/>
            <w:vMerge/>
            <w:shd w:val="clear" w:color="auto" w:fill="auto"/>
            <w:vAlign w:val="center"/>
            <w:hideMark/>
          </w:tcPr>
          <w:p w:rsidR="009836BE" w:rsidRPr="00D56C84" w:rsidRDefault="009836BE" w:rsidP="009836BE">
            <w:pPr>
              <w:pStyle w:val="TableText"/>
              <w:rPr>
                <w:lang w:eastAsia="en-AU"/>
              </w:rPr>
            </w:pPr>
          </w:p>
        </w:tc>
      </w:tr>
    </w:tbl>
    <w:p w:rsidR="009836BE" w:rsidRDefault="009836BE" w:rsidP="00D56C84">
      <w:pPr>
        <w:spacing w:after="0" w:line="240" w:lineRule="auto"/>
        <w:ind w:left="0"/>
      </w:pPr>
    </w:p>
    <w:tbl>
      <w:tblPr>
        <w:tblW w:w="14368"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5012"/>
        <w:gridCol w:w="3969"/>
        <w:gridCol w:w="2552"/>
      </w:tblGrid>
      <w:tr w:rsidR="009836BE" w:rsidRPr="00D56C84" w:rsidTr="00776610">
        <w:trPr>
          <w:trHeight w:val="255"/>
          <w:tblHeader/>
        </w:trPr>
        <w:tc>
          <w:tcPr>
            <w:tcW w:w="1395" w:type="dxa"/>
            <w:shd w:val="clear" w:color="auto" w:fill="auto"/>
            <w:vAlign w:val="center"/>
            <w:hideMark/>
          </w:tcPr>
          <w:p w:rsidR="009836BE" w:rsidRPr="00D56C84" w:rsidRDefault="009836BE" w:rsidP="009836BE">
            <w:pPr>
              <w:pStyle w:val="TableText"/>
              <w:rPr>
                <w:b/>
                <w:lang w:eastAsia="en-AU"/>
              </w:rPr>
            </w:pPr>
            <w:r w:rsidRPr="00D56C84">
              <w:rPr>
                <w:b/>
                <w:lang w:eastAsia="en-AU"/>
              </w:rPr>
              <w:t>South Australia</w:t>
            </w:r>
          </w:p>
        </w:tc>
        <w:tc>
          <w:tcPr>
            <w:tcW w:w="1440" w:type="dxa"/>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p>
        </w:tc>
        <w:tc>
          <w:tcPr>
            <w:tcW w:w="3969" w:type="dxa"/>
            <w:shd w:val="clear" w:color="auto" w:fill="auto"/>
            <w:vAlign w:val="center"/>
            <w:hideMark/>
          </w:tcPr>
          <w:p w:rsidR="009836BE" w:rsidRPr="00D56C84" w:rsidRDefault="009836BE" w:rsidP="009836BE">
            <w:pPr>
              <w:pStyle w:val="TableText"/>
              <w:rPr>
                <w:lang w:eastAsia="en-AU"/>
              </w:rPr>
            </w:pPr>
          </w:p>
        </w:tc>
        <w:tc>
          <w:tcPr>
            <w:tcW w:w="2552" w:type="dxa"/>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510"/>
          <w:tblHeader/>
        </w:trPr>
        <w:tc>
          <w:tcPr>
            <w:tcW w:w="1395" w:type="dxa"/>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5012"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3969"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552"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9836BE" w:rsidRPr="00D56C84" w:rsidTr="00776610">
        <w:trPr>
          <w:trHeight w:val="386"/>
        </w:trPr>
        <w:tc>
          <w:tcPr>
            <w:tcW w:w="1395" w:type="dxa"/>
            <w:vMerge w:val="restart"/>
            <w:shd w:val="clear" w:color="auto" w:fill="auto"/>
            <w:vAlign w:val="center"/>
            <w:hideMark/>
          </w:tcPr>
          <w:p w:rsidR="009836BE" w:rsidRPr="00D56C84" w:rsidRDefault="007815AA" w:rsidP="007815AA">
            <w:pPr>
              <w:pStyle w:val="TableText"/>
              <w:rPr>
                <w:lang w:eastAsia="en-AU"/>
              </w:rPr>
            </w:pPr>
            <w:r>
              <w:rPr>
                <w:lang w:eastAsia="en-AU"/>
              </w:rPr>
              <w:t>Local Government Association of South Australia (LGASA)</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“General Information Return”</w:t>
            </w: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Number of properties serviced</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Waste Management Expenditure ($000's) </w:t>
            </w:r>
          </w:p>
        </w:tc>
        <w:tc>
          <w:tcPr>
            <w:tcW w:w="2552" w:type="dxa"/>
            <w:vMerge w:val="restart"/>
            <w:shd w:val="clear" w:color="auto" w:fill="auto"/>
            <w:hideMark/>
          </w:tcPr>
          <w:p w:rsidR="009836BE" w:rsidRPr="00D56C84" w:rsidRDefault="009836BE" w:rsidP="00776610">
            <w:pPr>
              <w:pStyle w:val="TableText"/>
              <w:rPr>
                <w:lang w:eastAsia="en-AU"/>
              </w:rPr>
            </w:pPr>
            <w:r w:rsidRPr="00D56C84">
              <w:rPr>
                <w:lang w:eastAsia="en-AU"/>
              </w:rPr>
              <w:t xml:space="preserve">Local Government Association of South Australia, </w:t>
            </w:r>
            <w:r w:rsidRPr="007815AA">
              <w:rPr>
                <w:i/>
                <w:lang w:eastAsia="en-AU"/>
              </w:rPr>
              <w:t>Performance Measurement Data</w:t>
            </w:r>
            <w:r w:rsidRPr="00D56C84">
              <w:rPr>
                <w:lang w:eastAsia="en-AU"/>
              </w:rPr>
              <w:t xml:space="preserve"> (available online)</w:t>
            </w:r>
          </w:p>
        </w:tc>
      </w:tr>
      <w:tr w:rsidR="009836BE" w:rsidRPr="00D56C84" w:rsidTr="00776610">
        <w:trPr>
          <w:trHeight w:val="279"/>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Services offered to residential properties</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Waste to landfill (tones) </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329"/>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Services offered to commercial/industrial properties</w:t>
            </w:r>
          </w:p>
        </w:tc>
        <w:tc>
          <w:tcPr>
            <w:tcW w:w="3969" w:type="dxa"/>
            <w:shd w:val="clear" w:color="auto" w:fill="auto"/>
            <w:vAlign w:val="center"/>
            <w:hideMark/>
          </w:tcPr>
          <w:p w:rsidR="009836BE" w:rsidRPr="00D56C84" w:rsidRDefault="009836BE" w:rsidP="009836BE">
            <w:pPr>
              <w:pStyle w:val="TableText"/>
              <w:rPr>
                <w:lang w:eastAsia="en-AU"/>
              </w:rPr>
            </w:pPr>
            <w:r w:rsidRPr="00D56C84">
              <w:rPr>
                <w:lang w:eastAsia="en-AU"/>
              </w:rPr>
              <w:t>Community satisfaction with provision of waste</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756"/>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Amount of waste/ recycling/ organics/ hard waste/ hazardous waste collected annually (tonnes)</w:t>
            </w:r>
          </w:p>
        </w:tc>
        <w:tc>
          <w:tcPr>
            <w:tcW w:w="3969"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lastRenderedPageBreak/>
              <w:t> </w:t>
            </w: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413"/>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Collection routes (distance and average pick-ups per hour)</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Contractor information</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311"/>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Amount of waste landfilled (tonnes)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34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Amount of waste diverted (tonnes)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Landfills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765"/>
        </w:trPr>
        <w:tc>
          <w:tcPr>
            <w:tcW w:w="13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Zero Waste SA</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Kerbside Performance Reporting</w:t>
            </w: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annual yields of recyclables, organics and residual waste (tonnes)</w:t>
            </w:r>
          </w:p>
        </w:tc>
        <w:tc>
          <w:tcPr>
            <w:tcW w:w="3969"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c>
          <w:tcPr>
            <w:tcW w:w="2552"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r>
      <w:tr w:rsidR="009836BE" w:rsidRPr="00D56C84" w:rsidTr="00776610">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Collection services offered, including frequencies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Number of tenements serviced</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Bin types and sizes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Total annual costs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Hard Waste services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Participation rates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Waste audit data</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Zero Waste SA</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ZEUS</w:t>
            </w: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Kerbside waste</w:t>
            </w:r>
          </w:p>
        </w:tc>
        <w:tc>
          <w:tcPr>
            <w:tcW w:w="3969"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c>
          <w:tcPr>
            <w:tcW w:w="2552"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r>
      <w:tr w:rsidR="009836BE" w:rsidRPr="00D56C84" w:rsidTr="00776610">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Construction and Demolition Waste</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Commercial &amp; Industrial Waste</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Hazardous Waste</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Illegally Dumped Waste</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Landfills</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r w:rsidR="009836BE" w:rsidRPr="00D56C84" w:rsidTr="00776610">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012" w:type="dxa"/>
            <w:shd w:val="clear" w:color="auto" w:fill="auto"/>
            <w:vAlign w:val="center"/>
            <w:hideMark/>
          </w:tcPr>
          <w:p w:rsidR="009836BE" w:rsidRPr="00D56C84" w:rsidRDefault="009836BE" w:rsidP="009836BE">
            <w:pPr>
              <w:pStyle w:val="TableText"/>
              <w:rPr>
                <w:lang w:eastAsia="en-AU"/>
              </w:rPr>
            </w:pPr>
            <w:r w:rsidRPr="00D56C84">
              <w:rPr>
                <w:lang w:eastAsia="en-AU"/>
              </w:rPr>
              <w:t>Litter</w:t>
            </w:r>
          </w:p>
        </w:tc>
        <w:tc>
          <w:tcPr>
            <w:tcW w:w="3969" w:type="dxa"/>
            <w:vMerge/>
            <w:shd w:val="clear" w:color="auto" w:fill="auto"/>
            <w:vAlign w:val="center"/>
            <w:hideMark/>
          </w:tcPr>
          <w:p w:rsidR="009836BE" w:rsidRPr="00D56C84" w:rsidRDefault="009836BE" w:rsidP="009836BE">
            <w:pPr>
              <w:pStyle w:val="TableText"/>
              <w:rPr>
                <w:lang w:eastAsia="en-AU"/>
              </w:rPr>
            </w:pPr>
          </w:p>
        </w:tc>
        <w:tc>
          <w:tcPr>
            <w:tcW w:w="2552" w:type="dxa"/>
            <w:vMerge/>
            <w:shd w:val="clear" w:color="auto" w:fill="auto"/>
            <w:vAlign w:val="center"/>
            <w:hideMark/>
          </w:tcPr>
          <w:p w:rsidR="009836BE" w:rsidRPr="00D56C84" w:rsidRDefault="009836BE" w:rsidP="009836BE">
            <w:pPr>
              <w:pStyle w:val="TableText"/>
              <w:rPr>
                <w:lang w:eastAsia="en-AU"/>
              </w:rPr>
            </w:pPr>
          </w:p>
        </w:tc>
      </w:tr>
    </w:tbl>
    <w:p w:rsidR="00903DC1" w:rsidRDefault="00903DC1"/>
    <w:p w:rsidR="00776610" w:rsidRDefault="00776610"/>
    <w:tbl>
      <w:tblPr>
        <w:tblW w:w="14172"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5296"/>
        <w:gridCol w:w="3301"/>
        <w:gridCol w:w="2740"/>
      </w:tblGrid>
      <w:tr w:rsidR="009836BE" w:rsidRPr="00D56C84" w:rsidTr="00903DC1">
        <w:trPr>
          <w:trHeight w:val="255"/>
        </w:trPr>
        <w:tc>
          <w:tcPr>
            <w:tcW w:w="2835" w:type="dxa"/>
            <w:gridSpan w:val="2"/>
            <w:shd w:val="clear" w:color="auto" w:fill="auto"/>
            <w:vAlign w:val="center"/>
            <w:hideMark/>
          </w:tcPr>
          <w:p w:rsidR="009836BE" w:rsidRPr="00D56C84" w:rsidRDefault="009836BE" w:rsidP="009836BE">
            <w:pPr>
              <w:pStyle w:val="TableText"/>
              <w:rPr>
                <w:b/>
                <w:lang w:eastAsia="en-AU"/>
              </w:rPr>
            </w:pPr>
            <w:r w:rsidRPr="00D56C84">
              <w:rPr>
                <w:b/>
                <w:lang w:eastAsia="en-AU"/>
              </w:rPr>
              <w:lastRenderedPageBreak/>
              <w:t>Western Australia</w:t>
            </w:r>
          </w:p>
        </w:tc>
        <w:tc>
          <w:tcPr>
            <w:tcW w:w="5296" w:type="dxa"/>
            <w:shd w:val="clear" w:color="auto" w:fill="auto"/>
            <w:vAlign w:val="center"/>
            <w:hideMark/>
          </w:tcPr>
          <w:p w:rsidR="009836BE" w:rsidRPr="00D56C84" w:rsidRDefault="009836BE" w:rsidP="009836BE">
            <w:pPr>
              <w:pStyle w:val="TableText"/>
              <w:rPr>
                <w:lang w:eastAsia="en-AU"/>
              </w:rPr>
            </w:pPr>
          </w:p>
        </w:tc>
        <w:tc>
          <w:tcPr>
            <w:tcW w:w="3301" w:type="dxa"/>
            <w:shd w:val="clear" w:color="auto" w:fill="auto"/>
            <w:vAlign w:val="center"/>
            <w:hideMark/>
          </w:tcPr>
          <w:p w:rsidR="009836BE" w:rsidRPr="00D56C84" w:rsidRDefault="009836BE" w:rsidP="009836BE">
            <w:pPr>
              <w:pStyle w:val="TableText"/>
              <w:rPr>
                <w:lang w:eastAsia="en-AU"/>
              </w:rPr>
            </w:pPr>
          </w:p>
        </w:tc>
        <w:tc>
          <w:tcPr>
            <w:tcW w:w="2740" w:type="dxa"/>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blHeader/>
        </w:trPr>
        <w:tc>
          <w:tcPr>
            <w:tcW w:w="1395" w:type="dxa"/>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5296"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3301"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740"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9836BE" w:rsidRPr="00D56C84" w:rsidTr="00903DC1">
        <w:trPr>
          <w:trHeight w:val="539"/>
        </w:trPr>
        <w:tc>
          <w:tcPr>
            <w:tcW w:w="1395" w:type="dxa"/>
            <w:vMerge w:val="restart"/>
            <w:shd w:val="clear" w:color="auto" w:fill="auto"/>
            <w:vAlign w:val="center"/>
            <w:hideMark/>
          </w:tcPr>
          <w:p w:rsidR="009836BE" w:rsidRPr="00D56C84" w:rsidRDefault="00C004E0" w:rsidP="009836BE">
            <w:pPr>
              <w:pStyle w:val="TableText"/>
              <w:rPr>
                <w:lang w:eastAsia="en-AU"/>
              </w:rPr>
            </w:pPr>
            <w:r>
              <w:rPr>
                <w:lang w:eastAsia="en-AU"/>
              </w:rPr>
              <w:t>Department of Environment and Conservation (</w:t>
            </w:r>
            <w:r w:rsidR="009836BE" w:rsidRPr="00D56C84">
              <w:rPr>
                <w:lang w:eastAsia="en-AU"/>
              </w:rPr>
              <w:t>DEC</w:t>
            </w:r>
            <w:r>
              <w:rPr>
                <w:lang w:eastAsia="en-AU"/>
              </w:rPr>
              <w:t>)</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Waste “Census”</w:t>
            </w: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Amounts of waste/ recycling/ green waste/ hard waste collected (tonnes)</w:t>
            </w:r>
          </w:p>
        </w:tc>
        <w:tc>
          <w:tcPr>
            <w:tcW w:w="3301"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c>
          <w:tcPr>
            <w:tcW w:w="27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r>
      <w:tr w:rsidR="009836BE" w:rsidRPr="00D56C84" w:rsidTr="00903DC1">
        <w:trPr>
          <w:trHeight w:val="308"/>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Amounts of material reprocessed/ recovered (tonnes)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Waste collections offered including frequencies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Contractor information</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Number of households services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Bin types and sizes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Participation rates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Oil/ Computer/ Batteries collections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Waste and recycling infrastructure</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Waste audit information</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Litter/ Illegal dumping</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Annual costs of collection/ processing/ disposal ($/year)</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Annual charges per service ($/year/premises)</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03DC1">
        <w:trPr>
          <w:trHeight w:val="255"/>
        </w:trPr>
        <w:tc>
          <w:tcPr>
            <w:tcW w:w="13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D</w:t>
            </w:r>
            <w:r w:rsidR="00C004E0">
              <w:rPr>
                <w:lang w:eastAsia="en-AU"/>
              </w:rPr>
              <w:t xml:space="preserve">epartment of </w:t>
            </w:r>
            <w:r w:rsidRPr="00D56C84">
              <w:rPr>
                <w:lang w:eastAsia="en-AU"/>
              </w:rPr>
              <w:t>L</w:t>
            </w:r>
            <w:r w:rsidR="00C004E0">
              <w:rPr>
                <w:lang w:eastAsia="en-AU"/>
              </w:rPr>
              <w:t xml:space="preserve">ocal </w:t>
            </w:r>
            <w:r w:rsidRPr="00D56C84">
              <w:rPr>
                <w:lang w:eastAsia="en-AU"/>
              </w:rPr>
              <w:t>G</w:t>
            </w:r>
            <w:r w:rsidR="00C004E0">
              <w:rPr>
                <w:lang w:eastAsia="en-AU"/>
              </w:rPr>
              <w:t>overnment (DLG)</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Information Return</w:t>
            </w: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Waste management costs</w:t>
            </w:r>
          </w:p>
        </w:tc>
        <w:tc>
          <w:tcPr>
            <w:tcW w:w="3301"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c>
          <w:tcPr>
            <w:tcW w:w="27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Not publicly available</w:t>
            </w:r>
          </w:p>
        </w:tc>
      </w:tr>
      <w:tr w:rsidR="009836BE" w:rsidRPr="00D56C84" w:rsidTr="00903DC1">
        <w:trPr>
          <w:trHeight w:val="887"/>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5296" w:type="dxa"/>
            <w:shd w:val="clear" w:color="auto" w:fill="auto"/>
            <w:vAlign w:val="center"/>
            <w:hideMark/>
          </w:tcPr>
          <w:p w:rsidR="009836BE" w:rsidRPr="00D56C84" w:rsidRDefault="009836BE" w:rsidP="009836BE">
            <w:pPr>
              <w:pStyle w:val="TableText"/>
              <w:rPr>
                <w:lang w:eastAsia="en-AU"/>
              </w:rPr>
            </w:pPr>
            <w:r w:rsidRPr="00D56C84">
              <w:rPr>
                <w:lang w:eastAsia="en-AU"/>
              </w:rPr>
              <w:t>If cost of waste collection is included in rates, data is collected on the levy imposed and number of collections per week</w:t>
            </w:r>
          </w:p>
        </w:tc>
        <w:tc>
          <w:tcPr>
            <w:tcW w:w="3301" w:type="dxa"/>
            <w:vMerge/>
            <w:shd w:val="clear" w:color="auto" w:fill="auto"/>
            <w:vAlign w:val="center"/>
            <w:hideMark/>
          </w:tcPr>
          <w:p w:rsidR="009836BE" w:rsidRPr="00D56C84" w:rsidRDefault="009836BE" w:rsidP="009836BE">
            <w:pPr>
              <w:pStyle w:val="TableText"/>
              <w:rPr>
                <w:lang w:eastAsia="en-AU"/>
              </w:rPr>
            </w:pPr>
          </w:p>
        </w:tc>
        <w:tc>
          <w:tcPr>
            <w:tcW w:w="2740" w:type="dxa"/>
            <w:vMerge/>
            <w:shd w:val="clear" w:color="auto" w:fill="auto"/>
            <w:vAlign w:val="center"/>
            <w:hideMark/>
          </w:tcPr>
          <w:p w:rsidR="009836BE" w:rsidRPr="00D56C84" w:rsidRDefault="009836BE" w:rsidP="009836BE">
            <w:pPr>
              <w:pStyle w:val="TableText"/>
              <w:rPr>
                <w:lang w:eastAsia="en-AU"/>
              </w:rPr>
            </w:pPr>
          </w:p>
        </w:tc>
      </w:tr>
    </w:tbl>
    <w:p w:rsidR="009836BE" w:rsidRDefault="009836BE" w:rsidP="00D56C84">
      <w:pPr>
        <w:spacing w:after="0" w:line="240" w:lineRule="auto"/>
        <w:ind w:left="0"/>
      </w:pPr>
    </w:p>
    <w:p w:rsidR="00903DC1" w:rsidRDefault="00903DC1"/>
    <w:tbl>
      <w:tblPr>
        <w:tblW w:w="14172"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3595"/>
        <w:gridCol w:w="5002"/>
        <w:gridCol w:w="2740"/>
      </w:tblGrid>
      <w:tr w:rsidR="009836BE" w:rsidRPr="00D56C84" w:rsidTr="009836BE">
        <w:trPr>
          <w:trHeight w:val="353"/>
        </w:trPr>
        <w:tc>
          <w:tcPr>
            <w:tcW w:w="2835" w:type="dxa"/>
            <w:gridSpan w:val="2"/>
            <w:shd w:val="clear" w:color="auto" w:fill="auto"/>
            <w:vAlign w:val="center"/>
            <w:hideMark/>
          </w:tcPr>
          <w:p w:rsidR="009836BE" w:rsidRPr="00D56C84" w:rsidRDefault="009836BE" w:rsidP="009836BE">
            <w:pPr>
              <w:pStyle w:val="TableText"/>
              <w:rPr>
                <w:b/>
                <w:lang w:eastAsia="en-AU"/>
              </w:rPr>
            </w:pPr>
            <w:r w:rsidRPr="00D56C84">
              <w:rPr>
                <w:b/>
                <w:lang w:eastAsia="en-AU"/>
              </w:rPr>
              <w:lastRenderedPageBreak/>
              <w:t>Tasmania</w:t>
            </w:r>
          </w:p>
        </w:tc>
        <w:tc>
          <w:tcPr>
            <w:tcW w:w="3595" w:type="dxa"/>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p>
        </w:tc>
        <w:tc>
          <w:tcPr>
            <w:tcW w:w="2740" w:type="dxa"/>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blHeader/>
        </w:trPr>
        <w:tc>
          <w:tcPr>
            <w:tcW w:w="1395" w:type="dxa"/>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3595"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5002"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740"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9836BE" w:rsidRPr="00D56C84" w:rsidTr="009836BE">
        <w:trPr>
          <w:trHeight w:val="451"/>
        </w:trPr>
        <w:tc>
          <w:tcPr>
            <w:tcW w:w="1395" w:type="dxa"/>
            <w:vMerge w:val="restart"/>
            <w:shd w:val="clear" w:color="auto" w:fill="auto"/>
            <w:vAlign w:val="center"/>
            <w:hideMark/>
          </w:tcPr>
          <w:p w:rsidR="009836BE" w:rsidRPr="00D56C84" w:rsidRDefault="00A97EF3" w:rsidP="009836BE">
            <w:pPr>
              <w:pStyle w:val="TableText"/>
              <w:rPr>
                <w:lang w:eastAsia="en-AU"/>
              </w:rPr>
            </w:pPr>
            <w:r>
              <w:rPr>
                <w:lang w:eastAsia="en-AU"/>
              </w:rPr>
              <w:t>Local Government Department (</w:t>
            </w:r>
            <w:r w:rsidR="009836BE" w:rsidRPr="00D56C84">
              <w:rPr>
                <w:lang w:eastAsia="en-AU"/>
              </w:rPr>
              <w:t>LGD</w:t>
            </w:r>
            <w:r>
              <w:rPr>
                <w:lang w:eastAsia="en-AU"/>
              </w:rPr>
              <w:t>)</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Local Government Consolidated Data Collection</w:t>
            </w: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Waste management costs ($/year)</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Standard Expenditure: Waste Management and the Environment</w:t>
            </w:r>
          </w:p>
        </w:tc>
        <w:tc>
          <w:tcPr>
            <w:tcW w:w="2740" w:type="dxa"/>
            <w:vMerge w:val="restart"/>
            <w:shd w:val="clear" w:color="auto" w:fill="auto"/>
            <w:vAlign w:val="center"/>
            <w:hideMark/>
          </w:tcPr>
          <w:p w:rsidR="009836BE" w:rsidRPr="00D56C84" w:rsidRDefault="009836BE" w:rsidP="00265FD2">
            <w:pPr>
              <w:pStyle w:val="TableText"/>
              <w:rPr>
                <w:lang w:eastAsia="en-AU"/>
              </w:rPr>
            </w:pPr>
            <w:r w:rsidRPr="00265FD2">
              <w:rPr>
                <w:i/>
                <w:lang w:eastAsia="en-AU"/>
              </w:rPr>
              <w:t xml:space="preserve">Measuring Council Performance in Tasmania </w:t>
            </w:r>
            <w:r w:rsidR="00265FD2" w:rsidRPr="00265FD2">
              <w:rPr>
                <w:i/>
                <w:lang w:eastAsia="en-AU"/>
              </w:rPr>
              <w:t>A</w:t>
            </w:r>
            <w:r w:rsidRPr="00265FD2">
              <w:rPr>
                <w:i/>
                <w:lang w:eastAsia="en-AU"/>
              </w:rPr>
              <w:t xml:space="preserve">nnual </w:t>
            </w:r>
            <w:r w:rsidR="00265FD2" w:rsidRPr="00265FD2">
              <w:rPr>
                <w:i/>
                <w:lang w:eastAsia="en-AU"/>
              </w:rPr>
              <w:t>R</w:t>
            </w:r>
            <w:r w:rsidRPr="00265FD2">
              <w:rPr>
                <w:i/>
                <w:lang w:eastAsia="en-AU"/>
              </w:rPr>
              <w:t>eport</w:t>
            </w:r>
            <w:r w:rsidRPr="00D56C84">
              <w:rPr>
                <w:lang w:eastAsia="en-AU"/>
              </w:rPr>
              <w:t xml:space="preserve"> (latest available 2007-08)</w:t>
            </w:r>
          </w:p>
        </w:tc>
      </w:tr>
      <w:tr w:rsidR="009836BE" w:rsidRPr="00D56C84" w:rsidTr="009836BE">
        <w:trPr>
          <w:trHeight w:val="611"/>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Number of Properties receiving Waste Management Services</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Standardised Expenditure: Waste Management and the Environment</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76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vAlign w:val="center"/>
            <w:hideMark/>
          </w:tcPr>
          <w:p w:rsidR="009836BE" w:rsidRPr="00D56C84" w:rsidRDefault="009836BE" w:rsidP="009836BE">
            <w:pPr>
              <w:pStyle w:val="TableText"/>
              <w:rPr>
                <w:lang w:eastAsia="en-AU"/>
              </w:rPr>
            </w:pPr>
            <w:r w:rsidRPr="00D56C84">
              <w:rPr>
                <w:lang w:eastAsia="en-AU"/>
              </w:rPr>
              <w:t>Household Garbage/ Solid Waste Management Fees and Charges ($/year)</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Cost of Service Provision Ratio: Waste </w:t>
            </w:r>
            <w:r w:rsidR="00157DAB" w:rsidRPr="00D56C84">
              <w:rPr>
                <w:lang w:eastAsia="en-AU"/>
              </w:rPr>
              <w:t>Management</w:t>
            </w:r>
            <w:r w:rsidRPr="00D56C84">
              <w:rPr>
                <w:lang w:eastAsia="en-AU"/>
              </w:rPr>
              <w:t xml:space="preserve"> and the Environment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p w:rsidR="009836BE" w:rsidRPr="00D56C84" w:rsidRDefault="009836BE" w:rsidP="009836BE">
            <w:pPr>
              <w:pStyle w:val="TableText"/>
              <w:rPr>
                <w:lang w:eastAsia="en-AU"/>
              </w:rPr>
            </w:pPr>
            <w:r w:rsidRPr="00D56C84">
              <w:rPr>
                <w:lang w:eastAsia="en-AU"/>
              </w:rPr>
              <w:t> </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Average cost of waste </w:t>
            </w:r>
            <w:r w:rsidR="00157DAB" w:rsidRPr="00D56C84">
              <w:rPr>
                <w:lang w:eastAsia="en-AU"/>
              </w:rPr>
              <w:t>management</w:t>
            </w:r>
            <w:r w:rsidRPr="00D56C84">
              <w:rPr>
                <w:lang w:eastAsia="en-AU"/>
              </w:rPr>
              <w:t xml:space="preserve"> per property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Average cost of waste </w:t>
            </w:r>
            <w:r w:rsidR="00265FD2" w:rsidRPr="00D56C84">
              <w:rPr>
                <w:lang w:eastAsia="en-AU"/>
              </w:rPr>
              <w:t>management</w:t>
            </w:r>
            <w:r w:rsidRPr="00D56C84">
              <w:rPr>
                <w:lang w:eastAsia="en-AU"/>
              </w:rPr>
              <w:t xml:space="preserve"> per capita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419"/>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Waste </w:t>
            </w:r>
            <w:r w:rsidR="00265FD2">
              <w:rPr>
                <w:lang w:eastAsia="en-AU"/>
              </w:rPr>
              <w:t>m</w:t>
            </w:r>
            <w:r w:rsidR="00265FD2" w:rsidRPr="00D56C84">
              <w:rPr>
                <w:lang w:eastAsia="en-AU"/>
              </w:rPr>
              <w:t>anagement</w:t>
            </w:r>
            <w:r w:rsidR="00265FD2">
              <w:rPr>
                <w:lang w:eastAsia="en-AU"/>
              </w:rPr>
              <w:t xml:space="preserve"> e</w:t>
            </w:r>
            <w:r w:rsidRPr="00D56C84">
              <w:rPr>
                <w:lang w:eastAsia="en-AU"/>
              </w:rPr>
              <w:t xml:space="preserve">xpenses ($ excl depreciation)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69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vMerge/>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 xml:space="preserve">Depreciation and </w:t>
            </w:r>
            <w:r w:rsidR="00265FD2" w:rsidRPr="00D56C84">
              <w:rPr>
                <w:lang w:eastAsia="en-AU"/>
              </w:rPr>
              <w:t>Amortisation</w:t>
            </w:r>
            <w:r w:rsidRPr="00D56C84">
              <w:rPr>
                <w:lang w:eastAsia="en-AU"/>
              </w:rPr>
              <w:t xml:space="preserve"> Expense: Waste </w:t>
            </w:r>
            <w:r w:rsidR="00265FD2" w:rsidRPr="00D56C84">
              <w:rPr>
                <w:lang w:eastAsia="en-AU"/>
              </w:rPr>
              <w:t>Management</w:t>
            </w:r>
            <w:r w:rsidRPr="00D56C84">
              <w:rPr>
                <w:lang w:eastAsia="en-AU"/>
              </w:rPr>
              <w:t xml:space="preserve"> </w:t>
            </w:r>
            <w:r w:rsidR="00265FD2" w:rsidRPr="00D56C84">
              <w:rPr>
                <w:lang w:eastAsia="en-AU"/>
              </w:rPr>
              <w:t>Assets</w:t>
            </w:r>
            <w:r w:rsidRPr="00D56C84">
              <w:rPr>
                <w:lang w:eastAsia="en-AU"/>
              </w:rPr>
              <w:t xml:space="preserve"> ($)</w:t>
            </w:r>
          </w:p>
        </w:tc>
        <w:tc>
          <w:tcPr>
            <w:tcW w:w="2740" w:type="dxa"/>
            <w:vMerge/>
            <w:shd w:val="clear" w:color="auto" w:fill="auto"/>
            <w:vAlign w:val="center"/>
            <w:hideMark/>
          </w:tcPr>
          <w:p w:rsidR="009836BE" w:rsidRPr="00D56C84" w:rsidRDefault="009836BE" w:rsidP="009836BE">
            <w:pPr>
              <w:pStyle w:val="TableText"/>
              <w:rPr>
                <w:lang w:eastAsia="en-AU"/>
              </w:rPr>
            </w:pPr>
          </w:p>
        </w:tc>
      </w:tr>
    </w:tbl>
    <w:p w:rsidR="009836BE" w:rsidRDefault="009836BE" w:rsidP="00D56C84">
      <w:pPr>
        <w:spacing w:after="0" w:line="240" w:lineRule="auto"/>
        <w:ind w:left="0"/>
      </w:pPr>
    </w:p>
    <w:p w:rsidR="009836BE" w:rsidRDefault="009836BE" w:rsidP="00D56C84">
      <w:pPr>
        <w:spacing w:after="0" w:line="240" w:lineRule="auto"/>
        <w:ind w:left="0"/>
      </w:pPr>
    </w:p>
    <w:tbl>
      <w:tblPr>
        <w:tblW w:w="14172" w:type="dxa"/>
        <w:tblInd w:w="91" w:type="dxa"/>
        <w:tblBorders>
          <w:bottom w:val="single" w:sz="18" w:space="0" w:color="808080"/>
          <w:insideH w:val="single" w:sz="4" w:space="0" w:color="808080"/>
        </w:tblBorders>
        <w:tblLayout w:type="fixed"/>
        <w:tblCellMar>
          <w:left w:w="0" w:type="dxa"/>
          <w:right w:w="0" w:type="dxa"/>
        </w:tblCellMar>
        <w:tblLook w:val="04A0"/>
      </w:tblPr>
      <w:tblGrid>
        <w:gridCol w:w="1395"/>
        <w:gridCol w:w="1440"/>
        <w:gridCol w:w="3595"/>
        <w:gridCol w:w="5002"/>
        <w:gridCol w:w="2740"/>
      </w:tblGrid>
      <w:tr w:rsidR="009836BE" w:rsidRPr="00D56C84" w:rsidTr="009836BE">
        <w:trPr>
          <w:trHeight w:val="255"/>
        </w:trPr>
        <w:tc>
          <w:tcPr>
            <w:tcW w:w="2835" w:type="dxa"/>
            <w:gridSpan w:val="2"/>
            <w:shd w:val="clear" w:color="auto" w:fill="auto"/>
            <w:vAlign w:val="center"/>
            <w:hideMark/>
          </w:tcPr>
          <w:p w:rsidR="009836BE" w:rsidRPr="00D56C84" w:rsidRDefault="009836BE" w:rsidP="009836BE">
            <w:pPr>
              <w:pStyle w:val="TableText"/>
              <w:rPr>
                <w:b/>
                <w:lang w:eastAsia="en-AU"/>
              </w:rPr>
            </w:pPr>
            <w:r w:rsidRPr="00D56C84">
              <w:rPr>
                <w:b/>
                <w:lang w:eastAsia="en-AU"/>
              </w:rPr>
              <w:t>Northern Territory</w:t>
            </w:r>
          </w:p>
        </w:tc>
        <w:tc>
          <w:tcPr>
            <w:tcW w:w="3595" w:type="dxa"/>
            <w:shd w:val="clear" w:color="auto" w:fill="auto"/>
            <w:vAlign w:val="center"/>
            <w:hideMark/>
          </w:tcPr>
          <w:p w:rsidR="009836BE" w:rsidRPr="00D56C84" w:rsidRDefault="009836BE" w:rsidP="009836BE">
            <w:pPr>
              <w:pStyle w:val="TableText"/>
              <w:rPr>
                <w:lang w:eastAsia="en-AU"/>
              </w:rPr>
            </w:pPr>
          </w:p>
        </w:tc>
        <w:tc>
          <w:tcPr>
            <w:tcW w:w="5002" w:type="dxa"/>
            <w:shd w:val="clear" w:color="auto" w:fill="auto"/>
            <w:vAlign w:val="center"/>
            <w:hideMark/>
          </w:tcPr>
          <w:p w:rsidR="009836BE" w:rsidRPr="00D56C84" w:rsidRDefault="009836BE" w:rsidP="009836BE">
            <w:pPr>
              <w:pStyle w:val="TableText"/>
              <w:rPr>
                <w:lang w:eastAsia="en-AU"/>
              </w:rPr>
            </w:pPr>
          </w:p>
        </w:tc>
        <w:tc>
          <w:tcPr>
            <w:tcW w:w="2740" w:type="dxa"/>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10"/>
          <w:tblHeader/>
        </w:trPr>
        <w:tc>
          <w:tcPr>
            <w:tcW w:w="1395" w:type="dxa"/>
            <w:shd w:val="clear" w:color="auto" w:fill="auto"/>
            <w:hideMark/>
          </w:tcPr>
          <w:p w:rsidR="009836BE" w:rsidRPr="00D56C84" w:rsidRDefault="009836BE" w:rsidP="009836BE">
            <w:pPr>
              <w:pStyle w:val="TableHeading"/>
              <w:rPr>
                <w:lang w:eastAsia="en-AU"/>
              </w:rPr>
            </w:pPr>
            <w:r w:rsidRPr="00D56C84">
              <w:rPr>
                <w:lang w:eastAsia="en-AU"/>
              </w:rPr>
              <w:t>Government Body</w:t>
            </w:r>
          </w:p>
        </w:tc>
        <w:tc>
          <w:tcPr>
            <w:tcW w:w="1440" w:type="dxa"/>
            <w:shd w:val="clear" w:color="auto" w:fill="auto"/>
            <w:hideMark/>
          </w:tcPr>
          <w:p w:rsidR="009836BE" w:rsidRPr="00D56C84" w:rsidRDefault="009836BE" w:rsidP="009836BE">
            <w:pPr>
              <w:pStyle w:val="TableHeading"/>
              <w:rPr>
                <w:lang w:eastAsia="en-AU"/>
              </w:rPr>
            </w:pPr>
            <w:r w:rsidRPr="00D56C84">
              <w:rPr>
                <w:lang w:eastAsia="en-AU"/>
              </w:rPr>
              <w:t>Reporting format</w:t>
            </w:r>
          </w:p>
        </w:tc>
        <w:tc>
          <w:tcPr>
            <w:tcW w:w="3595" w:type="dxa"/>
            <w:shd w:val="clear" w:color="auto" w:fill="auto"/>
            <w:hideMark/>
          </w:tcPr>
          <w:p w:rsidR="009836BE" w:rsidRPr="00D56C84" w:rsidRDefault="009836BE" w:rsidP="009836BE">
            <w:pPr>
              <w:pStyle w:val="TableHeading"/>
              <w:rPr>
                <w:lang w:eastAsia="en-AU"/>
              </w:rPr>
            </w:pPr>
            <w:r w:rsidRPr="00D56C84">
              <w:rPr>
                <w:lang w:eastAsia="en-AU"/>
              </w:rPr>
              <w:t xml:space="preserve">Data </w:t>
            </w:r>
            <w:r>
              <w:rPr>
                <w:lang w:eastAsia="en-AU"/>
              </w:rPr>
              <w:t>gathered</w:t>
            </w:r>
          </w:p>
        </w:tc>
        <w:tc>
          <w:tcPr>
            <w:tcW w:w="5002" w:type="dxa"/>
            <w:shd w:val="clear" w:color="auto" w:fill="auto"/>
            <w:hideMark/>
          </w:tcPr>
          <w:p w:rsidR="009836BE" w:rsidRPr="00D56C84" w:rsidRDefault="009836BE" w:rsidP="009836BE">
            <w:pPr>
              <w:pStyle w:val="TableHeading"/>
              <w:rPr>
                <w:lang w:eastAsia="en-AU"/>
              </w:rPr>
            </w:pPr>
            <w:r w:rsidRPr="00D56C84">
              <w:rPr>
                <w:lang w:eastAsia="en-AU"/>
              </w:rPr>
              <w:t>Council specific data available to public</w:t>
            </w:r>
          </w:p>
        </w:tc>
        <w:tc>
          <w:tcPr>
            <w:tcW w:w="2740" w:type="dxa"/>
            <w:shd w:val="clear" w:color="auto" w:fill="auto"/>
            <w:hideMark/>
          </w:tcPr>
          <w:p w:rsidR="009836BE" w:rsidRPr="00D56C84" w:rsidRDefault="009836BE" w:rsidP="009836BE">
            <w:pPr>
              <w:pStyle w:val="TableHeading"/>
              <w:rPr>
                <w:lang w:eastAsia="en-AU"/>
              </w:rPr>
            </w:pPr>
            <w:r w:rsidRPr="00D56C84">
              <w:rPr>
                <w:lang w:eastAsia="en-AU"/>
              </w:rPr>
              <w:t>Information incorporated in</w:t>
            </w:r>
          </w:p>
        </w:tc>
      </w:tr>
      <w:tr w:rsidR="009836BE" w:rsidRPr="00D56C84" w:rsidTr="009836BE">
        <w:trPr>
          <w:trHeight w:val="510"/>
        </w:trPr>
        <w:tc>
          <w:tcPr>
            <w:tcW w:w="1395"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Northern Territory Grants Commission</w:t>
            </w:r>
          </w:p>
        </w:tc>
        <w:tc>
          <w:tcPr>
            <w:tcW w:w="1440" w:type="dxa"/>
            <w:vMerge w:val="restart"/>
            <w:shd w:val="clear" w:color="auto" w:fill="auto"/>
            <w:vAlign w:val="center"/>
            <w:hideMark/>
          </w:tcPr>
          <w:p w:rsidR="009836BE" w:rsidRPr="00D56C84" w:rsidRDefault="009836BE" w:rsidP="009836BE">
            <w:pPr>
              <w:pStyle w:val="TableText"/>
              <w:rPr>
                <w:lang w:eastAsia="en-AU"/>
              </w:rPr>
            </w:pPr>
            <w:r w:rsidRPr="00D56C84">
              <w:rPr>
                <w:lang w:eastAsia="en-AU"/>
              </w:rPr>
              <w:t>Annual Information Return</w:t>
            </w:r>
          </w:p>
        </w:tc>
        <w:tc>
          <w:tcPr>
            <w:tcW w:w="3595" w:type="dxa"/>
            <w:shd w:val="clear" w:color="auto" w:fill="auto"/>
            <w:vAlign w:val="bottom"/>
            <w:hideMark/>
          </w:tcPr>
          <w:p w:rsidR="009836BE" w:rsidRPr="00D56C84" w:rsidRDefault="009836BE" w:rsidP="009836BE">
            <w:pPr>
              <w:pStyle w:val="TableText"/>
              <w:rPr>
                <w:lang w:eastAsia="en-AU"/>
              </w:rPr>
            </w:pPr>
            <w:r w:rsidRPr="00D56C84">
              <w:rPr>
                <w:lang w:eastAsia="en-AU"/>
              </w:rPr>
              <w:t>Garbage - Domestic Waste Management Rates ($)</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Local Government Income - Domestic waste ($)</w:t>
            </w:r>
          </w:p>
        </w:tc>
        <w:tc>
          <w:tcPr>
            <w:tcW w:w="2740" w:type="dxa"/>
            <w:vMerge w:val="restart"/>
            <w:shd w:val="clear" w:color="auto" w:fill="auto"/>
            <w:vAlign w:val="center"/>
            <w:hideMark/>
          </w:tcPr>
          <w:p w:rsidR="009836BE" w:rsidRPr="00D56C84" w:rsidRDefault="009836BE" w:rsidP="009836BE">
            <w:pPr>
              <w:pStyle w:val="TableText"/>
              <w:rPr>
                <w:lang w:eastAsia="en-AU"/>
              </w:rPr>
            </w:pPr>
            <w:r w:rsidRPr="00265FD2">
              <w:rPr>
                <w:i/>
                <w:lang w:eastAsia="en-AU"/>
              </w:rPr>
              <w:t>Northern Territory Grants Commission Annual Report</w:t>
            </w:r>
            <w:r w:rsidRPr="00D56C84">
              <w:rPr>
                <w:lang w:eastAsia="en-AU"/>
              </w:rPr>
              <w:t xml:space="preserve"> (latest available 2009-10)</w:t>
            </w:r>
          </w:p>
        </w:tc>
      </w:tr>
      <w:tr w:rsidR="009836BE" w:rsidRPr="00D56C84" w:rsidTr="009836BE">
        <w:trPr>
          <w:trHeight w:val="510"/>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noWrap/>
            <w:vAlign w:val="bottom"/>
            <w:hideMark/>
          </w:tcPr>
          <w:p w:rsidR="009836BE" w:rsidRPr="00D56C84" w:rsidRDefault="009836BE" w:rsidP="009836BE">
            <w:pPr>
              <w:pStyle w:val="TableText"/>
              <w:rPr>
                <w:lang w:eastAsia="en-AU"/>
              </w:rPr>
            </w:pPr>
            <w:r w:rsidRPr="00D56C84">
              <w:rPr>
                <w:lang w:eastAsia="en-AU"/>
              </w:rPr>
              <w:t>Garbage - Other Rates ($)</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Assessed revenue - Domestic waste ($)</w:t>
            </w:r>
          </w:p>
        </w:tc>
        <w:tc>
          <w:tcPr>
            <w:tcW w:w="2740" w:type="dxa"/>
            <w:vMerge/>
            <w:shd w:val="clear" w:color="auto" w:fill="auto"/>
            <w:vAlign w:val="center"/>
            <w:hideMark/>
          </w:tcPr>
          <w:p w:rsidR="009836BE" w:rsidRPr="00D56C84" w:rsidRDefault="009836BE" w:rsidP="009836BE">
            <w:pPr>
              <w:pStyle w:val="TableText"/>
              <w:rPr>
                <w:lang w:eastAsia="en-AU"/>
              </w:rPr>
            </w:pPr>
          </w:p>
        </w:tc>
      </w:tr>
      <w:tr w:rsidR="009836BE" w:rsidRPr="00D56C84" w:rsidTr="009836BE">
        <w:trPr>
          <w:trHeight w:val="525"/>
        </w:trPr>
        <w:tc>
          <w:tcPr>
            <w:tcW w:w="1395" w:type="dxa"/>
            <w:vMerge/>
            <w:shd w:val="clear" w:color="auto" w:fill="auto"/>
            <w:vAlign w:val="center"/>
            <w:hideMark/>
          </w:tcPr>
          <w:p w:rsidR="009836BE" w:rsidRPr="00D56C84" w:rsidRDefault="009836BE" w:rsidP="009836BE">
            <w:pPr>
              <w:pStyle w:val="TableText"/>
              <w:rPr>
                <w:lang w:eastAsia="en-AU"/>
              </w:rPr>
            </w:pPr>
          </w:p>
        </w:tc>
        <w:tc>
          <w:tcPr>
            <w:tcW w:w="1440" w:type="dxa"/>
            <w:vMerge/>
            <w:shd w:val="clear" w:color="auto" w:fill="auto"/>
            <w:vAlign w:val="center"/>
            <w:hideMark/>
          </w:tcPr>
          <w:p w:rsidR="009836BE" w:rsidRPr="00D56C84" w:rsidRDefault="009836BE" w:rsidP="009836BE">
            <w:pPr>
              <w:pStyle w:val="TableText"/>
              <w:rPr>
                <w:lang w:eastAsia="en-AU"/>
              </w:rPr>
            </w:pPr>
          </w:p>
        </w:tc>
        <w:tc>
          <w:tcPr>
            <w:tcW w:w="3595" w:type="dxa"/>
            <w:shd w:val="clear" w:color="auto" w:fill="auto"/>
            <w:noWrap/>
            <w:vAlign w:val="bottom"/>
            <w:hideMark/>
          </w:tcPr>
          <w:p w:rsidR="009836BE" w:rsidRPr="00D56C84" w:rsidRDefault="009836BE" w:rsidP="009836BE">
            <w:pPr>
              <w:pStyle w:val="TableText"/>
              <w:rPr>
                <w:lang w:eastAsia="en-AU"/>
              </w:rPr>
            </w:pPr>
            <w:r w:rsidRPr="00D56C84">
              <w:rPr>
                <w:lang w:eastAsia="en-AU"/>
              </w:rPr>
              <w:t> </w:t>
            </w:r>
          </w:p>
        </w:tc>
        <w:tc>
          <w:tcPr>
            <w:tcW w:w="5002" w:type="dxa"/>
            <w:shd w:val="clear" w:color="auto" w:fill="auto"/>
            <w:vAlign w:val="center"/>
            <w:hideMark/>
          </w:tcPr>
          <w:p w:rsidR="009836BE" w:rsidRPr="00D56C84" w:rsidRDefault="009836BE" w:rsidP="009836BE">
            <w:pPr>
              <w:pStyle w:val="TableText"/>
              <w:rPr>
                <w:lang w:eastAsia="en-AU"/>
              </w:rPr>
            </w:pPr>
            <w:r w:rsidRPr="00D56C84">
              <w:rPr>
                <w:lang w:eastAsia="en-AU"/>
              </w:rPr>
              <w:t>Assessed revenue - Garbage other ($)</w:t>
            </w:r>
          </w:p>
        </w:tc>
        <w:tc>
          <w:tcPr>
            <w:tcW w:w="2740" w:type="dxa"/>
            <w:vMerge/>
            <w:shd w:val="clear" w:color="auto" w:fill="auto"/>
            <w:vAlign w:val="center"/>
            <w:hideMark/>
          </w:tcPr>
          <w:p w:rsidR="009836BE" w:rsidRPr="00D56C84" w:rsidRDefault="009836BE" w:rsidP="009836BE">
            <w:pPr>
              <w:pStyle w:val="TableText"/>
              <w:rPr>
                <w:lang w:eastAsia="en-AU"/>
              </w:rPr>
            </w:pPr>
          </w:p>
        </w:tc>
      </w:tr>
    </w:tbl>
    <w:p w:rsidR="009836BE" w:rsidRPr="00D56C84" w:rsidRDefault="009836BE" w:rsidP="00D56C84">
      <w:pPr>
        <w:spacing w:after="0" w:line="240" w:lineRule="auto"/>
        <w:ind w:left="0"/>
      </w:pPr>
    </w:p>
    <w:p w:rsidR="00A441BA" w:rsidRPr="00D56C84" w:rsidRDefault="00A441BA">
      <w:pPr>
        <w:spacing w:after="0" w:line="240" w:lineRule="auto"/>
        <w:ind w:left="0"/>
        <w:sectPr w:rsidR="00A441BA" w:rsidRPr="00D56C84" w:rsidSect="00A441BA">
          <w:pgSz w:w="16840" w:h="11907" w:orient="landscape" w:code="9"/>
          <w:pgMar w:top="1134" w:right="1134" w:bottom="1134" w:left="1134" w:header="567" w:footer="567" w:gutter="0"/>
          <w:cols w:space="708"/>
          <w:docGrid w:linePitch="360"/>
        </w:sectPr>
      </w:pPr>
    </w:p>
    <w:p w:rsidR="00464371" w:rsidRPr="00D56C84" w:rsidRDefault="00C77697" w:rsidP="007C6281">
      <w:pPr>
        <w:pStyle w:val="Heading1"/>
      </w:pPr>
      <w:bookmarkStart w:id="37" w:name="_Toc307470423"/>
      <w:r w:rsidRPr="00D56C84">
        <w:lastRenderedPageBreak/>
        <w:t>Australian Local G</w:t>
      </w:r>
      <w:r w:rsidR="00464371" w:rsidRPr="00D56C84">
        <w:t>overnments</w:t>
      </w:r>
      <w:bookmarkEnd w:id="37"/>
    </w:p>
    <w:p w:rsidR="00982FEA" w:rsidRDefault="00982FEA" w:rsidP="00D804DD">
      <w:pPr>
        <w:pStyle w:val="ParaIndent"/>
        <w:jc w:val="both"/>
      </w:pPr>
      <w:r>
        <w:t>Local governments are established by state and territory governments to take responsibility for a number of community services. Their powers are defined by the state or territory government which established them</w:t>
      </w:r>
      <w:r w:rsidR="004D5A0F">
        <w:t xml:space="preserve">, </w:t>
      </w:r>
      <w:r w:rsidR="004D5A0F" w:rsidRPr="000908CA">
        <w:t>and those</w:t>
      </w:r>
      <w:r w:rsidR="000908CA" w:rsidRPr="000908CA">
        <w:t xml:space="preserve"> state or territory</w:t>
      </w:r>
      <w:r w:rsidR="004D5A0F" w:rsidRPr="000908CA">
        <w:t xml:space="preserve"> </w:t>
      </w:r>
      <w:r w:rsidR="000908CA">
        <w:t>governments</w:t>
      </w:r>
      <w:r w:rsidR="004D5A0F" w:rsidRPr="000908CA">
        <w:t xml:space="preserve"> </w:t>
      </w:r>
      <w:r w:rsidR="00226378" w:rsidRPr="000908CA">
        <w:t>have</w:t>
      </w:r>
      <w:r w:rsidR="00226378">
        <w:t xml:space="preserve"> primary responsibility for funding and supervision of local councils</w:t>
      </w:r>
      <w:r w:rsidR="00AD6AD0">
        <w:t>.</w:t>
      </w:r>
    </w:p>
    <w:p w:rsidR="00AD6AD0" w:rsidRDefault="00226378" w:rsidP="00D804DD">
      <w:pPr>
        <w:pStyle w:val="ParaIndent"/>
        <w:jc w:val="both"/>
      </w:pPr>
      <w:r w:rsidRPr="00226378">
        <w:t xml:space="preserve">The Australian </w:t>
      </w:r>
      <w:r w:rsidR="00AD6AD0">
        <w:t>C</w:t>
      </w:r>
      <w:r w:rsidRPr="00226378">
        <w:t xml:space="preserve">onstitution makes </w:t>
      </w:r>
      <w:r w:rsidR="004D5A0F" w:rsidRPr="00226378">
        <w:t>no explicit mention of local government</w:t>
      </w:r>
      <w:r w:rsidR="00AD6AD0">
        <w:t>, although t</w:t>
      </w:r>
      <w:r w:rsidRPr="00226378">
        <w:t>here have been two unsuccessful attempts to reform the Constitution to include local government</w:t>
      </w:r>
      <w:r w:rsidR="00AD6AD0">
        <w:t xml:space="preserve"> via referenda</w:t>
      </w:r>
      <w:r w:rsidRPr="00226378">
        <w:t>.</w:t>
      </w:r>
    </w:p>
    <w:p w:rsidR="00226378" w:rsidRPr="00226378" w:rsidRDefault="00AD6AD0" w:rsidP="00D804DD">
      <w:pPr>
        <w:pStyle w:val="ParaIndent"/>
        <w:jc w:val="both"/>
      </w:pPr>
      <w:r>
        <w:t>The</w:t>
      </w:r>
      <w:r w:rsidR="00226378" w:rsidRPr="00226378">
        <w:t xml:space="preserve"> 1974 referendum was designed to allow the Australian Government to directly fund local government rather than having to pass the funds through state and territory governments. </w:t>
      </w:r>
      <w:r>
        <w:t>The</w:t>
      </w:r>
      <w:r w:rsidR="00226378" w:rsidRPr="00226378">
        <w:t xml:space="preserve"> 1988 referendum aimed to require state governments to maintain a system of local government. Both questions were defeated</w:t>
      </w:r>
      <w:r>
        <w:t xml:space="preserve">, although </w:t>
      </w:r>
      <w:r w:rsidRPr="00AD6AD0">
        <w:t>inclusion of local government in the Constitution has remained an</w:t>
      </w:r>
      <w:r>
        <w:t xml:space="preserve"> </w:t>
      </w:r>
      <w:r w:rsidRPr="00AD6AD0">
        <w:t>issue on local government's strategic agenda</w:t>
      </w:r>
      <w:r>
        <w:rPr>
          <w:rStyle w:val="FootnoteReference"/>
        </w:rPr>
        <w:footnoteReference w:id="3"/>
      </w:r>
      <w:r>
        <w:t>.</w:t>
      </w:r>
    </w:p>
    <w:p w:rsidR="004D5A0F" w:rsidRPr="00AD6AD0" w:rsidRDefault="004D5A0F" w:rsidP="00D804DD">
      <w:pPr>
        <w:pStyle w:val="ParaIndent"/>
        <w:jc w:val="both"/>
      </w:pPr>
      <w:r w:rsidRPr="00AD6AD0">
        <w:t>Federal government interaction with local councils often happens through the provision of federal grants to help fund local government managed projects.</w:t>
      </w:r>
    </w:p>
    <w:p w:rsidR="00464371" w:rsidRDefault="00AF6DB6" w:rsidP="00D804DD">
      <w:pPr>
        <w:pStyle w:val="ParaIndent"/>
        <w:jc w:val="both"/>
      </w:pPr>
      <w:r>
        <w:t xml:space="preserve">There are 559 LGAs in Australia and, as previously highlighted, </w:t>
      </w:r>
      <w:r w:rsidR="00E03407">
        <w:t xml:space="preserve">their </w:t>
      </w:r>
      <w:r>
        <w:t xml:space="preserve">specific roles, responsibilities </w:t>
      </w:r>
      <w:r w:rsidR="00A8433A">
        <w:t>(</w:t>
      </w:r>
      <w:r>
        <w:t>and</w:t>
      </w:r>
      <w:r w:rsidR="00A8433A">
        <w:t xml:space="preserve">, to some extent, </w:t>
      </w:r>
      <w:r>
        <w:t>performance</w:t>
      </w:r>
      <w:r w:rsidR="00A8433A">
        <w:t>)</w:t>
      </w:r>
      <w:r>
        <w:t xml:space="preserve"> are often defined by jurisdictional frameworks. However, there are some common responsibilities</w:t>
      </w:r>
      <w:r w:rsidR="00627935">
        <w:t>,</w:t>
      </w:r>
      <w:r>
        <w:t xml:space="preserve"> in relation to waste and recycling, which apply to all Australian local governments.</w:t>
      </w:r>
    </w:p>
    <w:p w:rsidR="00A8433A" w:rsidRPr="00D56C84" w:rsidRDefault="00A8433A" w:rsidP="00D804DD">
      <w:pPr>
        <w:pStyle w:val="ParaIndent"/>
        <w:jc w:val="both"/>
      </w:pPr>
      <w:r>
        <w:t xml:space="preserve">This section provides an overview of national responsibilities, and an outline of important sources of </w:t>
      </w:r>
      <w:r w:rsidR="00E03407">
        <w:t xml:space="preserve">national </w:t>
      </w:r>
      <w:r>
        <w:t xml:space="preserve">information </w:t>
      </w:r>
      <w:r w:rsidR="00E03407">
        <w:t xml:space="preserve">regarding </w:t>
      </w:r>
      <w:r>
        <w:t>municipal w</w:t>
      </w:r>
      <w:r w:rsidR="00E03407">
        <w:t>aste and recycling activities.</w:t>
      </w:r>
      <w:r w:rsidR="00D46FE4">
        <w:t xml:space="preserve"> </w:t>
      </w:r>
      <w:r w:rsidR="000865F7">
        <w:t xml:space="preserve">There are </w:t>
      </w:r>
      <w:r w:rsidR="00627935">
        <w:t xml:space="preserve">currently </w:t>
      </w:r>
      <w:r w:rsidR="000865F7">
        <w:t xml:space="preserve">no sources of </w:t>
      </w:r>
      <w:r w:rsidR="00982FEA">
        <w:t>LGA-specific information regarding waste and recycling performance at a national level</w:t>
      </w:r>
      <w:r w:rsidR="00627935">
        <w:rPr>
          <w:rStyle w:val="FootnoteReference"/>
        </w:rPr>
        <w:footnoteReference w:id="4"/>
      </w:r>
      <w:r w:rsidR="00161CA5">
        <w:t>.</w:t>
      </w:r>
    </w:p>
    <w:p w:rsidR="007C6281" w:rsidRPr="00F85367" w:rsidRDefault="00F85367" w:rsidP="00464371">
      <w:pPr>
        <w:pStyle w:val="Heading2"/>
      </w:pPr>
      <w:bookmarkStart w:id="38" w:name="_Toc307470424"/>
      <w:r>
        <w:t>R</w:t>
      </w:r>
      <w:r w:rsidRPr="00F85367">
        <w:t>esponsibilities</w:t>
      </w:r>
      <w:bookmarkEnd w:id="38"/>
      <w:r w:rsidRPr="00F85367">
        <w:t xml:space="preserve"> </w:t>
      </w:r>
    </w:p>
    <w:p w:rsidR="00C26509" w:rsidRPr="00D56C84" w:rsidRDefault="00C26509" w:rsidP="007C33EE">
      <w:pPr>
        <w:pStyle w:val="Heading3"/>
        <w:jc w:val="both"/>
      </w:pPr>
      <w:r w:rsidRPr="00D56C84">
        <w:t xml:space="preserve">Used Packaging Materials </w:t>
      </w:r>
      <w:r w:rsidR="00D647B0" w:rsidRPr="00D56C84">
        <w:t>NEPM</w:t>
      </w:r>
    </w:p>
    <w:p w:rsidR="00C519AB" w:rsidRPr="00D56C84" w:rsidRDefault="00B37735" w:rsidP="007C33EE">
      <w:pPr>
        <w:pStyle w:val="ParaIndent"/>
        <w:keepNext/>
        <w:spacing w:after="60"/>
        <w:jc w:val="both"/>
      </w:pPr>
      <w:r w:rsidRPr="00D56C84">
        <w:rPr>
          <w:rFonts w:cs="Arial"/>
          <w:szCs w:val="18"/>
        </w:rPr>
        <w:t xml:space="preserve">Local government is required to provide data on </w:t>
      </w:r>
      <w:r w:rsidR="00742BD1" w:rsidRPr="00D56C84">
        <w:rPr>
          <w:rFonts w:cs="Arial"/>
          <w:szCs w:val="18"/>
        </w:rPr>
        <w:t xml:space="preserve">the </w:t>
      </w:r>
      <w:r w:rsidR="005018E4" w:rsidRPr="00D56C84">
        <w:rPr>
          <w:rFonts w:cs="Arial"/>
          <w:szCs w:val="18"/>
        </w:rPr>
        <w:t xml:space="preserve">kerbside collection of packaging materials to state and territory departments and agencies under the </w:t>
      </w:r>
      <w:r w:rsidR="005018E4" w:rsidRPr="001D4B03">
        <w:rPr>
          <w:rFonts w:cs="Arial"/>
          <w:i/>
          <w:szCs w:val="18"/>
        </w:rPr>
        <w:t>Used Packaging Materials</w:t>
      </w:r>
      <w:r w:rsidRPr="001D4B03">
        <w:rPr>
          <w:rFonts w:cs="Arial"/>
          <w:i/>
          <w:szCs w:val="18"/>
        </w:rPr>
        <w:t xml:space="preserve"> </w:t>
      </w:r>
      <w:r w:rsidR="00C519AB" w:rsidRPr="001D4B03">
        <w:rPr>
          <w:rFonts w:cs="Arial"/>
          <w:i/>
          <w:szCs w:val="18"/>
        </w:rPr>
        <w:t>National Environment Protection</w:t>
      </w:r>
      <w:r w:rsidR="00D647B0" w:rsidRPr="001D4B03">
        <w:rPr>
          <w:rFonts w:cs="Arial"/>
          <w:i/>
          <w:szCs w:val="18"/>
        </w:rPr>
        <w:t xml:space="preserve"> Measure</w:t>
      </w:r>
      <w:r w:rsidR="00C519AB" w:rsidRPr="001D4B03">
        <w:rPr>
          <w:rFonts w:cs="Arial"/>
          <w:i/>
          <w:szCs w:val="18"/>
        </w:rPr>
        <w:t xml:space="preserve"> (</w:t>
      </w:r>
      <w:r w:rsidR="005018E4" w:rsidRPr="001D4B03">
        <w:rPr>
          <w:rFonts w:cs="Arial"/>
          <w:i/>
          <w:szCs w:val="18"/>
        </w:rPr>
        <w:t>NEPM)</w:t>
      </w:r>
      <w:r w:rsidR="00174734" w:rsidRPr="001D4B03">
        <w:rPr>
          <w:rFonts w:cs="Arial"/>
          <w:i/>
          <w:szCs w:val="18"/>
        </w:rPr>
        <w:t xml:space="preserve"> 2011</w:t>
      </w:r>
      <w:r w:rsidR="005018E4" w:rsidRPr="00D56C84">
        <w:rPr>
          <w:rFonts w:cs="Arial"/>
          <w:szCs w:val="18"/>
        </w:rPr>
        <w:t>. The NEPM</w:t>
      </w:r>
      <w:r w:rsidRPr="00D56C84">
        <w:rPr>
          <w:rFonts w:cs="Arial"/>
          <w:szCs w:val="18"/>
        </w:rPr>
        <w:t xml:space="preserve"> states</w:t>
      </w:r>
      <w:r w:rsidR="00E6691C" w:rsidRPr="00D56C84">
        <w:rPr>
          <w:rFonts w:cs="Arial"/>
          <w:szCs w:val="18"/>
        </w:rPr>
        <w:t>:</w:t>
      </w:r>
    </w:p>
    <w:p w:rsidR="00B37735" w:rsidRPr="00D56C84" w:rsidRDefault="00690B3D" w:rsidP="007C33EE">
      <w:pPr>
        <w:pStyle w:val="ParaIndent"/>
        <w:spacing w:after="60"/>
        <w:ind w:left="1701"/>
        <w:jc w:val="both"/>
        <w:rPr>
          <w:b/>
          <w:sz w:val="18"/>
          <w:szCs w:val="18"/>
        </w:rPr>
      </w:pPr>
      <w:r w:rsidRPr="00D56C84">
        <w:rPr>
          <w:b/>
          <w:sz w:val="18"/>
          <w:szCs w:val="18"/>
        </w:rPr>
        <w:t xml:space="preserve">Clause </w:t>
      </w:r>
      <w:r w:rsidR="00B37735" w:rsidRPr="00D56C84">
        <w:rPr>
          <w:b/>
          <w:sz w:val="18"/>
          <w:szCs w:val="18"/>
        </w:rPr>
        <w:t>17 Collection and Participation Data</w:t>
      </w:r>
    </w:p>
    <w:p w:rsidR="00C519AB" w:rsidRPr="00D56C84" w:rsidRDefault="00C519AB" w:rsidP="007C33EE">
      <w:pPr>
        <w:pStyle w:val="ParaIndent"/>
        <w:keepNext/>
        <w:spacing w:after="60"/>
        <w:ind w:left="1701"/>
        <w:jc w:val="both"/>
        <w:rPr>
          <w:sz w:val="18"/>
          <w:szCs w:val="18"/>
        </w:rPr>
      </w:pPr>
      <w:r w:rsidRPr="00D56C84">
        <w:rPr>
          <w:sz w:val="18"/>
          <w:szCs w:val="18"/>
        </w:rPr>
        <w:t>(1) Participating jurisdictions shall require each local government of a municipal district (or each grouping of local governments of municipal districts where waste management groups exist) in which a kerbside recycling collection service or other municipal materials recovery system is provided, to pr</w:t>
      </w:r>
      <w:r w:rsidR="004B506C" w:rsidRPr="00D56C84">
        <w:rPr>
          <w:sz w:val="18"/>
          <w:szCs w:val="18"/>
        </w:rPr>
        <w:t>ovide the following information</w:t>
      </w:r>
      <w:r w:rsidR="00742BD1" w:rsidRPr="00D56C84">
        <w:rPr>
          <w:sz w:val="18"/>
          <w:szCs w:val="18"/>
        </w:rPr>
        <w:t xml:space="preserve">... </w:t>
      </w:r>
      <w:r w:rsidRPr="00D56C84">
        <w:rPr>
          <w:sz w:val="18"/>
          <w:szCs w:val="18"/>
        </w:rPr>
        <w:t>for a financial year:</w:t>
      </w:r>
    </w:p>
    <w:p w:rsidR="00C519AB" w:rsidRPr="00D56C84" w:rsidRDefault="00C519AB" w:rsidP="007C33EE">
      <w:pPr>
        <w:pStyle w:val="ParaIndent"/>
        <w:spacing w:after="60"/>
        <w:ind w:left="1985"/>
        <w:jc w:val="both"/>
        <w:rPr>
          <w:sz w:val="18"/>
          <w:szCs w:val="18"/>
        </w:rPr>
      </w:pPr>
      <w:r w:rsidRPr="00D56C84">
        <w:rPr>
          <w:sz w:val="18"/>
          <w:szCs w:val="18"/>
        </w:rPr>
        <w:t xml:space="preserve">(a) </w:t>
      </w:r>
      <w:proofErr w:type="gramStart"/>
      <w:r w:rsidRPr="00D56C84">
        <w:rPr>
          <w:sz w:val="18"/>
          <w:szCs w:val="18"/>
        </w:rPr>
        <w:t>what</w:t>
      </w:r>
      <w:proofErr w:type="gramEnd"/>
      <w:r w:rsidRPr="00D56C84">
        <w:rPr>
          <w:sz w:val="18"/>
          <w:szCs w:val="18"/>
        </w:rPr>
        <w:t xml:space="preserve"> percentage of households is covered by any such service;</w:t>
      </w:r>
    </w:p>
    <w:p w:rsidR="00C519AB" w:rsidRPr="00D56C84" w:rsidRDefault="00C519AB" w:rsidP="007C33EE">
      <w:pPr>
        <w:pStyle w:val="ParaIndent"/>
        <w:spacing w:after="60"/>
        <w:ind w:left="1985"/>
        <w:jc w:val="both"/>
        <w:rPr>
          <w:sz w:val="18"/>
          <w:szCs w:val="18"/>
        </w:rPr>
      </w:pPr>
      <w:r w:rsidRPr="00D56C84">
        <w:rPr>
          <w:sz w:val="18"/>
          <w:szCs w:val="18"/>
        </w:rPr>
        <w:t xml:space="preserve">(b) </w:t>
      </w:r>
      <w:proofErr w:type="gramStart"/>
      <w:r w:rsidRPr="00D56C84">
        <w:rPr>
          <w:sz w:val="18"/>
          <w:szCs w:val="18"/>
        </w:rPr>
        <w:t>participation</w:t>
      </w:r>
      <w:proofErr w:type="gramEnd"/>
      <w:r w:rsidRPr="00D56C84">
        <w:rPr>
          <w:sz w:val="18"/>
          <w:szCs w:val="18"/>
        </w:rPr>
        <w:t xml:space="preserve"> rate in any such service;</w:t>
      </w:r>
    </w:p>
    <w:p w:rsidR="00C519AB" w:rsidRPr="00D56C84" w:rsidRDefault="00C519AB" w:rsidP="007C33EE">
      <w:pPr>
        <w:pStyle w:val="ParaIndent"/>
        <w:spacing w:after="60"/>
        <w:ind w:left="1985"/>
        <w:jc w:val="both"/>
        <w:rPr>
          <w:sz w:val="18"/>
          <w:szCs w:val="18"/>
        </w:rPr>
      </w:pPr>
      <w:r w:rsidRPr="00D56C84">
        <w:rPr>
          <w:sz w:val="18"/>
          <w:szCs w:val="18"/>
        </w:rPr>
        <w:lastRenderedPageBreak/>
        <w:t xml:space="preserve">(c) </w:t>
      </w:r>
      <w:proofErr w:type="gramStart"/>
      <w:r w:rsidRPr="00D56C84">
        <w:rPr>
          <w:sz w:val="18"/>
          <w:szCs w:val="18"/>
        </w:rPr>
        <w:t>number</w:t>
      </w:r>
      <w:proofErr w:type="gramEnd"/>
      <w:r w:rsidRPr="00D56C84">
        <w:rPr>
          <w:sz w:val="18"/>
          <w:szCs w:val="18"/>
        </w:rPr>
        <w:t xml:space="preserve"> of tenements covered by the service and whether the tenements are residential tenements or other kinds of tenement;</w:t>
      </w:r>
    </w:p>
    <w:p w:rsidR="00C519AB" w:rsidRPr="00D56C84" w:rsidRDefault="00C519AB" w:rsidP="007C33EE">
      <w:pPr>
        <w:pStyle w:val="ParaIndent"/>
        <w:spacing w:after="60"/>
        <w:ind w:left="1985"/>
        <w:jc w:val="both"/>
        <w:rPr>
          <w:sz w:val="18"/>
          <w:szCs w:val="18"/>
        </w:rPr>
      </w:pPr>
      <w:r w:rsidRPr="00D56C84">
        <w:rPr>
          <w:sz w:val="18"/>
          <w:szCs w:val="18"/>
        </w:rPr>
        <w:t xml:space="preserve">(d) </w:t>
      </w:r>
      <w:proofErr w:type="gramStart"/>
      <w:r w:rsidRPr="00D56C84">
        <w:rPr>
          <w:sz w:val="18"/>
          <w:szCs w:val="18"/>
        </w:rPr>
        <w:t>per</w:t>
      </w:r>
      <w:proofErr w:type="gramEnd"/>
      <w:r w:rsidRPr="00D56C84">
        <w:rPr>
          <w:sz w:val="18"/>
          <w:szCs w:val="18"/>
        </w:rPr>
        <w:t xml:space="preserve"> tenement fee charged for recycling collection services;</w:t>
      </w:r>
    </w:p>
    <w:p w:rsidR="00C519AB" w:rsidRPr="00D56C84" w:rsidRDefault="00C519AB" w:rsidP="007C33EE">
      <w:pPr>
        <w:pStyle w:val="ParaIndent"/>
        <w:spacing w:after="60"/>
        <w:ind w:left="1985"/>
        <w:jc w:val="both"/>
        <w:rPr>
          <w:sz w:val="18"/>
          <w:szCs w:val="18"/>
        </w:rPr>
      </w:pPr>
      <w:r w:rsidRPr="00D56C84">
        <w:rPr>
          <w:sz w:val="18"/>
          <w:szCs w:val="18"/>
        </w:rPr>
        <w:t xml:space="preserve">(e) </w:t>
      </w:r>
      <w:proofErr w:type="gramStart"/>
      <w:r w:rsidRPr="00D56C84">
        <w:rPr>
          <w:sz w:val="18"/>
          <w:szCs w:val="18"/>
        </w:rPr>
        <w:t>total</w:t>
      </w:r>
      <w:proofErr w:type="gramEnd"/>
      <w:r w:rsidRPr="00D56C84">
        <w:rPr>
          <w:sz w:val="18"/>
          <w:szCs w:val="18"/>
        </w:rPr>
        <w:t xml:space="preserve"> weight of recyclable material collected at kerbside or by other municipal materials recovery systems by material type;</w:t>
      </w:r>
    </w:p>
    <w:p w:rsidR="00C519AB" w:rsidRPr="00D56C84" w:rsidRDefault="00C519AB" w:rsidP="007C33EE">
      <w:pPr>
        <w:pStyle w:val="ParaIndent"/>
        <w:spacing w:after="60"/>
        <w:ind w:left="1985"/>
        <w:jc w:val="both"/>
        <w:rPr>
          <w:sz w:val="18"/>
          <w:szCs w:val="18"/>
        </w:rPr>
      </w:pPr>
      <w:r w:rsidRPr="00D56C84">
        <w:rPr>
          <w:sz w:val="18"/>
          <w:szCs w:val="18"/>
        </w:rPr>
        <w:t xml:space="preserve">(f) </w:t>
      </w:r>
      <w:proofErr w:type="gramStart"/>
      <w:r w:rsidRPr="00D56C84">
        <w:rPr>
          <w:sz w:val="18"/>
          <w:szCs w:val="18"/>
        </w:rPr>
        <w:t>if</w:t>
      </w:r>
      <w:proofErr w:type="gramEnd"/>
      <w:r w:rsidRPr="00D56C84">
        <w:rPr>
          <w:sz w:val="18"/>
          <w:szCs w:val="18"/>
        </w:rPr>
        <w:t xml:space="preserve"> the material collected is sorted:</w:t>
      </w:r>
    </w:p>
    <w:p w:rsidR="00C519AB" w:rsidRPr="00D56C84" w:rsidRDefault="00C519AB" w:rsidP="007C33EE">
      <w:pPr>
        <w:pStyle w:val="ParaIndent"/>
        <w:keepNext/>
        <w:spacing w:after="60"/>
        <w:ind w:left="2268"/>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the</w:t>
      </w:r>
      <w:proofErr w:type="gramEnd"/>
      <w:r w:rsidRPr="00D56C84">
        <w:rPr>
          <w:sz w:val="18"/>
          <w:szCs w:val="18"/>
        </w:rPr>
        <w:t xml:space="preserve"> total weight of each material type sold and/or sent for secondary use, including energy recovery;</w:t>
      </w:r>
    </w:p>
    <w:p w:rsidR="00C519AB" w:rsidRPr="00D56C84" w:rsidRDefault="00C519AB" w:rsidP="007C33EE">
      <w:pPr>
        <w:pStyle w:val="ParaIndent"/>
        <w:spacing w:after="60"/>
        <w:ind w:left="2268"/>
        <w:jc w:val="both"/>
        <w:rPr>
          <w:sz w:val="18"/>
          <w:szCs w:val="18"/>
        </w:rPr>
      </w:pPr>
      <w:r w:rsidRPr="00D56C84">
        <w:rPr>
          <w:sz w:val="18"/>
          <w:szCs w:val="18"/>
        </w:rPr>
        <w:t xml:space="preserve">(ii) </w:t>
      </w:r>
      <w:proofErr w:type="gramStart"/>
      <w:r w:rsidRPr="00D56C84">
        <w:rPr>
          <w:sz w:val="18"/>
          <w:szCs w:val="18"/>
        </w:rPr>
        <w:t>the</w:t>
      </w:r>
      <w:proofErr w:type="gramEnd"/>
      <w:r w:rsidRPr="00D56C84">
        <w:rPr>
          <w:sz w:val="18"/>
          <w:szCs w:val="18"/>
        </w:rPr>
        <w:t xml:space="preserve"> total weight of the residual fraction disposed of to landfill by material type if practicable.</w:t>
      </w:r>
    </w:p>
    <w:p w:rsidR="00C519AB" w:rsidRPr="00D56C84" w:rsidRDefault="00C519AB" w:rsidP="007C33EE">
      <w:pPr>
        <w:pStyle w:val="ParaIndent"/>
        <w:spacing w:after="60"/>
        <w:ind w:left="1701"/>
        <w:jc w:val="both"/>
        <w:rPr>
          <w:sz w:val="18"/>
          <w:szCs w:val="18"/>
        </w:rPr>
      </w:pPr>
      <w:r w:rsidRPr="00D56C84">
        <w:rPr>
          <w:sz w:val="18"/>
          <w:szCs w:val="18"/>
        </w:rPr>
        <w:t>(</w:t>
      </w:r>
      <w:r w:rsidR="008A2FF6" w:rsidRPr="00D56C84">
        <w:rPr>
          <w:sz w:val="18"/>
          <w:szCs w:val="18"/>
        </w:rPr>
        <w:t xml:space="preserve"> ) ...</w:t>
      </w:r>
    </w:p>
    <w:p w:rsidR="00C519AB" w:rsidRPr="00D56C84" w:rsidRDefault="00C519AB" w:rsidP="007C33EE">
      <w:pPr>
        <w:pStyle w:val="ParaIndent"/>
        <w:keepNext/>
        <w:spacing w:after="60"/>
        <w:ind w:left="1701"/>
        <w:jc w:val="both"/>
        <w:rPr>
          <w:sz w:val="18"/>
          <w:szCs w:val="18"/>
        </w:rPr>
      </w:pPr>
      <w:r w:rsidRPr="00D56C84">
        <w:rPr>
          <w:sz w:val="18"/>
          <w:szCs w:val="18"/>
        </w:rPr>
        <w:t>(4) Participating jurisdictions shall maintain the confidentiality of any commercially sensitive information provided under this clause unless:</w:t>
      </w:r>
    </w:p>
    <w:p w:rsidR="00C519AB" w:rsidRPr="00D56C84" w:rsidRDefault="00C519AB" w:rsidP="007C33EE">
      <w:pPr>
        <w:pStyle w:val="ParaIndent"/>
        <w:spacing w:after="60"/>
        <w:ind w:left="1985"/>
        <w:jc w:val="both"/>
        <w:rPr>
          <w:sz w:val="18"/>
          <w:szCs w:val="18"/>
        </w:rPr>
      </w:pPr>
      <w:r w:rsidRPr="00D56C84">
        <w:rPr>
          <w:sz w:val="18"/>
          <w:szCs w:val="18"/>
        </w:rPr>
        <w:t xml:space="preserve">(a) </w:t>
      </w:r>
      <w:proofErr w:type="gramStart"/>
      <w:r w:rsidRPr="00D56C84">
        <w:rPr>
          <w:sz w:val="18"/>
          <w:szCs w:val="18"/>
        </w:rPr>
        <w:t>the</w:t>
      </w:r>
      <w:proofErr w:type="gramEnd"/>
      <w:r w:rsidRPr="00D56C84">
        <w:rPr>
          <w:sz w:val="18"/>
          <w:szCs w:val="18"/>
        </w:rPr>
        <w:t xml:space="preserve"> parties identified in 17(1) and 17(3) consent to the release of the information; or</w:t>
      </w:r>
    </w:p>
    <w:p w:rsidR="00C519AB" w:rsidRPr="00D56C84" w:rsidRDefault="00C519AB" w:rsidP="007C33EE">
      <w:pPr>
        <w:pStyle w:val="ParaIndent"/>
        <w:spacing w:after="60"/>
        <w:ind w:left="1985"/>
        <w:jc w:val="both"/>
        <w:rPr>
          <w:sz w:val="18"/>
          <w:szCs w:val="18"/>
        </w:rPr>
      </w:pPr>
      <w:r w:rsidRPr="00D56C84">
        <w:rPr>
          <w:sz w:val="18"/>
          <w:szCs w:val="18"/>
        </w:rPr>
        <w:t xml:space="preserve">(b) </w:t>
      </w:r>
      <w:proofErr w:type="gramStart"/>
      <w:r w:rsidRPr="00D56C84">
        <w:rPr>
          <w:sz w:val="18"/>
          <w:szCs w:val="18"/>
        </w:rPr>
        <w:t>the</w:t>
      </w:r>
      <w:proofErr w:type="gramEnd"/>
      <w:r w:rsidRPr="00D56C84">
        <w:rPr>
          <w:sz w:val="18"/>
          <w:szCs w:val="18"/>
        </w:rPr>
        <w:t xml:space="preserve"> participating jurisdiction is legally compelled to release it; or</w:t>
      </w:r>
    </w:p>
    <w:p w:rsidR="00C519AB" w:rsidRPr="00D56C84" w:rsidRDefault="00C519AB" w:rsidP="007C33EE">
      <w:pPr>
        <w:pStyle w:val="ParaIndent"/>
        <w:spacing w:after="60"/>
        <w:ind w:left="1985"/>
        <w:jc w:val="both"/>
        <w:rPr>
          <w:sz w:val="18"/>
          <w:szCs w:val="18"/>
        </w:rPr>
      </w:pPr>
      <w:r w:rsidRPr="00D56C84">
        <w:rPr>
          <w:sz w:val="18"/>
          <w:szCs w:val="18"/>
        </w:rPr>
        <w:t xml:space="preserve">(c) </w:t>
      </w:r>
      <w:proofErr w:type="gramStart"/>
      <w:r w:rsidRPr="00D56C84">
        <w:rPr>
          <w:sz w:val="18"/>
          <w:szCs w:val="18"/>
        </w:rPr>
        <w:t>the</w:t>
      </w:r>
      <w:proofErr w:type="gramEnd"/>
      <w:r w:rsidRPr="00D56C84">
        <w:rPr>
          <w:sz w:val="18"/>
          <w:szCs w:val="18"/>
        </w:rPr>
        <w:t xml:space="preserve"> information is aggregated with other information so as to conceal its source; or</w:t>
      </w:r>
    </w:p>
    <w:p w:rsidR="00C519AB" w:rsidRPr="00D56C84" w:rsidRDefault="00C519AB" w:rsidP="007C33EE">
      <w:pPr>
        <w:pStyle w:val="ParaIndent"/>
        <w:spacing w:after="60"/>
        <w:ind w:left="1985"/>
        <w:jc w:val="both"/>
        <w:rPr>
          <w:sz w:val="18"/>
          <w:szCs w:val="18"/>
        </w:rPr>
      </w:pPr>
      <w:r w:rsidRPr="00D56C84">
        <w:rPr>
          <w:sz w:val="18"/>
          <w:szCs w:val="18"/>
        </w:rPr>
        <w:t xml:space="preserve">(d) </w:t>
      </w:r>
      <w:proofErr w:type="gramStart"/>
      <w:r w:rsidRPr="00D56C84">
        <w:rPr>
          <w:sz w:val="18"/>
          <w:szCs w:val="18"/>
        </w:rPr>
        <w:t>it</w:t>
      </w:r>
      <w:proofErr w:type="gramEnd"/>
      <w:r w:rsidRPr="00D56C84">
        <w:rPr>
          <w:sz w:val="18"/>
          <w:szCs w:val="18"/>
        </w:rPr>
        <w:t xml:space="preserve"> is in the public interest to release it.</w:t>
      </w:r>
    </w:p>
    <w:p w:rsidR="00C519AB" w:rsidRPr="00D56C84" w:rsidRDefault="00C519AB" w:rsidP="007C33EE">
      <w:pPr>
        <w:pStyle w:val="ParaIndent"/>
        <w:keepNext/>
        <w:spacing w:after="60"/>
        <w:ind w:left="1701"/>
        <w:jc w:val="both"/>
        <w:rPr>
          <w:sz w:val="18"/>
          <w:szCs w:val="18"/>
        </w:rPr>
      </w:pPr>
      <w:r w:rsidRPr="00D56C84">
        <w:rPr>
          <w:sz w:val="18"/>
          <w:szCs w:val="18"/>
        </w:rPr>
        <w:t>(5) Participating jurisdictions shall require each local government, or grouping of local governments, to report the information mentioned in subclause (1) for a financial year:</w:t>
      </w:r>
    </w:p>
    <w:p w:rsidR="00C519AB" w:rsidRPr="00D56C84" w:rsidRDefault="00C519AB" w:rsidP="007C33EE">
      <w:pPr>
        <w:pStyle w:val="ParaIndent"/>
        <w:spacing w:after="60"/>
        <w:ind w:left="1985"/>
        <w:jc w:val="both"/>
        <w:rPr>
          <w:sz w:val="18"/>
          <w:szCs w:val="18"/>
        </w:rPr>
      </w:pPr>
      <w:r w:rsidRPr="00D56C84">
        <w:rPr>
          <w:sz w:val="18"/>
          <w:szCs w:val="18"/>
        </w:rPr>
        <w:t xml:space="preserve">(a) </w:t>
      </w:r>
      <w:proofErr w:type="gramStart"/>
      <w:r w:rsidRPr="00D56C84">
        <w:rPr>
          <w:sz w:val="18"/>
          <w:szCs w:val="18"/>
        </w:rPr>
        <w:t>to</w:t>
      </w:r>
      <w:proofErr w:type="gramEnd"/>
      <w:r w:rsidRPr="00D56C84">
        <w:rPr>
          <w:sz w:val="18"/>
          <w:szCs w:val="18"/>
        </w:rPr>
        <w:t xml:space="preserve"> the nominated agency of the participating jurisdiction within which the municipal district or group of municipal districts lies; and</w:t>
      </w:r>
    </w:p>
    <w:p w:rsidR="00C519AB" w:rsidRPr="00D56C84" w:rsidRDefault="00C519AB" w:rsidP="007C33EE">
      <w:pPr>
        <w:pStyle w:val="ParaIndent"/>
        <w:spacing w:after="60"/>
        <w:ind w:left="1985"/>
        <w:jc w:val="both"/>
        <w:rPr>
          <w:sz w:val="18"/>
          <w:szCs w:val="18"/>
        </w:rPr>
      </w:pPr>
      <w:r w:rsidRPr="00D56C84">
        <w:rPr>
          <w:sz w:val="18"/>
          <w:szCs w:val="18"/>
        </w:rPr>
        <w:t xml:space="preserve">(b) </w:t>
      </w:r>
      <w:proofErr w:type="gramStart"/>
      <w:r w:rsidRPr="00D56C84">
        <w:rPr>
          <w:sz w:val="18"/>
          <w:szCs w:val="18"/>
        </w:rPr>
        <w:t>within</w:t>
      </w:r>
      <w:proofErr w:type="gramEnd"/>
      <w:r w:rsidRPr="00D56C84">
        <w:rPr>
          <w:sz w:val="18"/>
          <w:szCs w:val="18"/>
        </w:rPr>
        <w:t xml:space="preserve"> a timeframe agreed by jurisdictions in consultation with local government after the end of the financial year to which the information relates.</w:t>
      </w:r>
    </w:p>
    <w:p w:rsidR="00C519AB" w:rsidRPr="00D56C84" w:rsidRDefault="00C519AB" w:rsidP="007C33EE">
      <w:pPr>
        <w:pStyle w:val="ParaIndent"/>
        <w:ind w:left="1701"/>
        <w:jc w:val="both"/>
        <w:rPr>
          <w:sz w:val="18"/>
          <w:szCs w:val="18"/>
        </w:rPr>
      </w:pPr>
      <w:r w:rsidRPr="00D56C84">
        <w:rPr>
          <w:sz w:val="18"/>
          <w:szCs w:val="18"/>
        </w:rPr>
        <w:t>(6) Participating jurisdictions should also report on participation in complementary collection systems for recyclables.</w:t>
      </w:r>
    </w:p>
    <w:p w:rsidR="00C26509" w:rsidRPr="00D56C84" w:rsidRDefault="00793484" w:rsidP="007C33EE">
      <w:pPr>
        <w:pStyle w:val="ParaIndent"/>
        <w:jc w:val="both"/>
      </w:pPr>
      <w:r w:rsidRPr="00D56C84">
        <w:t>D</w:t>
      </w:r>
      <w:r w:rsidR="00C26509" w:rsidRPr="00D56C84">
        <w:t xml:space="preserve">ata </w:t>
      </w:r>
      <w:r w:rsidR="00742BD1" w:rsidRPr="00D56C84">
        <w:t xml:space="preserve">on the kerbside collection of packaging materials </w:t>
      </w:r>
      <w:r w:rsidR="00C26509" w:rsidRPr="00D56C84">
        <w:t>is reported as part of the National Environment P</w:t>
      </w:r>
      <w:r w:rsidRPr="00D56C84">
        <w:t xml:space="preserve">rotection Council Annual Report, but </w:t>
      </w:r>
      <w:r w:rsidR="00742BD1" w:rsidRPr="00D56C84">
        <w:t xml:space="preserve">only </w:t>
      </w:r>
      <w:r w:rsidRPr="00D56C84">
        <w:t>in an aggregated form for each state and territory.</w:t>
      </w:r>
      <w:r w:rsidR="00627935">
        <w:t xml:space="preserve"> Estimates are not available of the accuracy of council data under the NEPM.</w:t>
      </w:r>
      <w:r w:rsidRPr="00D56C84">
        <w:t xml:space="preserve"> Data</w:t>
      </w:r>
      <w:r w:rsidR="00C26509" w:rsidRPr="00D56C84">
        <w:t xml:space="preserve"> disaggregated at a municipal level </w:t>
      </w:r>
      <w:r w:rsidRPr="00D56C84">
        <w:t xml:space="preserve">has been published </w:t>
      </w:r>
      <w:r w:rsidR="00742BD1" w:rsidRPr="00D56C84">
        <w:t xml:space="preserve">periodically by NSW and Victoria </w:t>
      </w:r>
      <w:r w:rsidRPr="00D56C84">
        <w:t>as part of a larger data set regarding the overall perfo</w:t>
      </w:r>
      <w:r w:rsidR="00742BD1" w:rsidRPr="00D56C84">
        <w:t xml:space="preserve">rmance of each local government (see further discussion in </w:t>
      </w:r>
      <w:r w:rsidR="000865F7">
        <w:t>S</w:t>
      </w:r>
      <w:r w:rsidR="00742BD1" w:rsidRPr="00D56C84">
        <w:t xml:space="preserve">ections </w:t>
      </w:r>
      <w:fldSimple w:instr=" REF _Ref301941488 \w \h  \* MERGEFORMAT ">
        <w:r w:rsidR="00166111">
          <w:t>6</w:t>
        </w:r>
      </w:fldSimple>
      <w:r w:rsidR="000865F7">
        <w:t xml:space="preserve"> </w:t>
      </w:r>
      <w:r w:rsidR="00742BD1" w:rsidRPr="00D56C84">
        <w:t xml:space="preserve">and </w:t>
      </w:r>
      <w:fldSimple w:instr=" REF _Ref293923522 \r \h  \* MERGEFORMAT ">
        <w:r w:rsidR="00166111">
          <w:t>7</w:t>
        </w:r>
      </w:fldSimple>
      <w:r w:rsidR="00742BD1" w:rsidRPr="00D56C84">
        <w:t>).</w:t>
      </w:r>
    </w:p>
    <w:p w:rsidR="001B587C" w:rsidRDefault="00ED6CA0" w:rsidP="007C33EE">
      <w:pPr>
        <w:pStyle w:val="ParaIndent"/>
        <w:jc w:val="both"/>
      </w:pPr>
      <w:fldSimple w:instr=" REF _Ref297133505 \h  \* MERGEFORMAT ">
        <w:r w:rsidR="00166111" w:rsidRPr="00D56C84">
          <w:t xml:space="preserve">Table </w:t>
        </w:r>
        <w:r w:rsidR="00166111">
          <w:rPr>
            <w:noProof/>
          </w:rPr>
          <w:t>5</w:t>
        </w:r>
        <w:r w:rsidR="00166111" w:rsidRPr="00D56C84">
          <w:rPr>
            <w:noProof/>
          </w:rPr>
          <w:t>-</w:t>
        </w:r>
        <w:r w:rsidR="00166111">
          <w:rPr>
            <w:noProof/>
          </w:rPr>
          <w:t>7</w:t>
        </w:r>
      </w:fldSimple>
      <w:r w:rsidR="005018E4" w:rsidRPr="00D56C84">
        <w:t xml:space="preserve"> sets out the mechanisms that states and territories have used to implement the Used Packaging NEPM.</w:t>
      </w:r>
      <w:r w:rsidR="00793484" w:rsidRPr="00D56C84">
        <w:t xml:space="preserve"> These are worth noting </w:t>
      </w:r>
      <w:r w:rsidR="00E6691C" w:rsidRPr="00D56C84">
        <w:t>as they are often incorporated into</w:t>
      </w:r>
      <w:r w:rsidR="00793484" w:rsidRPr="00D56C84">
        <w:t xml:space="preserve"> </w:t>
      </w:r>
      <w:r w:rsidR="00E6691C" w:rsidRPr="00D56C84">
        <w:t xml:space="preserve">a broader </w:t>
      </w:r>
      <w:r w:rsidR="00793484" w:rsidRPr="00D56C84">
        <w:t xml:space="preserve">legislation </w:t>
      </w:r>
      <w:r w:rsidR="00E6691C" w:rsidRPr="00D56C84">
        <w:t>or</w:t>
      </w:r>
      <w:r w:rsidR="00793484" w:rsidRPr="00D56C84">
        <w:t xml:space="preserve"> regulations </w:t>
      </w:r>
      <w:r w:rsidR="00E6691C" w:rsidRPr="00D56C84">
        <w:t>regarding waste management</w:t>
      </w:r>
      <w:r w:rsidR="00793484" w:rsidRPr="00D56C84">
        <w:t>.</w:t>
      </w:r>
    </w:p>
    <w:p w:rsidR="001B587C" w:rsidRDefault="001B587C">
      <w:pPr>
        <w:spacing w:after="0" w:line="240" w:lineRule="auto"/>
        <w:ind w:left="0"/>
      </w:pPr>
      <w:r>
        <w:br w:type="page"/>
      </w:r>
    </w:p>
    <w:p w:rsidR="00690B3D" w:rsidRPr="00D56C84" w:rsidRDefault="00690B3D" w:rsidP="00690B3D">
      <w:pPr>
        <w:pStyle w:val="Caption"/>
      </w:pPr>
      <w:bookmarkStart w:id="39" w:name="_Ref297133505"/>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5</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7</w:t>
      </w:r>
      <w:r w:rsidR="00ED6CA0">
        <w:rPr>
          <w:noProof/>
        </w:rPr>
        <w:fldChar w:fldCharType="end"/>
      </w:r>
      <w:bookmarkEnd w:id="39"/>
      <w:r w:rsidRPr="00D56C84">
        <w:tab/>
      </w:r>
      <w:r w:rsidRPr="001B587C">
        <w:t>Implementation of the Used Packaging Materials NEPM in each jurisdiction</w:t>
      </w:r>
    </w:p>
    <w:tbl>
      <w:tblPr>
        <w:tblStyle w:val="TableGrid"/>
        <w:tblW w:w="0" w:type="auto"/>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1701"/>
        <w:gridCol w:w="6804"/>
      </w:tblGrid>
      <w:tr w:rsidR="00C519AB" w:rsidRPr="00D56C84" w:rsidTr="008A2FF6">
        <w:tc>
          <w:tcPr>
            <w:tcW w:w="1701" w:type="dxa"/>
            <w:shd w:val="clear" w:color="auto" w:fill="auto"/>
            <w:vAlign w:val="center"/>
          </w:tcPr>
          <w:p w:rsidR="00C519AB" w:rsidRPr="00D56C84" w:rsidRDefault="00C519AB" w:rsidP="008A2FF6">
            <w:pPr>
              <w:pStyle w:val="TableHeading"/>
            </w:pPr>
            <w:r w:rsidRPr="00D56C84">
              <w:t>Jurisdiction</w:t>
            </w:r>
          </w:p>
        </w:tc>
        <w:tc>
          <w:tcPr>
            <w:tcW w:w="6804" w:type="dxa"/>
            <w:shd w:val="clear" w:color="auto" w:fill="auto"/>
            <w:vAlign w:val="center"/>
          </w:tcPr>
          <w:p w:rsidR="00C519AB" w:rsidRPr="00D56C84" w:rsidRDefault="00C519AB" w:rsidP="008A2FF6">
            <w:pPr>
              <w:pStyle w:val="TableHeading"/>
            </w:pPr>
            <w:r w:rsidRPr="00D56C84">
              <w:t>Implementation mechanism(s)</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New South Wales </w:t>
            </w:r>
          </w:p>
        </w:tc>
        <w:tc>
          <w:tcPr>
            <w:tcW w:w="6804" w:type="dxa"/>
            <w:shd w:val="clear" w:color="auto" w:fill="auto"/>
            <w:vAlign w:val="center"/>
          </w:tcPr>
          <w:p w:rsidR="00C519AB" w:rsidRPr="001D4B03" w:rsidRDefault="00C519AB" w:rsidP="008A2FF6">
            <w:pPr>
              <w:pStyle w:val="TableText"/>
              <w:rPr>
                <w:i/>
                <w:szCs w:val="18"/>
              </w:rPr>
            </w:pPr>
            <w:r w:rsidRPr="001D4B03">
              <w:rPr>
                <w:i/>
                <w:szCs w:val="18"/>
              </w:rPr>
              <w:t>Protection of the Environment Operations (Waste) Regulation 2006</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Victoria </w:t>
            </w:r>
          </w:p>
        </w:tc>
        <w:tc>
          <w:tcPr>
            <w:tcW w:w="6804" w:type="dxa"/>
            <w:shd w:val="clear" w:color="auto" w:fill="auto"/>
            <w:vAlign w:val="center"/>
          </w:tcPr>
          <w:p w:rsidR="00C519AB" w:rsidRPr="00D56C84" w:rsidRDefault="00C519AB" w:rsidP="008A2FF6">
            <w:pPr>
              <w:pStyle w:val="TableText"/>
              <w:rPr>
                <w:szCs w:val="18"/>
              </w:rPr>
            </w:pPr>
            <w:r w:rsidRPr="00D56C84">
              <w:rPr>
                <w:szCs w:val="18"/>
              </w:rPr>
              <w:t xml:space="preserve">Waste Management Policy (Used Packaging Materials) (2006), under the </w:t>
            </w:r>
            <w:r w:rsidRPr="001D4B03">
              <w:rPr>
                <w:i/>
                <w:szCs w:val="18"/>
              </w:rPr>
              <w:t>Environment Protection Act (1970)</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Queensland </w:t>
            </w:r>
          </w:p>
        </w:tc>
        <w:tc>
          <w:tcPr>
            <w:tcW w:w="6804" w:type="dxa"/>
            <w:shd w:val="clear" w:color="auto" w:fill="auto"/>
            <w:vAlign w:val="center"/>
          </w:tcPr>
          <w:p w:rsidR="00C519AB" w:rsidRPr="001D4B03" w:rsidRDefault="00C519AB" w:rsidP="008A2FF6">
            <w:pPr>
              <w:pStyle w:val="TableText"/>
              <w:rPr>
                <w:i/>
                <w:szCs w:val="18"/>
              </w:rPr>
            </w:pPr>
            <w:r w:rsidRPr="001D4B03">
              <w:rPr>
                <w:i/>
                <w:szCs w:val="18"/>
              </w:rPr>
              <w:t>Environmental Protection (Waste Management) Regulation (2000)</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Western Australia </w:t>
            </w:r>
          </w:p>
        </w:tc>
        <w:tc>
          <w:tcPr>
            <w:tcW w:w="6804" w:type="dxa"/>
            <w:shd w:val="clear" w:color="auto" w:fill="auto"/>
            <w:vAlign w:val="center"/>
          </w:tcPr>
          <w:p w:rsidR="00C519AB" w:rsidRPr="00D56C84" w:rsidRDefault="00C519AB" w:rsidP="008A2FF6">
            <w:pPr>
              <w:pStyle w:val="TableText"/>
              <w:rPr>
                <w:szCs w:val="18"/>
              </w:rPr>
            </w:pPr>
            <w:r w:rsidRPr="001D4B03">
              <w:rPr>
                <w:i/>
                <w:szCs w:val="18"/>
              </w:rPr>
              <w:t>Environmental Protection (NEPM Used Packaging Materials) Regulations 2007</w:t>
            </w:r>
            <w:r w:rsidRPr="00D56C84">
              <w:rPr>
                <w:szCs w:val="18"/>
              </w:rPr>
              <w:t xml:space="preserve"> under the </w:t>
            </w:r>
            <w:r w:rsidRPr="001D4B03">
              <w:rPr>
                <w:i/>
                <w:szCs w:val="18"/>
              </w:rPr>
              <w:t>Environmental Protection Act (1986)</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South Australia </w:t>
            </w:r>
          </w:p>
        </w:tc>
        <w:tc>
          <w:tcPr>
            <w:tcW w:w="6804" w:type="dxa"/>
            <w:shd w:val="clear" w:color="auto" w:fill="auto"/>
            <w:vAlign w:val="center"/>
          </w:tcPr>
          <w:p w:rsidR="00C519AB" w:rsidRPr="00D56C84" w:rsidRDefault="00C519AB" w:rsidP="008A2FF6">
            <w:pPr>
              <w:pStyle w:val="TableText"/>
              <w:rPr>
                <w:szCs w:val="18"/>
              </w:rPr>
            </w:pPr>
            <w:r w:rsidRPr="00D56C84">
              <w:rPr>
                <w:szCs w:val="18"/>
              </w:rPr>
              <w:t xml:space="preserve">Environment Protection Policy under the </w:t>
            </w:r>
            <w:r w:rsidRPr="001D4B03">
              <w:rPr>
                <w:i/>
                <w:szCs w:val="18"/>
              </w:rPr>
              <w:t>Environment Protection Act (1993)</w:t>
            </w:r>
          </w:p>
        </w:tc>
      </w:tr>
      <w:tr w:rsidR="00C519AB" w:rsidRPr="00D56C84" w:rsidTr="008A2FF6">
        <w:tc>
          <w:tcPr>
            <w:tcW w:w="1701" w:type="dxa"/>
            <w:shd w:val="clear" w:color="auto" w:fill="auto"/>
            <w:vAlign w:val="center"/>
          </w:tcPr>
          <w:p w:rsidR="00C519AB" w:rsidRPr="00D56C84" w:rsidRDefault="00C519AB" w:rsidP="008A2FF6">
            <w:pPr>
              <w:pStyle w:val="TableText"/>
              <w:rPr>
                <w:szCs w:val="18"/>
              </w:rPr>
            </w:pPr>
            <w:r w:rsidRPr="00D56C84">
              <w:rPr>
                <w:szCs w:val="18"/>
              </w:rPr>
              <w:t xml:space="preserve">Tasmania </w:t>
            </w:r>
          </w:p>
        </w:tc>
        <w:tc>
          <w:tcPr>
            <w:tcW w:w="6804" w:type="dxa"/>
            <w:shd w:val="clear" w:color="auto" w:fill="auto"/>
            <w:vAlign w:val="center"/>
          </w:tcPr>
          <w:p w:rsidR="00C519AB" w:rsidRPr="001D4B03" w:rsidRDefault="00C519AB" w:rsidP="008A2FF6">
            <w:pPr>
              <w:pStyle w:val="TableText"/>
              <w:rPr>
                <w:i/>
                <w:szCs w:val="18"/>
              </w:rPr>
            </w:pPr>
            <w:r w:rsidRPr="001D4B03">
              <w:rPr>
                <w:i/>
                <w:szCs w:val="18"/>
              </w:rPr>
              <w:t>State P</w:t>
            </w:r>
            <w:r w:rsidR="008A2FF6" w:rsidRPr="001D4B03">
              <w:rPr>
                <w:i/>
                <w:szCs w:val="18"/>
              </w:rPr>
              <w:t>olicies and Projects Act (1993)</w:t>
            </w:r>
          </w:p>
          <w:p w:rsidR="00C519AB" w:rsidRPr="00D56C84" w:rsidRDefault="00C519AB" w:rsidP="008A2FF6">
            <w:pPr>
              <w:pStyle w:val="TableText"/>
              <w:rPr>
                <w:szCs w:val="18"/>
              </w:rPr>
            </w:pPr>
            <w:r w:rsidRPr="001D4B03">
              <w:rPr>
                <w:i/>
                <w:szCs w:val="18"/>
              </w:rPr>
              <w:t>Environmental Management and Pollution Control Act (1994)</w:t>
            </w:r>
          </w:p>
        </w:tc>
      </w:tr>
      <w:tr w:rsidR="00C519AB" w:rsidRPr="00D56C84" w:rsidTr="008A2FF6">
        <w:tc>
          <w:tcPr>
            <w:tcW w:w="1701" w:type="dxa"/>
            <w:tcBorders>
              <w:bottom w:val="single" w:sz="4" w:space="0" w:color="808080"/>
            </w:tcBorders>
            <w:shd w:val="clear" w:color="auto" w:fill="auto"/>
            <w:vAlign w:val="center"/>
          </w:tcPr>
          <w:p w:rsidR="00C519AB" w:rsidRPr="00D56C84" w:rsidRDefault="00C519AB" w:rsidP="008A2FF6">
            <w:pPr>
              <w:pStyle w:val="TableText"/>
              <w:rPr>
                <w:szCs w:val="18"/>
              </w:rPr>
            </w:pPr>
            <w:r w:rsidRPr="00D56C84">
              <w:rPr>
                <w:szCs w:val="18"/>
              </w:rPr>
              <w:t xml:space="preserve">Australian Capital Territory </w:t>
            </w:r>
          </w:p>
        </w:tc>
        <w:tc>
          <w:tcPr>
            <w:tcW w:w="6804" w:type="dxa"/>
            <w:tcBorders>
              <w:bottom w:val="single" w:sz="4" w:space="0" w:color="808080"/>
            </w:tcBorders>
            <w:shd w:val="clear" w:color="auto" w:fill="auto"/>
            <w:vAlign w:val="center"/>
          </w:tcPr>
          <w:p w:rsidR="00C519AB" w:rsidRPr="00D56C84" w:rsidRDefault="00C519AB" w:rsidP="008A2FF6">
            <w:pPr>
              <w:pStyle w:val="TableText"/>
              <w:rPr>
                <w:szCs w:val="18"/>
              </w:rPr>
            </w:pPr>
            <w:r w:rsidRPr="00D56C84">
              <w:rPr>
                <w:szCs w:val="18"/>
              </w:rPr>
              <w:t xml:space="preserve">Industry Waste Reduction Plan under the </w:t>
            </w:r>
            <w:r w:rsidRPr="001D4B03">
              <w:rPr>
                <w:i/>
                <w:szCs w:val="18"/>
              </w:rPr>
              <w:t>Waste Minimisation Act 2001</w:t>
            </w:r>
          </w:p>
        </w:tc>
      </w:tr>
      <w:tr w:rsidR="00C519AB" w:rsidRPr="00D56C84" w:rsidTr="008A2FF6">
        <w:tc>
          <w:tcPr>
            <w:tcW w:w="1701" w:type="dxa"/>
            <w:tcBorders>
              <w:top w:val="single" w:sz="4" w:space="0" w:color="808080"/>
              <w:bottom w:val="single" w:sz="4" w:space="0" w:color="808080"/>
            </w:tcBorders>
            <w:shd w:val="clear" w:color="auto" w:fill="auto"/>
            <w:vAlign w:val="center"/>
          </w:tcPr>
          <w:p w:rsidR="00C519AB" w:rsidRPr="00D56C84" w:rsidRDefault="00C519AB" w:rsidP="008A2FF6">
            <w:pPr>
              <w:pStyle w:val="TableText"/>
              <w:rPr>
                <w:szCs w:val="18"/>
              </w:rPr>
            </w:pPr>
            <w:r w:rsidRPr="00D56C84">
              <w:rPr>
                <w:szCs w:val="18"/>
              </w:rPr>
              <w:t xml:space="preserve">Northern Territory </w:t>
            </w:r>
          </w:p>
        </w:tc>
        <w:tc>
          <w:tcPr>
            <w:tcW w:w="6804" w:type="dxa"/>
            <w:tcBorders>
              <w:top w:val="single" w:sz="4" w:space="0" w:color="808080"/>
              <w:bottom w:val="single" w:sz="4" w:space="0" w:color="808080"/>
            </w:tcBorders>
            <w:shd w:val="clear" w:color="auto" w:fill="auto"/>
            <w:vAlign w:val="center"/>
          </w:tcPr>
          <w:p w:rsidR="00C519AB" w:rsidRPr="00D56C84" w:rsidRDefault="00C519AB" w:rsidP="008A2FF6">
            <w:pPr>
              <w:pStyle w:val="TableText"/>
              <w:rPr>
                <w:szCs w:val="18"/>
              </w:rPr>
            </w:pPr>
            <w:r w:rsidRPr="00D56C84">
              <w:rPr>
                <w:szCs w:val="18"/>
              </w:rPr>
              <w:t xml:space="preserve">2007 </w:t>
            </w:r>
            <w:r w:rsidRPr="001B587C">
              <w:rPr>
                <w:i/>
                <w:szCs w:val="18"/>
              </w:rPr>
              <w:t>Re-thinking Waste</w:t>
            </w:r>
          </w:p>
        </w:tc>
      </w:tr>
    </w:tbl>
    <w:p w:rsidR="00D75DF3" w:rsidRPr="00D56C84" w:rsidRDefault="00D75DF3" w:rsidP="007C33EE">
      <w:pPr>
        <w:pStyle w:val="Heading3"/>
        <w:jc w:val="both"/>
      </w:pPr>
      <w:bookmarkStart w:id="40" w:name="_Ref293923518"/>
      <w:r w:rsidRPr="00D56C84">
        <w:t>Federal Local Government (Financial Assistance) Act 1995</w:t>
      </w:r>
    </w:p>
    <w:p w:rsidR="00A54302" w:rsidRDefault="007C33EE" w:rsidP="007C33EE">
      <w:pPr>
        <w:pStyle w:val="ParaIndent"/>
        <w:jc w:val="both"/>
      </w:pPr>
      <w:r>
        <w:t>T</w:t>
      </w:r>
      <w:r w:rsidR="00774320">
        <w:t>he relevant environment agency in each jurisdiction will generally be the primary body responsible for overseeing the environmental performance of councils,</w:t>
      </w:r>
      <w:r w:rsidR="000C56AF">
        <w:t xml:space="preserve"> and therefore the primary repository of information about waste and recycling</w:t>
      </w:r>
      <w:r>
        <w:t>. However</w:t>
      </w:r>
      <w:r w:rsidR="000C56AF">
        <w:t>,</w:t>
      </w:r>
      <w:r w:rsidR="00774320">
        <w:t xml:space="preserve"> the information presented within the jurisdictional summary sections of this report highlights that </w:t>
      </w:r>
      <w:r w:rsidR="00A54302" w:rsidRPr="00D56C84">
        <w:t>Local Government Grants Commissions</w:t>
      </w:r>
      <w:r w:rsidR="00A54302">
        <w:t xml:space="preserve"> can be </w:t>
      </w:r>
      <w:r w:rsidR="00774320">
        <w:t xml:space="preserve">also be </w:t>
      </w:r>
      <w:r w:rsidR="00A54302">
        <w:t>an important source of information about the role and performance of Australian local government</w:t>
      </w:r>
      <w:r w:rsidR="001A2874">
        <w:t>s</w:t>
      </w:r>
      <w:r w:rsidR="00A54302">
        <w:t xml:space="preserve"> in relation to the management of waste and recycling</w:t>
      </w:r>
      <w:r w:rsidR="00774320">
        <w:t>.</w:t>
      </w:r>
    </w:p>
    <w:p w:rsidR="00D75DF3" w:rsidRPr="00D56C84" w:rsidRDefault="00D75DF3" w:rsidP="007C33EE">
      <w:pPr>
        <w:pStyle w:val="ParaIndent"/>
        <w:jc w:val="both"/>
      </w:pPr>
      <w:r w:rsidRPr="00D56C84">
        <w:t xml:space="preserve">Under the provisions of the </w:t>
      </w:r>
      <w:r w:rsidRPr="00A54302">
        <w:rPr>
          <w:i/>
        </w:rPr>
        <w:t>Federal Local Government (Financial Assistance) Act 1995</w:t>
      </w:r>
      <w:r w:rsidRPr="00D56C84">
        <w:t>, the federal government provides jurisdictional Local Government Grants Commissions with funding for the provision of financial assistance to local government bodies. These allocations are guided by a set of National Principles, but the Act provides that these grants are untied. On this basis the General Purpo</w:t>
      </w:r>
      <w:r w:rsidR="001A2874">
        <w:t>se Grants that are directed to c</w:t>
      </w:r>
      <w:r w:rsidRPr="00D56C84">
        <w:t>ouncils have no requirements on how these funds are to be spent.</w:t>
      </w:r>
    </w:p>
    <w:p w:rsidR="00D75DF3" w:rsidRPr="00D56C84" w:rsidRDefault="00D75DF3" w:rsidP="007C33EE">
      <w:pPr>
        <w:pStyle w:val="ParaIndent"/>
        <w:spacing w:after="60"/>
        <w:jc w:val="both"/>
      </w:pPr>
      <w:r w:rsidRPr="00D56C84">
        <w:t>In simplistic terms, General Purpose Grants are allocated between Australian States and Territories on a population basis, however each Local Government Grants Commission is required to a</w:t>
      </w:r>
      <w:r w:rsidR="001A2874">
        <w:t>llocate funding to their local c</w:t>
      </w:r>
      <w:r w:rsidRPr="00D56C84">
        <w:t>ouncils in accordance with six agreed National Principles, which are:</w:t>
      </w:r>
    </w:p>
    <w:p w:rsidR="00D75DF3" w:rsidRPr="00D56C84" w:rsidRDefault="00D75DF3" w:rsidP="00471613">
      <w:pPr>
        <w:pStyle w:val="PointsNumbers"/>
      </w:pPr>
      <w:r w:rsidRPr="00D56C84">
        <w:t>Horizontal equalisation - General purpose grants are to be allocated to councils, as far as practicable, on a full horizontal equalisation basis. This aims to ensure that each council is able to function, by reasonable effort, at a standard not lower than the average standard of other councils in the State/Territory</w:t>
      </w:r>
    </w:p>
    <w:p w:rsidR="00D75DF3" w:rsidRPr="00D56C84" w:rsidRDefault="00D75DF3" w:rsidP="00471613">
      <w:pPr>
        <w:pStyle w:val="PointsNumbers"/>
      </w:pPr>
      <w:r w:rsidRPr="00D56C84">
        <w:t>Effort neutrality - In allocating general purpose grants, an effort or policy neutral approach is to be used in assessing the expenditure requirements and revenue raising capacity of each council. This means as far as practicable, the policies of individual councils in terms of expenditure and revenue efforts will not affect the grant determination</w:t>
      </w:r>
    </w:p>
    <w:p w:rsidR="00D75DF3" w:rsidRPr="00D56C84" w:rsidRDefault="00D75DF3" w:rsidP="00471613">
      <w:pPr>
        <w:pStyle w:val="PointsNumbers"/>
      </w:pPr>
      <w:r w:rsidRPr="00D56C84">
        <w:t>Minimum grant - The minimum general purpose grant for a council is to be not less than the amount to which it would be entitled if 30 per cent of the total amount of general purpose grants were allocated on a per capita basis</w:t>
      </w:r>
    </w:p>
    <w:p w:rsidR="00D75DF3" w:rsidRPr="00D56C84" w:rsidRDefault="00D75DF3" w:rsidP="00471613">
      <w:pPr>
        <w:pStyle w:val="PointsNumbers"/>
      </w:pPr>
      <w:r w:rsidRPr="00D56C84">
        <w:lastRenderedPageBreak/>
        <w:t>Other grant support - In allocating general purpose grants, other relevant grant support provided to local governing bodies to meet any of the expenditure needs assessed is to be taken into account</w:t>
      </w:r>
    </w:p>
    <w:p w:rsidR="00D75DF3" w:rsidRPr="00D56C84" w:rsidRDefault="00D75DF3" w:rsidP="00471613">
      <w:pPr>
        <w:pStyle w:val="PointsNumbers"/>
      </w:pPr>
      <w:r w:rsidRPr="00D56C84">
        <w:t>Aboriginal Peoples &amp; Torres Strait Islanders - Financial assistance is to be allocated to councils in a way which recognises the needs of Aboriginal peoples and Torres Strait Islanders within their boundaries</w:t>
      </w:r>
    </w:p>
    <w:p w:rsidR="00D75DF3" w:rsidRPr="00D56C84" w:rsidRDefault="00D75DF3" w:rsidP="00471613">
      <w:pPr>
        <w:pStyle w:val="PointsNumbers"/>
      </w:pPr>
      <w:r w:rsidRPr="00D56C84">
        <w:t>Council Amalgamation - Where two or more local governing bodies are amalgamated into a single body, the general purpose grant provided to the new body for each of the four years following amalgamation should be the total of the amounts that would have been provided to the former bodies in each of those years if they had remained separate entities</w:t>
      </w:r>
      <w:r w:rsidR="000865F7">
        <w:t>.</w:t>
      </w:r>
    </w:p>
    <w:p w:rsidR="001B587C" w:rsidRDefault="00D75DF3" w:rsidP="007C33EE">
      <w:pPr>
        <w:pStyle w:val="ParaIndent"/>
        <w:jc w:val="both"/>
      </w:pPr>
      <w:r w:rsidRPr="00D56C84">
        <w:t>Beyond fulfilling these guiding principles, each jurisdiction has a documented method for its allocation of monies to local governments.</w:t>
      </w:r>
    </w:p>
    <w:p w:rsidR="00C80524" w:rsidRPr="00D56C84" w:rsidRDefault="00C80524" w:rsidP="00C80524">
      <w:pPr>
        <w:pStyle w:val="ParaIndent"/>
        <w:jc w:val="both"/>
      </w:pPr>
      <w:r w:rsidRPr="00776610">
        <w:t xml:space="preserve">As detailed in </w:t>
      </w:r>
      <w:fldSimple w:instr=" REF _Ref307311969 \h  \* MERGEFORMAT ">
        <w:r w:rsidR="00166111" w:rsidRPr="0076258D">
          <w:t xml:space="preserve">Table </w:t>
        </w:r>
        <w:r w:rsidR="00166111">
          <w:rPr>
            <w:noProof/>
          </w:rPr>
          <w:t>4</w:t>
        </w:r>
        <w:r w:rsidR="00166111" w:rsidRPr="0076258D">
          <w:rPr>
            <w:noProof/>
          </w:rPr>
          <w:t>-</w:t>
        </w:r>
        <w:r w:rsidR="00166111">
          <w:rPr>
            <w:noProof/>
          </w:rPr>
          <w:t>6</w:t>
        </w:r>
      </w:fldSimple>
      <w:r w:rsidRPr="00776610">
        <w:t xml:space="preserve"> and throughout the jurisdictional summary sections of this report (Chapters 6-13 inclusive), in some jurisdictions </w:t>
      </w:r>
      <w:r w:rsidR="001A2874" w:rsidRPr="00776610">
        <w:t xml:space="preserve">the information available through </w:t>
      </w:r>
      <w:r w:rsidRPr="00776610">
        <w:t>Local Government Grants Commissions provide</w:t>
      </w:r>
      <w:r w:rsidR="001A2874" w:rsidRPr="00776610">
        <w:t>s</w:t>
      </w:r>
      <w:r w:rsidRPr="00776610">
        <w:t xml:space="preserve"> an important contribution to the body of LGA-specific waste-related information that is publicly available. </w:t>
      </w:r>
    </w:p>
    <w:p w:rsidR="00464371" w:rsidRPr="00D56C84" w:rsidRDefault="00464371" w:rsidP="00464371">
      <w:pPr>
        <w:pStyle w:val="Heading2"/>
      </w:pPr>
      <w:bookmarkStart w:id="41" w:name="_Toc307470425"/>
      <w:r w:rsidRPr="00D56C84">
        <w:t>Information pathways</w:t>
      </w:r>
      <w:bookmarkEnd w:id="41"/>
      <w:r w:rsidR="006355B4">
        <w:t xml:space="preserve"> </w:t>
      </w:r>
    </w:p>
    <w:p w:rsidR="00D75DF3" w:rsidRPr="00D56C84" w:rsidRDefault="00D75DF3" w:rsidP="00D75DF3">
      <w:pPr>
        <w:pStyle w:val="Heading3"/>
        <w:spacing w:before="240" w:after="240"/>
      </w:pPr>
      <w:r w:rsidRPr="00D56C84">
        <w:t>Annual Waste and Recycling Surveys</w:t>
      </w:r>
    </w:p>
    <w:p w:rsidR="00D75DF3" w:rsidRPr="00D56C84" w:rsidRDefault="00D75DF3" w:rsidP="007C33EE">
      <w:pPr>
        <w:ind w:left="1134"/>
        <w:jc w:val="both"/>
      </w:pPr>
      <w:r w:rsidRPr="00D56C84">
        <w:t xml:space="preserve">Several state government departments (Victoria, NSW, Queensland and WA), have developed an annual survey dedicated solely to the collection of waste and recycling data, which is sent to all councils in the state. The survey generally incorporates the information required under the National Environment Protection Measure (NEPM) for Used Packaging Materials, and as such, councils are required to submit at least some data. </w:t>
      </w:r>
    </w:p>
    <w:p w:rsidR="00D75DF3" w:rsidRPr="00D56C84" w:rsidRDefault="00D75DF3" w:rsidP="007C33EE">
      <w:pPr>
        <w:ind w:left="1134"/>
        <w:jc w:val="both"/>
      </w:pPr>
      <w:r w:rsidRPr="00D56C84">
        <w:t>While several states have achieved full participation with the surveys, others have experienced poor response rates, and/or incomplete and inconsistent submissions. Even in states where legislation requires council participation, penalties and fines have not generally been issued. Data is generally not audited in any jurisdiction, and a lack of resourcing generally limits the various departments’ ability to follow up on anomalies in the data.</w:t>
      </w:r>
    </w:p>
    <w:p w:rsidR="00D75DF3" w:rsidRPr="00D56C84" w:rsidRDefault="00D75DF3" w:rsidP="007C33EE">
      <w:pPr>
        <w:pStyle w:val="Heading3"/>
        <w:spacing w:before="240" w:after="240"/>
        <w:jc w:val="both"/>
      </w:pPr>
      <w:r w:rsidRPr="00D56C84">
        <w:t>Financial Reporting</w:t>
      </w:r>
    </w:p>
    <w:p w:rsidR="00D75DF3" w:rsidRPr="00D56C84" w:rsidRDefault="00D75DF3" w:rsidP="0030549A">
      <w:pPr>
        <w:ind w:left="1134"/>
        <w:jc w:val="both"/>
        <w:rPr>
          <w:rFonts w:cs="Arial"/>
          <w:color w:val="000000"/>
        </w:rPr>
      </w:pPr>
      <w:r w:rsidRPr="00D56C84">
        <w:t xml:space="preserve">The ABS also undertakes a number of national surveys, including a survey of annual local government financial statistics. In addition, most jurisdictions require councils to produce a full set of Audited Financial Statements to </w:t>
      </w:r>
      <w:r w:rsidR="0030549A">
        <w:rPr>
          <w:rFonts w:cs="Arial"/>
          <w:color w:val="000000"/>
        </w:rPr>
        <w:t>the relevant s</w:t>
      </w:r>
      <w:r w:rsidRPr="00D56C84">
        <w:rPr>
          <w:rFonts w:cs="Arial"/>
          <w:color w:val="000000"/>
        </w:rPr>
        <w:t>tate Grants Commission.</w:t>
      </w:r>
      <w:r w:rsidRPr="00D56C84">
        <w:t xml:space="preserve"> In order to reduce the reporting burden on councils, relevant departments in most states</w:t>
      </w:r>
      <w:r w:rsidRPr="00D56C84">
        <w:rPr>
          <w:rFonts w:cs="Arial"/>
          <w:color w:val="000000"/>
        </w:rPr>
        <w:t xml:space="preserve"> have</w:t>
      </w:r>
      <w:r w:rsidRPr="00D56C84">
        <w:t>,</w:t>
      </w:r>
      <w:r w:rsidRPr="00D56C84">
        <w:rPr>
          <w:rFonts w:cs="Arial"/>
          <w:color w:val="000000"/>
        </w:rPr>
        <w:t xml:space="preserve"> in collaboration with the ABS, developed a data collection instrument that incorporate the requirements of the ABS, </w:t>
      </w:r>
      <w:r w:rsidRPr="00776610">
        <w:rPr>
          <w:rFonts w:cs="Arial"/>
          <w:color w:val="000000"/>
        </w:rPr>
        <w:t>the relevant state Grants Commission and, in many cases, the department’s annual performance indicator collection.</w:t>
      </w:r>
      <w:r w:rsidR="0030549A" w:rsidRPr="00776610">
        <w:rPr>
          <w:rFonts w:cs="Arial"/>
          <w:color w:val="000000"/>
        </w:rPr>
        <w:t xml:space="preserve"> Some data at the individual LGA level is available as a Special Data Service from the ABS. Aggregated data, by jurisdiction, is published in </w:t>
      </w:r>
      <w:r w:rsidR="0030549A" w:rsidRPr="00776610">
        <w:rPr>
          <w:rFonts w:cs="Arial"/>
          <w:i/>
          <w:color w:val="000000"/>
        </w:rPr>
        <w:t>Government Finance Statistics, Australia.</w:t>
      </w:r>
    </w:p>
    <w:p w:rsidR="00D75DF3" w:rsidRPr="00D56C84" w:rsidRDefault="00D75DF3" w:rsidP="007C33EE">
      <w:pPr>
        <w:pStyle w:val="Heading3"/>
        <w:spacing w:before="240" w:after="240"/>
        <w:jc w:val="both"/>
      </w:pPr>
      <w:r w:rsidRPr="00D56C84">
        <w:t>State of the Environment Reporting</w:t>
      </w:r>
    </w:p>
    <w:p w:rsidR="00D75DF3" w:rsidRPr="00D56C84" w:rsidRDefault="00D75DF3" w:rsidP="007C33EE">
      <w:pPr>
        <w:pStyle w:val="ParaIndent"/>
        <w:jc w:val="both"/>
      </w:pPr>
      <w:r w:rsidRPr="00D56C84">
        <w:t xml:space="preserve">National reporting obligations have been legislated under the </w:t>
      </w:r>
      <w:r w:rsidRPr="00D56C84">
        <w:rPr>
          <w:i/>
        </w:rPr>
        <w:t>Environment Protection and Biodiversity Conservation Act 1999</w:t>
      </w:r>
      <w:r w:rsidRPr="00D56C84">
        <w:t>, which requires an Australian S</w:t>
      </w:r>
      <w:r w:rsidR="007C33EE">
        <w:t xml:space="preserve">tate </w:t>
      </w:r>
      <w:r w:rsidRPr="00D56C84">
        <w:t>o</w:t>
      </w:r>
      <w:r w:rsidR="007C33EE">
        <w:t xml:space="preserve">f the </w:t>
      </w:r>
      <w:r w:rsidRPr="00D56C84">
        <w:t>E</w:t>
      </w:r>
      <w:r w:rsidR="007C33EE">
        <w:t>nvironment (</w:t>
      </w:r>
      <w:proofErr w:type="spellStart"/>
      <w:r w:rsidR="007C33EE">
        <w:t>SoE</w:t>
      </w:r>
      <w:proofErr w:type="spellEnd"/>
      <w:r w:rsidR="007C33EE">
        <w:t>)</w:t>
      </w:r>
      <w:r w:rsidRPr="00D56C84">
        <w:t xml:space="preserve"> report be produced every five years. The first national </w:t>
      </w:r>
      <w:proofErr w:type="spellStart"/>
      <w:r w:rsidRPr="00D56C84">
        <w:t>SoE</w:t>
      </w:r>
      <w:proofErr w:type="spellEnd"/>
      <w:r w:rsidRPr="00D56C84">
        <w:t xml:space="preserve"> report was published in 1996, </w:t>
      </w:r>
      <w:r w:rsidRPr="00D56C84">
        <w:lastRenderedPageBreak/>
        <w:t xml:space="preserve">largely as a result of international obligations arising from the National Strategy for Ecologically Sustainable Development, which identified </w:t>
      </w:r>
      <w:proofErr w:type="spellStart"/>
      <w:r w:rsidRPr="00D56C84">
        <w:t>SoE</w:t>
      </w:r>
      <w:proofErr w:type="spellEnd"/>
      <w:r w:rsidRPr="00D56C84">
        <w:t xml:space="preserve"> reporting as one of its objectives. </w:t>
      </w:r>
    </w:p>
    <w:p w:rsidR="00D75DF3" w:rsidRPr="00D56C84" w:rsidRDefault="00D75DF3" w:rsidP="007C33EE">
      <w:pPr>
        <w:pStyle w:val="ParaIndent"/>
        <w:jc w:val="both"/>
      </w:pPr>
      <w:r w:rsidRPr="00D56C84">
        <w:t xml:space="preserve">The most recent </w:t>
      </w:r>
      <w:proofErr w:type="spellStart"/>
      <w:r w:rsidRPr="00D56C84">
        <w:t>SoE</w:t>
      </w:r>
      <w:proofErr w:type="spellEnd"/>
      <w:r w:rsidRPr="00D56C84">
        <w:t xml:space="preserve"> report was published in 2006</w:t>
      </w:r>
      <w:r w:rsidR="00C811E3">
        <w:t>.</w:t>
      </w:r>
      <w:r w:rsidRPr="00D56C84">
        <w:t>SoE 2011 is due to be tabled in Parliament by 31 December 2011.</w:t>
      </w:r>
    </w:p>
    <w:p w:rsidR="00D75DF3" w:rsidRDefault="00D75DF3" w:rsidP="007C33EE">
      <w:pPr>
        <w:pStyle w:val="ParaIndent"/>
        <w:jc w:val="both"/>
      </w:pPr>
      <w:r w:rsidRPr="00D56C84">
        <w:t xml:space="preserve">Section 11.1 of </w:t>
      </w:r>
      <w:proofErr w:type="spellStart"/>
      <w:r w:rsidRPr="00D56C84">
        <w:t>SoE</w:t>
      </w:r>
      <w:proofErr w:type="spellEnd"/>
      <w:r w:rsidRPr="00D56C84">
        <w:t xml:space="preserve"> 2006 addressed the role of local government, in particular expenditure on the environment and the significant portion of this that was spent on solid waste management.</w:t>
      </w:r>
    </w:p>
    <w:p w:rsidR="00B149CD" w:rsidRDefault="00B149CD" w:rsidP="007C33EE">
      <w:pPr>
        <w:pStyle w:val="ParaIndent"/>
        <w:jc w:val="both"/>
      </w:pPr>
      <w:r>
        <w:t>All</w:t>
      </w:r>
      <w:r w:rsidRPr="00B149CD">
        <w:t xml:space="preserve"> states and territories of Australia produce </w:t>
      </w:r>
      <w:proofErr w:type="spellStart"/>
      <w:r w:rsidRPr="00B149CD">
        <w:t>SoE</w:t>
      </w:r>
      <w:proofErr w:type="spellEnd"/>
      <w:r w:rsidRPr="00B149CD">
        <w:t xml:space="preserve"> reports</w:t>
      </w:r>
      <w:r>
        <w:t>, with the exception of the Northern Territory</w:t>
      </w:r>
      <w:r w:rsidRPr="00B149CD">
        <w:t xml:space="preserve">. </w:t>
      </w:r>
      <w:r>
        <w:t>In some jurisdictions</w:t>
      </w:r>
      <w:r w:rsidR="0048219A">
        <w:t>, notably NSW,</w:t>
      </w:r>
      <w:r>
        <w:t xml:space="preserve"> there is a legislative requirement for Councils to provide information for jurisdictional </w:t>
      </w:r>
      <w:proofErr w:type="spellStart"/>
      <w:r>
        <w:t>SoE</w:t>
      </w:r>
      <w:proofErr w:type="spellEnd"/>
      <w:r>
        <w:t xml:space="preserve"> reports; these requirements are further explained in the relevant jurisdictional summary chapters of this report.</w:t>
      </w:r>
    </w:p>
    <w:p w:rsidR="006355B4" w:rsidRPr="00776610" w:rsidRDefault="006355B4" w:rsidP="007C33EE">
      <w:pPr>
        <w:pStyle w:val="Heading3"/>
        <w:jc w:val="both"/>
        <w:rPr>
          <w:i/>
        </w:rPr>
      </w:pPr>
      <w:r w:rsidRPr="00776610">
        <w:rPr>
          <w:i/>
        </w:rPr>
        <w:t>Waste &amp; Recycling in Australia</w:t>
      </w:r>
    </w:p>
    <w:p w:rsidR="006355B4" w:rsidRPr="00D56C84" w:rsidRDefault="006355B4" w:rsidP="007C33EE">
      <w:pPr>
        <w:pStyle w:val="ParaIndent"/>
        <w:jc w:val="both"/>
      </w:pPr>
      <w:r w:rsidRPr="00D56C84">
        <w:t xml:space="preserve">The </w:t>
      </w:r>
      <w:r w:rsidRPr="00D56C84">
        <w:rPr>
          <w:i/>
        </w:rPr>
        <w:t>Waste and Recycling in Australia</w:t>
      </w:r>
      <w:r w:rsidRPr="00D56C84">
        <w:t xml:space="preserve"> series of reports, commissioned by the Australian Government, provide the most comprehensive overview of national waste and recycling data, including (but not limited to) the municipal waste stream. This includes performance data on waste generation, recycling rates, and tonnes of waste disposed to landfill.</w:t>
      </w:r>
    </w:p>
    <w:p w:rsidR="006355B4" w:rsidRPr="00D56C84" w:rsidRDefault="006355B4" w:rsidP="007C33EE">
      <w:pPr>
        <w:pStyle w:val="ParaIndent"/>
        <w:jc w:val="both"/>
        <w:rPr>
          <w:i/>
          <w:iCs/>
        </w:rPr>
      </w:pPr>
      <w:r w:rsidRPr="00D56C84">
        <w:t xml:space="preserve">In February 2006 </w:t>
      </w:r>
      <w:proofErr w:type="spellStart"/>
      <w:r w:rsidRPr="00D56C84">
        <w:t>Hyder</w:t>
      </w:r>
      <w:proofErr w:type="spellEnd"/>
      <w:r w:rsidRPr="00D56C84">
        <w:t xml:space="preserve"> produced the first </w:t>
      </w:r>
      <w:r w:rsidRPr="00D56C84">
        <w:rPr>
          <w:i/>
          <w:iCs/>
        </w:rPr>
        <w:t xml:space="preserve">Waste and Recycling in Australia </w:t>
      </w:r>
      <w:r w:rsidRPr="00D56C84">
        <w:rPr>
          <w:iCs/>
        </w:rPr>
        <w:t>report</w:t>
      </w:r>
      <w:r w:rsidRPr="00D56C84">
        <w:rPr>
          <w:i/>
          <w:iCs/>
        </w:rPr>
        <w:t xml:space="preserve">. </w:t>
      </w:r>
      <w:r w:rsidRPr="00D56C84">
        <w:t>This report informed the then Department of Environment and Heritage</w:t>
      </w:r>
      <w:r w:rsidR="00C811E3">
        <w:t>’</w:t>
      </w:r>
      <w:r w:rsidRPr="00D56C84">
        <w:t>s submission to the Productivity Commission</w:t>
      </w:r>
      <w:r w:rsidR="00C811E3">
        <w:t>’</w:t>
      </w:r>
      <w:r w:rsidRPr="00D56C84">
        <w:t>s inquiry into waste generation and resource efficiency in Australia.</w:t>
      </w:r>
    </w:p>
    <w:p w:rsidR="006355B4" w:rsidRPr="00D56C84" w:rsidRDefault="006355B4" w:rsidP="007C33EE">
      <w:pPr>
        <w:pStyle w:val="ParaIndent"/>
        <w:jc w:val="both"/>
      </w:pPr>
      <w:proofErr w:type="spellStart"/>
      <w:r w:rsidRPr="00D56C84">
        <w:t>Hyder</w:t>
      </w:r>
      <w:proofErr w:type="spellEnd"/>
      <w:r w:rsidRPr="00D56C84">
        <w:t xml:space="preserve"> produced a report with the same title in 2008 for the (then) Department of the Environment, Water, Heritage and the Arts, collating data for the financial year 2006–07. The 2008 report updated and supplemented information contained in the 2006 report, and endeavoured to provide the most up-to-date and comprehensive picture of waste and recycling activity in Australia. </w:t>
      </w:r>
    </w:p>
    <w:p w:rsidR="006355B4" w:rsidRPr="00D56C84" w:rsidRDefault="006355B4" w:rsidP="007C33EE">
      <w:pPr>
        <w:pStyle w:val="ParaIndent"/>
        <w:jc w:val="both"/>
      </w:pPr>
      <w:r w:rsidRPr="00D56C84">
        <w:t xml:space="preserve">An amended version of the 2008 report was produced by </w:t>
      </w:r>
      <w:proofErr w:type="spellStart"/>
      <w:r w:rsidRPr="00D56C84">
        <w:t>Hyder</w:t>
      </w:r>
      <w:proofErr w:type="spellEnd"/>
      <w:r w:rsidRPr="00D56C84">
        <w:t xml:space="preserve"> in 2009 to incorporate 2006–07 data from states and territories, which was not available at the time of writing the original 2008 report. The amended version also included the latest data for some organic materials that had become available subsequent to the publication of the original report in 2008. </w:t>
      </w:r>
    </w:p>
    <w:p w:rsidR="006355B4" w:rsidRPr="00D56C84" w:rsidRDefault="006355B4" w:rsidP="007C33EE">
      <w:pPr>
        <w:pStyle w:val="ParaIndent"/>
        <w:jc w:val="both"/>
      </w:pPr>
      <w:proofErr w:type="spellStart"/>
      <w:r w:rsidRPr="00D56C84">
        <w:t>Hyder</w:t>
      </w:r>
      <w:proofErr w:type="spellEnd"/>
      <w:r w:rsidRPr="00D56C84">
        <w:t xml:space="preserve"> has recently submitted the fourth report in this series, </w:t>
      </w:r>
      <w:r w:rsidRPr="00D56C84">
        <w:rPr>
          <w:i/>
        </w:rPr>
        <w:t>Waste and Recycling in Australia 2011</w:t>
      </w:r>
      <w:r w:rsidRPr="00D56C84">
        <w:t>, to the Department of Sustainability, Environment, Water, Population and Communities (DSEWPaC). This report presents, where available, 2008–09 data from state and territories, and industry bodies.</w:t>
      </w:r>
    </w:p>
    <w:p w:rsidR="006355B4" w:rsidRPr="00D56C84" w:rsidRDefault="006355B4" w:rsidP="007C33EE">
      <w:pPr>
        <w:pStyle w:val="Heading3"/>
        <w:jc w:val="both"/>
      </w:pPr>
      <w:bookmarkStart w:id="42" w:name="_Ref300209865"/>
      <w:r w:rsidRPr="00D56C84">
        <w:t>Australian Bureau of Statistics</w:t>
      </w:r>
      <w:bookmarkEnd w:id="42"/>
    </w:p>
    <w:p w:rsidR="006355B4" w:rsidRPr="00D56C84" w:rsidRDefault="006355B4" w:rsidP="007C33EE">
      <w:pPr>
        <w:pStyle w:val="ParaIndent"/>
        <w:jc w:val="both"/>
      </w:pPr>
      <w:r w:rsidRPr="00D56C84">
        <w:t xml:space="preserve">In July 2011 the ABS released </w:t>
      </w:r>
      <w:r w:rsidRPr="00834B26">
        <w:rPr>
          <w:i/>
        </w:rPr>
        <w:t>Waste Management Services, Australia, 2009</w:t>
      </w:r>
      <w:r w:rsidR="00C811E3">
        <w:rPr>
          <w:i/>
        </w:rPr>
        <w:t>–</w:t>
      </w:r>
      <w:r w:rsidRPr="00834B26">
        <w:rPr>
          <w:i/>
        </w:rPr>
        <w:t>10</w:t>
      </w:r>
      <w:r w:rsidRPr="00D56C84">
        <w:t>. The previous ABS data release on waste management covered the period of 2002</w:t>
      </w:r>
      <w:r w:rsidR="00C811E3">
        <w:rPr>
          <w:rFonts w:cs="Arial"/>
        </w:rPr>
        <w:t>–</w:t>
      </w:r>
      <w:r w:rsidRPr="00D56C84">
        <w:t xml:space="preserve">03. </w:t>
      </w:r>
    </w:p>
    <w:p w:rsidR="006355B4" w:rsidRPr="00D56C84" w:rsidRDefault="006355B4" w:rsidP="007C33EE">
      <w:pPr>
        <w:pStyle w:val="ParaIndent"/>
        <w:jc w:val="both"/>
      </w:pPr>
      <w:r w:rsidRPr="00D56C84">
        <w:t>The most recent publication presents estimates of the financial performance of waste management services businesses/organisations for 2009</w:t>
      </w:r>
      <w:r w:rsidR="0030549A">
        <w:rPr>
          <w:rFonts w:cs="Arial"/>
        </w:rPr>
        <w:t>–</w:t>
      </w:r>
      <w:r w:rsidRPr="00D56C84">
        <w:t>10. It also provides information on waste facilities operated, waste activities undertaken, quantities of waste received and processed, and factors hampering resource recovery.</w:t>
      </w:r>
    </w:p>
    <w:p w:rsidR="006355B4" w:rsidRPr="00D56C84" w:rsidRDefault="006355B4" w:rsidP="007C33EE">
      <w:pPr>
        <w:pStyle w:val="ParaIndent"/>
        <w:jc w:val="both"/>
      </w:pPr>
      <w:r w:rsidRPr="00D56C84">
        <w:t>Estimates were produced from data collected directly through the Waste Management Services Survey, comprising the Economic Activity Survey (EAS) and Local Government Survey conducted by the ABS.</w:t>
      </w:r>
    </w:p>
    <w:p w:rsidR="006355B4" w:rsidRDefault="006355B4" w:rsidP="007C33EE">
      <w:pPr>
        <w:pStyle w:val="ParaIndent"/>
        <w:jc w:val="both"/>
      </w:pPr>
      <w:r>
        <w:t xml:space="preserve">There are some significant differences between the ABS methodology of compiling waste data, and the methodology used to inform the </w:t>
      </w:r>
      <w:r w:rsidRPr="0030549A">
        <w:rPr>
          <w:i/>
        </w:rPr>
        <w:t>Waste and Recycling in Australia</w:t>
      </w:r>
      <w:r>
        <w:t xml:space="preserve"> reports for </w:t>
      </w:r>
      <w:r>
        <w:lastRenderedPageBreak/>
        <w:t xml:space="preserve">DSEWPaC. Significantly, the ABS is able to use statutory powers to gather data, while DSEWPaC relies primarily on public data sets. </w:t>
      </w:r>
    </w:p>
    <w:p w:rsidR="006355B4" w:rsidRPr="00D56C84" w:rsidRDefault="006355B4" w:rsidP="007C33EE">
      <w:pPr>
        <w:pStyle w:val="ParaIndent"/>
        <w:jc w:val="both"/>
      </w:pPr>
      <w:bookmarkStart w:id="43" w:name="scope"/>
      <w:bookmarkEnd w:id="43"/>
      <w:r w:rsidRPr="00D56C84">
        <w:t xml:space="preserve">The scope of the </w:t>
      </w:r>
      <w:r>
        <w:t xml:space="preserve">ABS data </w:t>
      </w:r>
      <w:r w:rsidRPr="00D56C84">
        <w:t xml:space="preserve">collection consisted of all employing and significant non-employing private and public trading sector businesses and organisations on the ABS Business Register classified to Australian and New Zealand Standard Industrial Classification (ANZSIC) Subdivision 29 - Waste Collection, Treatment and Disposal Services. ANZSIC Subdivision 29 consists of the following classes: </w:t>
      </w:r>
    </w:p>
    <w:p w:rsidR="006355B4" w:rsidRPr="00D56C84" w:rsidRDefault="006355B4" w:rsidP="007C33EE">
      <w:pPr>
        <w:pStyle w:val="ParaIndent"/>
        <w:numPr>
          <w:ilvl w:val="0"/>
          <w:numId w:val="34"/>
        </w:numPr>
        <w:jc w:val="both"/>
      </w:pPr>
      <w:r w:rsidRPr="00D56C84">
        <w:t>2911 Solid Waste Collection Services</w:t>
      </w:r>
    </w:p>
    <w:p w:rsidR="006355B4" w:rsidRPr="00D56C84" w:rsidRDefault="006355B4" w:rsidP="007C33EE">
      <w:pPr>
        <w:pStyle w:val="ParaIndent"/>
        <w:numPr>
          <w:ilvl w:val="0"/>
          <w:numId w:val="34"/>
        </w:numPr>
        <w:jc w:val="both"/>
      </w:pPr>
      <w:r w:rsidRPr="00D56C84">
        <w:t>2919 Other Waste Collection Services</w:t>
      </w:r>
    </w:p>
    <w:p w:rsidR="006355B4" w:rsidRPr="00D56C84" w:rsidRDefault="006355B4" w:rsidP="007C33EE">
      <w:pPr>
        <w:pStyle w:val="ParaIndent"/>
        <w:numPr>
          <w:ilvl w:val="0"/>
          <w:numId w:val="34"/>
        </w:numPr>
        <w:jc w:val="both"/>
      </w:pPr>
      <w:r w:rsidRPr="00D56C84">
        <w:t>2921 Waste Treatment and Disposal Services</w:t>
      </w:r>
    </w:p>
    <w:p w:rsidR="006355B4" w:rsidRPr="00D56C84" w:rsidRDefault="006355B4" w:rsidP="007C33EE">
      <w:pPr>
        <w:pStyle w:val="ParaIndent"/>
        <w:numPr>
          <w:ilvl w:val="0"/>
          <w:numId w:val="34"/>
        </w:numPr>
        <w:jc w:val="both"/>
      </w:pPr>
      <w:r w:rsidRPr="00D56C84">
        <w:t>2922 Waste Remediation and Materials Recovery Services</w:t>
      </w:r>
      <w:r w:rsidR="00C811E3">
        <w:t>.</w:t>
      </w:r>
    </w:p>
    <w:p w:rsidR="006355B4" w:rsidRDefault="006355B4" w:rsidP="007C33EE">
      <w:pPr>
        <w:pStyle w:val="ParaIndent"/>
        <w:jc w:val="both"/>
      </w:pPr>
      <w:r w:rsidRPr="00D56C84">
        <w:t>The survey scope also included the waste management activities of the general government sector. The general government sector in this survey mainly comprised local government administration units (ANZSIC class 7530) and units in ANZSIC subdivision 29 classified to Standard Institutional Sector Classification of Australia (SISCA) 3000 (General Government).</w:t>
      </w:r>
    </w:p>
    <w:p w:rsidR="006355B4" w:rsidRPr="00834B26" w:rsidRDefault="006355B4" w:rsidP="007C33EE">
      <w:pPr>
        <w:pStyle w:val="ParaIndent"/>
        <w:jc w:val="both"/>
      </w:pPr>
      <w:r>
        <w:t xml:space="preserve">Some non-coded landfill sites, as well as a significant portion of the organisations involved in recycling and reprocessing waste materials, are outside the scope of the industry codes used by the ABS. It is therefore likely that the ABS methodology underestimates the scale of activity, compared to the method used by </w:t>
      </w:r>
      <w:proofErr w:type="spellStart"/>
      <w:r>
        <w:t>Hyder</w:t>
      </w:r>
      <w:proofErr w:type="spellEnd"/>
      <w:r>
        <w:t xml:space="preserve"> to compile the </w:t>
      </w:r>
      <w:r w:rsidRPr="0030549A">
        <w:rPr>
          <w:i/>
        </w:rPr>
        <w:t>Waste and Recycling in Australia</w:t>
      </w:r>
      <w:r>
        <w:t xml:space="preserve"> reports for DSEWPaC.</w:t>
      </w:r>
      <w:r w:rsidR="00834B26">
        <w:t xml:space="preserve"> For example, ABS data on the tonnes of waste disposed is approximately 79% of the total reported in </w:t>
      </w:r>
      <w:r w:rsidR="00834B26" w:rsidRPr="00834B26">
        <w:rPr>
          <w:i/>
        </w:rPr>
        <w:t xml:space="preserve">Waste and Recycling in Australia </w:t>
      </w:r>
      <w:proofErr w:type="gramStart"/>
      <w:r w:rsidR="00834B26" w:rsidRPr="00834B26">
        <w:rPr>
          <w:i/>
        </w:rPr>
        <w:t>2011</w:t>
      </w:r>
      <w:r w:rsidR="00834B26">
        <w:t>,</w:t>
      </w:r>
      <w:proofErr w:type="gramEnd"/>
      <w:r w:rsidR="00834B26">
        <w:t xml:space="preserve"> and the ABS data relating to tonnes of material recovered is approximately 54% of the total reported in </w:t>
      </w:r>
      <w:r w:rsidR="00834B26" w:rsidRPr="00834B26">
        <w:rPr>
          <w:i/>
        </w:rPr>
        <w:t>Waste and Recycling in Australia 2011</w:t>
      </w:r>
      <w:r w:rsidR="00834B26">
        <w:rPr>
          <w:i/>
        </w:rPr>
        <w:t>.</w:t>
      </w:r>
    </w:p>
    <w:p w:rsidR="006355B4" w:rsidRPr="00D56C84" w:rsidRDefault="006355B4" w:rsidP="00026507">
      <w:pPr>
        <w:pStyle w:val="ParaIndent"/>
        <w:jc w:val="both"/>
      </w:pPr>
      <w:r w:rsidRPr="00D56C84">
        <w:t xml:space="preserve">For units in the general government sector, </w:t>
      </w:r>
      <w:r>
        <w:t xml:space="preserve">ABS </w:t>
      </w:r>
      <w:r w:rsidRPr="00D56C84">
        <w:t xml:space="preserve">data was collected for revenue from rates, charges, levies, fines and licenses related to waste management activities. Some general government sector units were unable to separately report this item, where there was no specific waste component of the total rates, resulting in waste expenses being covered by general revenue. </w:t>
      </w:r>
    </w:p>
    <w:p w:rsidR="006355B4" w:rsidRPr="00D56C84" w:rsidRDefault="006355B4" w:rsidP="00026507">
      <w:pPr>
        <w:pStyle w:val="ParaIndent"/>
        <w:jc w:val="both"/>
      </w:pPr>
      <w:r w:rsidRPr="00D56C84">
        <w:t>For general government sector organisations, where total expenses on waste management activities exceeded 120% of income related to waste management activities, an adjustment factor was applied to the data so that income was equal to expenses. This adjustment affected approximately 25% of general government sector units.</w:t>
      </w:r>
    </w:p>
    <w:p w:rsidR="006355B4" w:rsidRPr="00776610" w:rsidRDefault="006355B4" w:rsidP="00026507">
      <w:pPr>
        <w:pStyle w:val="ParaIndent"/>
        <w:jc w:val="both"/>
      </w:pPr>
      <w:r w:rsidRPr="00D56C84">
        <w:t>A sample of 867 businesses/organisations (561 private and public trading sector businesses and 306 general government sector organisations) was selected for the directly collected part of the 2009</w:t>
      </w:r>
      <w:r w:rsidR="00C811E3">
        <w:t>–</w:t>
      </w:r>
      <w:r w:rsidRPr="00D56C84">
        <w:t xml:space="preserve">10 </w:t>
      </w:r>
      <w:r w:rsidRPr="0030549A">
        <w:rPr>
          <w:i/>
        </w:rPr>
        <w:t>Waste Management Services Survey</w:t>
      </w:r>
      <w:r w:rsidRPr="00D56C84">
        <w:t xml:space="preserve">. Each business/organisation was asked to provide data sourced from financial and operational statements, through mail out questionnaires. Businesses/organisations were also </w:t>
      </w:r>
      <w:r w:rsidR="0030549A">
        <w:t>required</w:t>
      </w:r>
      <w:r w:rsidRPr="00D56C84">
        <w:t xml:space="preserve"> to supply key details of their </w:t>
      </w:r>
      <w:r w:rsidRPr="00776610">
        <w:t>operations by state/territory, enabling production of state/territory estimates.</w:t>
      </w:r>
    </w:p>
    <w:p w:rsidR="0030549A" w:rsidRPr="00D56C84" w:rsidRDefault="0030549A" w:rsidP="00026507">
      <w:pPr>
        <w:pStyle w:val="ParaIndent"/>
        <w:jc w:val="both"/>
      </w:pPr>
      <w:r w:rsidRPr="00776610">
        <w:t xml:space="preserve">There was an overall response rate of 93% from all businesses/organisations that were surveyed and found to be operating during the reference period for the </w:t>
      </w:r>
      <w:r w:rsidRPr="00776610">
        <w:rPr>
          <w:i/>
        </w:rPr>
        <w:t>2009–10</w:t>
      </w:r>
      <w:r w:rsidRPr="00776610">
        <w:t xml:space="preserve"> </w:t>
      </w:r>
      <w:r w:rsidRPr="00776610">
        <w:rPr>
          <w:i/>
        </w:rPr>
        <w:t>Waste Management Services Survey</w:t>
      </w:r>
      <w:r w:rsidRPr="00776610">
        <w:t xml:space="preserve"> (89% for businesses in ANZSIC subdivision 29 and 98% for organisations in the general government sector). Data were imputed for the remaining 7% of operating businesses/organisations.</w:t>
      </w:r>
    </w:p>
    <w:p w:rsidR="00E03407" w:rsidRDefault="00E03407" w:rsidP="00026507">
      <w:pPr>
        <w:pStyle w:val="Heading3"/>
        <w:spacing w:before="240" w:after="240"/>
        <w:jc w:val="both"/>
      </w:pPr>
      <w:r>
        <w:lastRenderedPageBreak/>
        <w:t>Recycling Near You</w:t>
      </w:r>
    </w:p>
    <w:p w:rsidR="00E03407" w:rsidRPr="00E03407" w:rsidRDefault="00E03407" w:rsidP="00026507">
      <w:pPr>
        <w:pStyle w:val="ParaIndent"/>
        <w:jc w:val="both"/>
      </w:pPr>
      <w:r>
        <w:t xml:space="preserve">The </w:t>
      </w:r>
      <w:proofErr w:type="spellStart"/>
      <w:r w:rsidRPr="00E03407">
        <w:t>RecyclingNearYou</w:t>
      </w:r>
      <w:proofErr w:type="spellEnd"/>
      <w:r w:rsidR="009C1170">
        <w:t xml:space="preserve"> website</w:t>
      </w:r>
      <w:r w:rsidR="0030549A">
        <w:t xml:space="preserve"> (</w:t>
      </w:r>
      <w:hyperlink r:id="rId25" w:history="1">
        <w:r w:rsidR="0030549A" w:rsidRPr="00D35190">
          <w:rPr>
            <w:rStyle w:val="Hyperlink"/>
          </w:rPr>
          <w:t>www.recyclingnearyou.com.au</w:t>
        </w:r>
      </w:hyperlink>
      <w:r w:rsidR="0030549A">
        <w:t>)</w:t>
      </w:r>
      <w:r w:rsidR="009C1170">
        <w:t xml:space="preserve"> is a joint</w:t>
      </w:r>
      <w:r>
        <w:t xml:space="preserve"> initiative of</w:t>
      </w:r>
      <w:r w:rsidR="006355B4">
        <w:t xml:space="preserve"> </w:t>
      </w:r>
      <w:proofErr w:type="spellStart"/>
      <w:r w:rsidR="006355B4">
        <w:t>Sensis</w:t>
      </w:r>
      <w:proofErr w:type="spellEnd"/>
      <w:r w:rsidR="006355B4">
        <w:t xml:space="preserve"> and</w:t>
      </w:r>
      <w:r>
        <w:t xml:space="preserve"> the not-for-profit Australian environment organisation </w:t>
      </w:r>
      <w:proofErr w:type="spellStart"/>
      <w:r>
        <w:t>PlanetArk</w:t>
      </w:r>
      <w:proofErr w:type="spellEnd"/>
      <w:r>
        <w:t xml:space="preserve">. </w:t>
      </w:r>
      <w:r w:rsidR="009C1170">
        <w:t xml:space="preserve">The website was launched in November 2006, and </w:t>
      </w:r>
      <w:proofErr w:type="spellStart"/>
      <w:r w:rsidR="009C1170">
        <w:t>PlanetArk</w:t>
      </w:r>
      <w:proofErr w:type="spellEnd"/>
      <w:r w:rsidR="009C1170">
        <w:t xml:space="preserve"> claims </w:t>
      </w:r>
      <w:r w:rsidR="006355B4">
        <w:t xml:space="preserve">there have been </w:t>
      </w:r>
      <w:r w:rsidR="009C1170">
        <w:t>more than 3.5 million visits to the site since this time.</w:t>
      </w:r>
    </w:p>
    <w:p w:rsidR="009C1170" w:rsidRPr="009C1170" w:rsidRDefault="009C1170" w:rsidP="00026507">
      <w:pPr>
        <w:pStyle w:val="ParaIndent"/>
        <w:jc w:val="both"/>
      </w:pPr>
      <w:r>
        <w:t xml:space="preserve">The </w:t>
      </w:r>
      <w:proofErr w:type="spellStart"/>
      <w:r>
        <w:t>Recycling</w:t>
      </w:r>
      <w:r w:rsidRPr="009C1170">
        <w:t>NearYou</w:t>
      </w:r>
      <w:proofErr w:type="spellEnd"/>
      <w:r w:rsidRPr="009C1170">
        <w:t xml:space="preserve"> website </w:t>
      </w:r>
      <w:r>
        <w:t xml:space="preserve">is searchable </w:t>
      </w:r>
      <w:r w:rsidRPr="009C1170">
        <w:t xml:space="preserve">by postcode, council area, state, suburb, or by the </w:t>
      </w:r>
      <w:r>
        <w:t xml:space="preserve">specific </w:t>
      </w:r>
      <w:r w:rsidRPr="009C1170">
        <w:t xml:space="preserve">item </w:t>
      </w:r>
      <w:r>
        <w:t>a user wishes</w:t>
      </w:r>
      <w:r w:rsidR="006355B4">
        <w:t xml:space="preserve"> to</w:t>
      </w:r>
      <w:r>
        <w:t xml:space="preserve"> </w:t>
      </w:r>
      <w:r w:rsidRPr="009C1170">
        <w:t>recycle</w:t>
      </w:r>
      <w:r w:rsidR="006355B4">
        <w:t xml:space="preserve"> or dispose</w:t>
      </w:r>
      <w:r w:rsidRPr="009C1170">
        <w:t>.</w:t>
      </w:r>
      <w:r>
        <w:t xml:space="preserve"> The website aims to</w:t>
      </w:r>
      <w:r w:rsidRPr="009C1170">
        <w:t xml:space="preserve">: </w:t>
      </w:r>
    </w:p>
    <w:p w:rsidR="009C1170" w:rsidRPr="009C1170" w:rsidRDefault="009C1170" w:rsidP="00026507">
      <w:pPr>
        <w:pStyle w:val="ParaIndent"/>
        <w:numPr>
          <w:ilvl w:val="0"/>
          <w:numId w:val="37"/>
        </w:numPr>
        <w:jc w:val="both"/>
      </w:pPr>
      <w:r>
        <w:t xml:space="preserve">Provide </w:t>
      </w:r>
      <w:r w:rsidRPr="009C1170">
        <w:t xml:space="preserve">information about what can and can't </w:t>
      </w:r>
      <w:r>
        <w:t xml:space="preserve">be </w:t>
      </w:r>
      <w:r w:rsidRPr="009C1170">
        <w:t>recycle</w:t>
      </w:r>
      <w:r>
        <w:t>d</w:t>
      </w:r>
      <w:r w:rsidRPr="009C1170">
        <w:t xml:space="preserve"> in</w:t>
      </w:r>
      <w:r>
        <w:t xml:space="preserve"> a user’s local area</w:t>
      </w:r>
    </w:p>
    <w:p w:rsidR="009C1170" w:rsidRPr="009C1170" w:rsidRDefault="009C1170" w:rsidP="00026507">
      <w:pPr>
        <w:pStyle w:val="ParaIndent"/>
        <w:numPr>
          <w:ilvl w:val="0"/>
          <w:numId w:val="37"/>
        </w:numPr>
        <w:jc w:val="both"/>
      </w:pPr>
      <w:r>
        <w:t xml:space="preserve">Provide </w:t>
      </w:r>
      <w:r w:rsidRPr="009C1170">
        <w:t>the drop-off locations for a wide range of items including electronic goods, printer cartridges, white goods, furniture,</w:t>
      </w:r>
      <w:r>
        <w:t xml:space="preserve"> and other items</w:t>
      </w:r>
      <w:r w:rsidRPr="009C1170">
        <w:t>.</w:t>
      </w:r>
    </w:p>
    <w:p w:rsidR="00E03407" w:rsidRDefault="009E030E" w:rsidP="00026507">
      <w:pPr>
        <w:pStyle w:val="ParaIndent"/>
        <w:jc w:val="both"/>
      </w:pPr>
      <w:r>
        <w:t xml:space="preserve">In order to provide current information, </w:t>
      </w:r>
      <w:proofErr w:type="spellStart"/>
      <w:r>
        <w:t>PlanetArk</w:t>
      </w:r>
      <w:proofErr w:type="spellEnd"/>
      <w:r>
        <w:t xml:space="preserve"> seeks to be in regular contact with councils (including direct contact </w:t>
      </w:r>
      <w:r w:rsidR="00834B26">
        <w:t>‘</w:t>
      </w:r>
      <w:r>
        <w:t>several times per year</w:t>
      </w:r>
      <w:r w:rsidR="00834B26">
        <w:t>’</w:t>
      </w:r>
      <w:r>
        <w:t>). Additionally, councils are provided login details that allow them to manually update specific information as their details change (for example, through a change of contract that influences the specific materials that can be recycled). Councils are strongly encouraged to update information at least once per year.</w:t>
      </w:r>
    </w:p>
    <w:p w:rsidR="006355B4" w:rsidRDefault="006355B4" w:rsidP="00026507">
      <w:pPr>
        <w:pStyle w:val="ParaIndent"/>
        <w:jc w:val="both"/>
      </w:pPr>
      <w:r>
        <w:t xml:space="preserve">As such, </w:t>
      </w:r>
      <w:proofErr w:type="spellStart"/>
      <w:r>
        <w:t>PlanetArk</w:t>
      </w:r>
      <w:proofErr w:type="spellEnd"/>
      <w:r>
        <w:t xml:space="preserve"> has developed a broad database of existing local government services and infrastructure. The website relies on the goodwill of councils to accurately enter key information, although misinformation can be corrected by </w:t>
      </w:r>
      <w:proofErr w:type="spellStart"/>
      <w:r>
        <w:t>PlanetArk</w:t>
      </w:r>
      <w:proofErr w:type="spellEnd"/>
      <w:r>
        <w:t xml:space="preserve"> when reported by users. </w:t>
      </w:r>
    </w:p>
    <w:p w:rsidR="009E030E" w:rsidRDefault="009E030E" w:rsidP="00026507">
      <w:pPr>
        <w:pStyle w:val="ParaIndent"/>
        <w:jc w:val="both"/>
      </w:pPr>
      <w:r>
        <w:t>The website has 32 specific product categories users c</w:t>
      </w:r>
      <w:r w:rsidRPr="009E030E">
        <w:t>an search to find local recycling or</w:t>
      </w:r>
      <w:r>
        <w:t xml:space="preserve"> </w:t>
      </w:r>
      <w:r w:rsidRPr="009E030E">
        <w:t>disposal options, where they exist</w:t>
      </w:r>
      <w:r>
        <w:t xml:space="preserve">. In the most recent summary report, covering the period May 2008 to April 2009, a total of 1.3 million visits to the site were recorded, and the most </w:t>
      </w:r>
      <w:r w:rsidR="000D21CE">
        <w:t xml:space="preserve">common enquires (in descending order) related to: </w:t>
      </w:r>
    </w:p>
    <w:p w:rsidR="009E030E" w:rsidRPr="000D21CE" w:rsidRDefault="006355B4" w:rsidP="00026507">
      <w:pPr>
        <w:pStyle w:val="ParaIndent"/>
        <w:numPr>
          <w:ilvl w:val="0"/>
          <w:numId w:val="37"/>
        </w:numPr>
        <w:spacing w:after="0"/>
        <w:jc w:val="both"/>
      </w:pPr>
      <w:r>
        <w:t>Computers &amp; e</w:t>
      </w:r>
      <w:r w:rsidR="009E030E" w:rsidRPr="000D21CE">
        <w:t>lectronics</w:t>
      </w:r>
    </w:p>
    <w:p w:rsidR="009E030E" w:rsidRPr="000D21CE" w:rsidRDefault="009E030E" w:rsidP="00026507">
      <w:pPr>
        <w:pStyle w:val="ParaIndent"/>
        <w:numPr>
          <w:ilvl w:val="0"/>
          <w:numId w:val="37"/>
        </w:numPr>
        <w:spacing w:after="0"/>
        <w:jc w:val="both"/>
      </w:pPr>
      <w:r w:rsidRPr="000D21CE">
        <w:t>Batteries (all types)</w:t>
      </w:r>
    </w:p>
    <w:p w:rsidR="009E030E" w:rsidRPr="000D21CE" w:rsidRDefault="009E030E" w:rsidP="00026507">
      <w:pPr>
        <w:pStyle w:val="ParaIndent"/>
        <w:numPr>
          <w:ilvl w:val="0"/>
          <w:numId w:val="37"/>
        </w:numPr>
        <w:spacing w:after="0"/>
        <w:jc w:val="both"/>
      </w:pPr>
      <w:r w:rsidRPr="000D21CE">
        <w:t xml:space="preserve">Mobile </w:t>
      </w:r>
      <w:r w:rsidR="000D21CE">
        <w:t>p</w:t>
      </w:r>
      <w:r w:rsidRPr="000D21CE">
        <w:t>hone</w:t>
      </w:r>
      <w:r w:rsidR="000D21CE">
        <w:t>s</w:t>
      </w:r>
    </w:p>
    <w:p w:rsidR="009E030E" w:rsidRPr="000D21CE" w:rsidRDefault="009E030E" w:rsidP="00026507">
      <w:pPr>
        <w:pStyle w:val="ParaIndent"/>
        <w:numPr>
          <w:ilvl w:val="0"/>
          <w:numId w:val="37"/>
        </w:numPr>
        <w:spacing w:after="0"/>
        <w:jc w:val="both"/>
      </w:pPr>
      <w:r w:rsidRPr="000D21CE">
        <w:t>Charities</w:t>
      </w:r>
    </w:p>
    <w:p w:rsidR="009E030E" w:rsidRPr="000D21CE" w:rsidRDefault="009E030E" w:rsidP="00026507">
      <w:pPr>
        <w:pStyle w:val="ParaIndent"/>
        <w:numPr>
          <w:ilvl w:val="0"/>
          <w:numId w:val="37"/>
        </w:numPr>
        <w:spacing w:after="0"/>
        <w:jc w:val="both"/>
      </w:pPr>
      <w:r w:rsidRPr="000D21CE">
        <w:t xml:space="preserve">Printer </w:t>
      </w:r>
      <w:r w:rsidR="000D21CE">
        <w:t>c</w:t>
      </w:r>
      <w:r w:rsidRPr="000D21CE">
        <w:t>artridges</w:t>
      </w:r>
    </w:p>
    <w:p w:rsidR="009E030E" w:rsidRPr="000D21CE" w:rsidRDefault="009E030E" w:rsidP="00026507">
      <w:pPr>
        <w:pStyle w:val="ParaIndent"/>
        <w:numPr>
          <w:ilvl w:val="0"/>
          <w:numId w:val="37"/>
        </w:numPr>
        <w:spacing w:after="0"/>
        <w:jc w:val="both"/>
      </w:pPr>
      <w:r w:rsidRPr="000D21CE">
        <w:t>Furniture</w:t>
      </w:r>
    </w:p>
    <w:p w:rsidR="009E030E" w:rsidRPr="000D21CE" w:rsidRDefault="000D21CE" w:rsidP="00026507">
      <w:pPr>
        <w:pStyle w:val="ParaIndent"/>
        <w:numPr>
          <w:ilvl w:val="0"/>
          <w:numId w:val="37"/>
        </w:numPr>
        <w:spacing w:after="0"/>
        <w:jc w:val="both"/>
      </w:pPr>
      <w:r>
        <w:t>Plastic b</w:t>
      </w:r>
      <w:r w:rsidR="009E030E" w:rsidRPr="000D21CE">
        <w:t>ags</w:t>
      </w:r>
    </w:p>
    <w:p w:rsidR="009E030E" w:rsidRPr="000D21CE" w:rsidRDefault="009E030E" w:rsidP="00026507">
      <w:pPr>
        <w:pStyle w:val="ParaIndent"/>
        <w:numPr>
          <w:ilvl w:val="0"/>
          <w:numId w:val="37"/>
        </w:numPr>
        <w:spacing w:after="0"/>
        <w:jc w:val="both"/>
      </w:pPr>
      <w:r w:rsidRPr="000D21CE">
        <w:t>Asbestos</w:t>
      </w:r>
    </w:p>
    <w:p w:rsidR="009E030E" w:rsidRPr="000D21CE" w:rsidRDefault="009E030E" w:rsidP="00026507">
      <w:pPr>
        <w:pStyle w:val="ParaIndent"/>
        <w:numPr>
          <w:ilvl w:val="0"/>
          <w:numId w:val="37"/>
        </w:numPr>
        <w:spacing w:after="0"/>
        <w:jc w:val="both"/>
      </w:pPr>
      <w:r w:rsidRPr="000D21CE">
        <w:t>Cars</w:t>
      </w:r>
    </w:p>
    <w:p w:rsidR="009E030E" w:rsidRDefault="009E030E" w:rsidP="00026507">
      <w:pPr>
        <w:pStyle w:val="ParaIndent"/>
        <w:numPr>
          <w:ilvl w:val="0"/>
          <w:numId w:val="37"/>
        </w:numPr>
        <w:spacing w:after="0"/>
        <w:jc w:val="both"/>
      </w:pPr>
      <w:r w:rsidRPr="000D21CE">
        <w:t>Compost</w:t>
      </w:r>
    </w:p>
    <w:p w:rsidR="00D97FA3" w:rsidRDefault="00D97FA3" w:rsidP="00471613">
      <w:pPr>
        <w:pStyle w:val="ParaIndent"/>
        <w:spacing w:before="100" w:beforeAutospacing="1" w:after="100" w:afterAutospacing="1"/>
        <w:jc w:val="both"/>
      </w:pPr>
      <w:r>
        <w:t xml:space="preserve">Chapter 2.1 of The </w:t>
      </w:r>
      <w:r w:rsidRPr="00D97FA3">
        <w:rPr>
          <w:i/>
        </w:rPr>
        <w:t>National Waste Report 2010</w:t>
      </w:r>
      <w:r>
        <w:t xml:space="preserve"> draws on information from the Recycling </w:t>
      </w:r>
      <w:proofErr w:type="gramStart"/>
      <w:r>
        <w:t>Near</w:t>
      </w:r>
      <w:proofErr w:type="gramEnd"/>
      <w:r>
        <w:t xml:space="preserve"> You database to map the availability of recycling services by LGA.</w:t>
      </w:r>
      <w:r w:rsidR="00BB2EDF">
        <w:t xml:space="preserve"> This shows the potential for this information to be used for mapping the equity of opportunity to recycle various materials. For the mapping undertaking in the </w:t>
      </w:r>
      <w:r w:rsidR="00BB2EDF" w:rsidRPr="00BB2EDF">
        <w:rPr>
          <w:i/>
        </w:rPr>
        <w:t>National Waste Report 2010</w:t>
      </w:r>
      <w:r w:rsidR="00BB2EDF">
        <w:t xml:space="preserve">, </w:t>
      </w:r>
      <w:r w:rsidR="0082184F">
        <w:t>D</w:t>
      </w:r>
      <w:r>
        <w:t>ata was provided by Planet Ark in August 2009</w:t>
      </w:r>
      <w:r w:rsidR="00BB2EDF">
        <w:t>. B</w:t>
      </w:r>
      <w:r>
        <w:t>ased on this information</w:t>
      </w:r>
      <w:r w:rsidR="0082184F">
        <w:t>,</w:t>
      </w:r>
      <w:r>
        <w:t xml:space="preserve"> the following figures </w:t>
      </w:r>
      <w:r w:rsidR="0082184F">
        <w:t xml:space="preserve">were developed to show the </w:t>
      </w:r>
      <w:r>
        <w:t>coverage of municipal recycling services:</w:t>
      </w:r>
    </w:p>
    <w:p w:rsidR="00D97FA3" w:rsidRPr="0082184F" w:rsidRDefault="00D97FA3" w:rsidP="00026507">
      <w:pPr>
        <w:pStyle w:val="ParaIndent"/>
        <w:numPr>
          <w:ilvl w:val="0"/>
          <w:numId w:val="38"/>
        </w:numPr>
        <w:jc w:val="both"/>
      </w:pPr>
      <w:r w:rsidRPr="0082184F">
        <w:rPr>
          <w:b/>
        </w:rPr>
        <w:t>Figure 2.16</w:t>
      </w:r>
      <w:r w:rsidRPr="0082184F">
        <w:t xml:space="preserve"> shows 44% of Australian LGAs offer municipal recycling coverage of all paper and cardboard, which can be considered best practice in municipal recycling materials coverage.</w:t>
      </w:r>
    </w:p>
    <w:p w:rsidR="00D97FA3" w:rsidRPr="0082184F" w:rsidRDefault="00D97FA3" w:rsidP="00026507">
      <w:pPr>
        <w:pStyle w:val="ParaIndent"/>
        <w:numPr>
          <w:ilvl w:val="0"/>
          <w:numId w:val="38"/>
        </w:numPr>
        <w:jc w:val="both"/>
      </w:pPr>
      <w:r w:rsidRPr="0082184F">
        <w:rPr>
          <w:b/>
        </w:rPr>
        <w:t>Figure 2.17</w:t>
      </w:r>
      <w:r w:rsidRPr="0082184F">
        <w:t xml:space="preserve"> shows 29% of LGAs offer a municipal recycling service that can accept seven types of plastic (rigid, food-grade plastic types).</w:t>
      </w:r>
      <w:r w:rsidR="0082184F" w:rsidRPr="0082184F">
        <w:t xml:space="preserve"> </w:t>
      </w:r>
    </w:p>
    <w:p w:rsidR="00D97FA3" w:rsidRPr="0082184F" w:rsidRDefault="00D97FA3" w:rsidP="00026507">
      <w:pPr>
        <w:pStyle w:val="ParaIndent"/>
        <w:numPr>
          <w:ilvl w:val="0"/>
          <w:numId w:val="38"/>
        </w:numPr>
        <w:jc w:val="both"/>
      </w:pPr>
      <w:r w:rsidRPr="0082184F">
        <w:rPr>
          <w:b/>
        </w:rPr>
        <w:t>Figure 2.18</w:t>
      </w:r>
      <w:r w:rsidRPr="0082184F">
        <w:t xml:space="preserve"> shows municipal glass recycling services </w:t>
      </w:r>
      <w:r w:rsidR="0082184F" w:rsidRPr="0082184F">
        <w:t>available in 63% of Australian LGAs</w:t>
      </w:r>
      <w:r w:rsidRPr="0082184F">
        <w:t>.</w:t>
      </w:r>
    </w:p>
    <w:p w:rsidR="0082184F" w:rsidRPr="0082184F" w:rsidRDefault="00D97FA3" w:rsidP="00026507">
      <w:pPr>
        <w:pStyle w:val="ParaIndent"/>
        <w:numPr>
          <w:ilvl w:val="0"/>
          <w:numId w:val="38"/>
        </w:numPr>
        <w:jc w:val="both"/>
      </w:pPr>
      <w:r w:rsidRPr="0082184F">
        <w:rPr>
          <w:b/>
        </w:rPr>
        <w:lastRenderedPageBreak/>
        <w:t>Figure 2.19</w:t>
      </w:r>
      <w:r w:rsidRPr="0082184F">
        <w:t xml:space="preserve"> shows </w:t>
      </w:r>
      <w:r w:rsidR="0082184F" w:rsidRPr="0082184F">
        <w:t>42% of LGAs recycle the three main steel can types (food, paint and aerosol) but 33% of LGAs reported no recycling of cans.</w:t>
      </w:r>
    </w:p>
    <w:p w:rsidR="0030549A" w:rsidRDefault="0082184F" w:rsidP="0030549A">
      <w:pPr>
        <w:pStyle w:val="ParaIndent"/>
        <w:numPr>
          <w:ilvl w:val="0"/>
          <w:numId w:val="38"/>
        </w:numPr>
        <w:jc w:val="both"/>
        <w:rPr>
          <w:b/>
        </w:rPr>
      </w:pPr>
      <w:r w:rsidRPr="0082184F">
        <w:rPr>
          <w:b/>
        </w:rPr>
        <w:t>Figure 2.20</w:t>
      </w:r>
      <w:r w:rsidRPr="0030549A">
        <w:rPr>
          <w:b/>
        </w:rPr>
        <w:t xml:space="preserve"> </w:t>
      </w:r>
      <w:r w:rsidRPr="0030549A">
        <w:t>shows battery collections available in only 12% of Australian LGAs</w:t>
      </w:r>
      <w:r w:rsidR="00026507" w:rsidRPr="0030549A">
        <w:rPr>
          <w:b/>
        </w:rPr>
        <w:t xml:space="preserve"> </w:t>
      </w:r>
    </w:p>
    <w:p w:rsidR="006355B4" w:rsidRPr="0030549A" w:rsidRDefault="006355B4" w:rsidP="0030549A">
      <w:pPr>
        <w:pStyle w:val="Heading3"/>
        <w:spacing w:before="240" w:after="240"/>
        <w:jc w:val="both"/>
      </w:pPr>
      <w:r w:rsidRPr="0030549A">
        <w:t>National Litter Index</w:t>
      </w:r>
    </w:p>
    <w:p w:rsidR="006355B4" w:rsidRDefault="00982FEA" w:rsidP="00026507">
      <w:pPr>
        <w:pStyle w:val="ParaIndent"/>
        <w:jc w:val="both"/>
      </w:pPr>
      <w:r w:rsidRPr="00982FEA">
        <w:t xml:space="preserve">The Keep Australia Beautiful National Litter Index </w:t>
      </w:r>
      <w:r w:rsidR="00DD7670">
        <w:t>provides a</w:t>
      </w:r>
      <w:r w:rsidRPr="00982FEA">
        <w:t xml:space="preserve"> national, annual, quantitative measure of what litter occurs where</w:t>
      </w:r>
      <w:r>
        <w:t>,</w:t>
      </w:r>
      <w:r w:rsidRPr="00982FEA">
        <w:t xml:space="preserve"> and in what volume. Over 950 sites are visited twice per year to create an annual report on litter in each </w:t>
      </w:r>
      <w:r w:rsidR="00834B26">
        <w:t>s</w:t>
      </w:r>
      <w:r w:rsidRPr="00982FEA">
        <w:t xml:space="preserve">tate and </w:t>
      </w:r>
      <w:r w:rsidR="00834B26">
        <w:t>t</w:t>
      </w:r>
      <w:r w:rsidRPr="00982FEA">
        <w:t>erritory</w:t>
      </w:r>
      <w:r>
        <w:t xml:space="preserve">, which </w:t>
      </w:r>
      <w:r w:rsidRPr="00982FEA">
        <w:t>can be compared against the national average</w:t>
      </w:r>
      <w:r>
        <w:t>.</w:t>
      </w:r>
    </w:p>
    <w:p w:rsidR="00982FEA" w:rsidRDefault="00DD7670" w:rsidP="00026507">
      <w:pPr>
        <w:pStyle w:val="ParaIndent"/>
        <w:jc w:val="both"/>
      </w:pPr>
      <w:r>
        <w:t>The</w:t>
      </w:r>
      <w:r w:rsidR="00214281">
        <w:t xml:space="preserve"> National Litter I</w:t>
      </w:r>
      <w:r>
        <w:t>ndex does not provide</w:t>
      </w:r>
      <w:r w:rsidR="00800F32">
        <w:t xml:space="preserve"> LGA-specific</w:t>
      </w:r>
      <w:r>
        <w:t xml:space="preserve"> information about litter</w:t>
      </w:r>
      <w:r w:rsidR="00214281">
        <w:t xml:space="preserve">. However, many Australian </w:t>
      </w:r>
      <w:proofErr w:type="gramStart"/>
      <w:r w:rsidR="00214281">
        <w:t>councils</w:t>
      </w:r>
      <w:proofErr w:type="gramEnd"/>
      <w:r w:rsidR="00214281">
        <w:t xml:space="preserve"> are </w:t>
      </w:r>
      <w:r w:rsidR="00800F32">
        <w:t>actively</w:t>
      </w:r>
      <w:r w:rsidR="00214281">
        <w:t xml:space="preserve"> involved in </w:t>
      </w:r>
      <w:r w:rsidR="00800F32">
        <w:t xml:space="preserve">litter prevention and management within their communities, and such activities may represents a significant cost to local government. </w:t>
      </w:r>
    </w:p>
    <w:p w:rsidR="00800F32" w:rsidRPr="00800F32" w:rsidRDefault="00800F32" w:rsidP="00026507">
      <w:pPr>
        <w:pStyle w:val="ParaIndent"/>
        <w:jc w:val="both"/>
      </w:pPr>
      <w:r w:rsidRPr="00800F32">
        <w:t xml:space="preserve">Local government's role in litter management </w:t>
      </w:r>
      <w:r>
        <w:t xml:space="preserve">may </w:t>
      </w:r>
      <w:r w:rsidRPr="00800F32">
        <w:t>cover</w:t>
      </w:r>
      <w:r>
        <w:t xml:space="preserve"> the following</w:t>
      </w:r>
      <w:r w:rsidRPr="00800F32">
        <w:t xml:space="preserve"> broad areas:</w:t>
      </w:r>
    </w:p>
    <w:p w:rsidR="00800F32" w:rsidRPr="00800F32" w:rsidRDefault="00800F32" w:rsidP="00026507">
      <w:pPr>
        <w:pStyle w:val="ParaIndent"/>
        <w:numPr>
          <w:ilvl w:val="0"/>
          <w:numId w:val="38"/>
        </w:numPr>
        <w:jc w:val="both"/>
      </w:pPr>
      <w:r w:rsidRPr="00800F32">
        <w:rPr>
          <w:b/>
        </w:rPr>
        <w:t>Litter prevention</w:t>
      </w:r>
      <w:r w:rsidR="00C811E3">
        <w:rPr>
          <w:b/>
        </w:rPr>
        <w:t xml:space="preserve">- </w:t>
      </w:r>
      <w:r>
        <w:t>w</w:t>
      </w:r>
      <w:r w:rsidRPr="00800F32">
        <w:t xml:space="preserve">orks </w:t>
      </w:r>
      <w:r>
        <w:t xml:space="preserve">to support behaviour change, including working </w:t>
      </w:r>
      <w:r w:rsidRPr="00800F32">
        <w:t xml:space="preserve">with </w:t>
      </w:r>
      <w:r>
        <w:t>s</w:t>
      </w:r>
      <w:r w:rsidRPr="00800F32">
        <w:t>tate</w:t>
      </w:r>
      <w:r>
        <w:t xml:space="preserve"> and territory</w:t>
      </w:r>
      <w:r w:rsidRPr="00800F32">
        <w:t xml:space="preserve"> government agencies </w:t>
      </w:r>
    </w:p>
    <w:p w:rsidR="00800F32" w:rsidRPr="00800F32" w:rsidRDefault="00800F32" w:rsidP="00026507">
      <w:pPr>
        <w:pStyle w:val="ParaIndent"/>
        <w:numPr>
          <w:ilvl w:val="0"/>
          <w:numId w:val="38"/>
        </w:numPr>
        <w:jc w:val="both"/>
      </w:pPr>
      <w:r w:rsidRPr="00800F32">
        <w:rPr>
          <w:b/>
        </w:rPr>
        <w:t>Stormwater</w:t>
      </w:r>
      <w:r w:rsidR="00C811E3">
        <w:rPr>
          <w:b/>
        </w:rPr>
        <w:t>-</w:t>
      </w:r>
      <w:r w:rsidR="00C811E3">
        <w:t xml:space="preserve"> </w:t>
      </w:r>
      <w:r>
        <w:t>providing</w:t>
      </w:r>
      <w:r w:rsidRPr="00800F32">
        <w:t>, clean</w:t>
      </w:r>
      <w:r>
        <w:t>ing</w:t>
      </w:r>
      <w:r w:rsidRPr="00800F32">
        <w:t xml:space="preserve"> and maintain</w:t>
      </w:r>
      <w:r>
        <w:t>ing</w:t>
      </w:r>
      <w:r w:rsidRPr="00800F32">
        <w:t xml:space="preserve"> infrastructure including </w:t>
      </w:r>
      <w:r>
        <w:t>litter traps and in-line traps.</w:t>
      </w:r>
    </w:p>
    <w:p w:rsidR="00800F32" w:rsidRPr="00800F32" w:rsidRDefault="00800F32" w:rsidP="00026507">
      <w:pPr>
        <w:pStyle w:val="ParaIndent"/>
        <w:numPr>
          <w:ilvl w:val="0"/>
          <w:numId w:val="38"/>
        </w:numPr>
        <w:jc w:val="both"/>
      </w:pPr>
      <w:r w:rsidRPr="00800F32">
        <w:rPr>
          <w:b/>
        </w:rPr>
        <w:t>Litter collection</w:t>
      </w:r>
      <w:r w:rsidR="00C811E3">
        <w:rPr>
          <w:b/>
        </w:rPr>
        <w:t>-</w:t>
      </w:r>
      <w:r w:rsidR="00C811E3">
        <w:t xml:space="preserve"> </w:t>
      </w:r>
      <w:r>
        <w:t>c</w:t>
      </w:r>
      <w:r w:rsidRPr="00800F32">
        <w:t>ollection and disposal of dumped litter, litter enforcement through local laws, collection and disposal of litter bin waste, provision of litter infrastructure, street cleaning, collection and disposal of sharps.</w:t>
      </w:r>
    </w:p>
    <w:p w:rsidR="00217542" w:rsidRPr="00D56C84" w:rsidRDefault="00800F32" w:rsidP="00026507">
      <w:pPr>
        <w:pStyle w:val="ParaIndent"/>
        <w:jc w:val="both"/>
      </w:pPr>
      <w:r w:rsidRPr="00800F32">
        <w:t xml:space="preserve">The cost of litter infrastructure and management </w:t>
      </w:r>
      <w:r>
        <w:t>may be</w:t>
      </w:r>
      <w:r w:rsidRPr="00800F32">
        <w:t xml:space="preserve"> considerable in </w:t>
      </w:r>
      <w:r>
        <w:t xml:space="preserve">some </w:t>
      </w:r>
      <w:r w:rsidRPr="00800F32">
        <w:t xml:space="preserve">council budgets. </w:t>
      </w:r>
      <w:r>
        <w:t xml:space="preserve">The Municipal Association of Victoria, for example, </w:t>
      </w:r>
      <w:r w:rsidR="00791244">
        <w:t>estimates that, based on 2004</w:t>
      </w:r>
      <w:r w:rsidR="00C811E3">
        <w:t>–</w:t>
      </w:r>
      <w:r w:rsidR="00791244">
        <w:t xml:space="preserve">05 data from a subset of Victorian councils, </w:t>
      </w:r>
      <w:r w:rsidRPr="00800F32">
        <w:t>litter costs between 7</w:t>
      </w:r>
      <w:r w:rsidR="00791244">
        <w:t>-31%</w:t>
      </w:r>
      <w:r w:rsidRPr="00800F32">
        <w:t xml:space="preserve"> of overall waste management expenses.</w:t>
      </w:r>
      <w:r w:rsidR="00791244">
        <w:t xml:space="preserve"> </w:t>
      </w:r>
      <w:r w:rsidRPr="00800F32">
        <w:t>The Victorian Litter Report found councils spend around 95%</w:t>
      </w:r>
      <w:r w:rsidR="00C811E3">
        <w:t xml:space="preserve"> of their litter-related budgets</w:t>
      </w:r>
      <w:r w:rsidRPr="00800F32">
        <w:t xml:space="preserve"> on </w:t>
      </w:r>
      <w:r w:rsidR="00791244">
        <w:t xml:space="preserve">litter </w:t>
      </w:r>
      <w:r w:rsidRPr="00800F32">
        <w:t xml:space="preserve">management and </w:t>
      </w:r>
      <w:r w:rsidR="00791244">
        <w:t>around</w:t>
      </w:r>
      <w:r w:rsidRPr="00800F32">
        <w:t xml:space="preserve"> 5% on prevention activities.</w:t>
      </w:r>
      <w:r w:rsidR="00217542" w:rsidRPr="00D56C84">
        <w:br w:type="page"/>
      </w:r>
    </w:p>
    <w:p w:rsidR="004A037B" w:rsidRPr="00D56C84" w:rsidRDefault="004A037B" w:rsidP="00464371">
      <w:pPr>
        <w:pStyle w:val="Heading1"/>
      </w:pPr>
      <w:bookmarkStart w:id="44" w:name="_Ref301941488"/>
      <w:bookmarkStart w:id="45" w:name="_Toc307470426"/>
      <w:r w:rsidRPr="00D56C84">
        <w:lastRenderedPageBreak/>
        <w:t>New South Wales</w:t>
      </w:r>
      <w:bookmarkEnd w:id="40"/>
      <w:bookmarkEnd w:id="44"/>
      <w:bookmarkEnd w:id="45"/>
    </w:p>
    <w:p w:rsidR="008C2C5A" w:rsidRPr="00D56C84" w:rsidRDefault="008C2C5A" w:rsidP="00026507">
      <w:pPr>
        <w:pStyle w:val="ParaIndent"/>
        <w:jc w:val="both"/>
      </w:pPr>
      <w:r w:rsidRPr="00D56C84">
        <w:t xml:space="preserve">There are 152 Local Government Areas in the state of New South Wales, with 41 of these (covering 59% of the state’s population) considered as metropolitan, 50 (32% of the population) considered regional, and 61 (9% of the population)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the availability of LGA-specific waste and recycling information is generally considered to be ‘high’ within this jurisdiction.</w:t>
      </w:r>
    </w:p>
    <w:p w:rsidR="008C2C5A" w:rsidRPr="00D56C84" w:rsidRDefault="008C2C5A" w:rsidP="00026507">
      <w:pPr>
        <w:pStyle w:val="ParaIndent"/>
        <w:jc w:val="both"/>
      </w:pPr>
      <w:r w:rsidRPr="00D56C84">
        <w:t>This chapter provides an overview of the role of local government in this state in relation to waste management and recycling, as well as explaining the information reporting pathways for relevant information and providing an overview of council performance in terms of service provision, landfill diversion rates, and costs.</w:t>
      </w:r>
    </w:p>
    <w:p w:rsidR="003B4519" w:rsidRPr="00D56C84" w:rsidRDefault="0099625B" w:rsidP="00026507">
      <w:pPr>
        <w:pStyle w:val="Heading2"/>
        <w:spacing w:before="240"/>
      </w:pPr>
      <w:bookmarkStart w:id="46" w:name="_Toc307470427"/>
      <w:r w:rsidRPr="00D56C84">
        <w:t>The role of local government</w:t>
      </w:r>
      <w:r w:rsidR="00085D2C">
        <w:t xml:space="preserve"> in NSW</w:t>
      </w:r>
      <w:bookmarkEnd w:id="46"/>
    </w:p>
    <w:p w:rsidR="001F20F2" w:rsidRPr="00D56C84" w:rsidRDefault="00C93C8A" w:rsidP="00026507">
      <w:pPr>
        <w:pStyle w:val="ParaIndent"/>
        <w:keepNext/>
        <w:jc w:val="both"/>
        <w:rPr>
          <w:rFonts w:cs="Arial"/>
          <w:szCs w:val="18"/>
        </w:rPr>
      </w:pPr>
      <w:r w:rsidRPr="00D56C84">
        <w:rPr>
          <w:rFonts w:cs="Arial"/>
          <w:szCs w:val="18"/>
        </w:rPr>
        <w:t xml:space="preserve">The </w:t>
      </w:r>
      <w:r w:rsidR="00437385" w:rsidRPr="00D56C84">
        <w:rPr>
          <w:rFonts w:cs="Arial"/>
          <w:szCs w:val="18"/>
        </w:rPr>
        <w:t>New South Wales (</w:t>
      </w:r>
      <w:r w:rsidRPr="00D56C84">
        <w:rPr>
          <w:rFonts w:cs="Arial"/>
          <w:szCs w:val="18"/>
        </w:rPr>
        <w:t>NS</w:t>
      </w:r>
      <w:r w:rsidR="001F20F2" w:rsidRPr="00D56C84">
        <w:rPr>
          <w:rFonts w:cs="Arial"/>
          <w:szCs w:val="18"/>
        </w:rPr>
        <w:t>W</w:t>
      </w:r>
      <w:r w:rsidR="00437385" w:rsidRPr="00D56C84">
        <w:rPr>
          <w:rFonts w:cs="Arial"/>
          <w:szCs w:val="18"/>
        </w:rPr>
        <w:t>)</w:t>
      </w:r>
      <w:r w:rsidR="001F20F2" w:rsidRPr="00D56C84">
        <w:rPr>
          <w:rFonts w:cs="Arial"/>
          <w:szCs w:val="18"/>
        </w:rPr>
        <w:t xml:space="preserve"> </w:t>
      </w:r>
      <w:r w:rsidR="001F20F2" w:rsidRPr="00834B26">
        <w:rPr>
          <w:rFonts w:cs="Arial"/>
          <w:i/>
          <w:szCs w:val="18"/>
        </w:rPr>
        <w:t xml:space="preserve">Local Government Act </w:t>
      </w:r>
      <w:r w:rsidR="0099625B" w:rsidRPr="00834B26">
        <w:rPr>
          <w:rFonts w:cs="Arial"/>
          <w:i/>
          <w:szCs w:val="18"/>
        </w:rPr>
        <w:t>(</w:t>
      </w:r>
      <w:r w:rsidR="001F20F2" w:rsidRPr="00834B26">
        <w:rPr>
          <w:rFonts w:cs="Arial"/>
          <w:i/>
          <w:szCs w:val="18"/>
        </w:rPr>
        <w:t>1993</w:t>
      </w:r>
      <w:r w:rsidR="0099625B" w:rsidRPr="00834B26">
        <w:rPr>
          <w:rFonts w:cs="Arial"/>
          <w:i/>
          <w:szCs w:val="18"/>
        </w:rPr>
        <w:t>)</w:t>
      </w:r>
      <w:r w:rsidR="001F20F2" w:rsidRPr="00D56C84">
        <w:rPr>
          <w:rFonts w:cs="Arial"/>
          <w:szCs w:val="18"/>
        </w:rPr>
        <w:t xml:space="preserve"> </w:t>
      </w:r>
      <w:r w:rsidR="00557D28" w:rsidRPr="00D56C84">
        <w:rPr>
          <w:rFonts w:cs="Arial"/>
          <w:szCs w:val="18"/>
        </w:rPr>
        <w:t>clearly states</w:t>
      </w:r>
      <w:r w:rsidR="00F6579E" w:rsidRPr="00D56C84">
        <w:rPr>
          <w:rFonts w:cs="Arial"/>
          <w:szCs w:val="18"/>
        </w:rPr>
        <w:t xml:space="preserve"> that</w:t>
      </w:r>
      <w:r w:rsidR="00557D28" w:rsidRPr="00D56C84">
        <w:rPr>
          <w:rFonts w:cs="Arial"/>
          <w:szCs w:val="18"/>
        </w:rPr>
        <w:t xml:space="preserve"> the function of local government in</w:t>
      </w:r>
      <w:r w:rsidR="00F6579E" w:rsidRPr="00D56C84">
        <w:rPr>
          <w:rFonts w:cs="Arial"/>
          <w:szCs w:val="18"/>
        </w:rPr>
        <w:t>cludes</w:t>
      </w:r>
      <w:r w:rsidR="00557D28" w:rsidRPr="00D56C84">
        <w:rPr>
          <w:rFonts w:cs="Arial"/>
          <w:szCs w:val="18"/>
        </w:rPr>
        <w:t xml:space="preserve"> providing waste management services. The Act </w:t>
      </w:r>
      <w:r w:rsidR="001F20F2" w:rsidRPr="00D56C84">
        <w:rPr>
          <w:rFonts w:cs="Arial"/>
          <w:szCs w:val="18"/>
        </w:rPr>
        <w:t>classifies</w:t>
      </w:r>
      <w:r w:rsidR="00086803" w:rsidRPr="00D56C84">
        <w:rPr>
          <w:rFonts w:cs="Arial"/>
          <w:szCs w:val="18"/>
        </w:rPr>
        <w:t xml:space="preserve"> </w:t>
      </w:r>
      <w:r w:rsidR="00A81ED1">
        <w:rPr>
          <w:rFonts w:cs="Arial"/>
          <w:szCs w:val="18"/>
        </w:rPr>
        <w:t>‘</w:t>
      </w:r>
      <w:r w:rsidR="001F20F2" w:rsidRPr="00D56C84">
        <w:rPr>
          <w:rFonts w:cs="Arial"/>
          <w:szCs w:val="18"/>
        </w:rPr>
        <w:t>certain of a council’s functions as service, that is, non-regulatory</w:t>
      </w:r>
      <w:r w:rsidR="00A81ED1">
        <w:rPr>
          <w:rFonts w:cs="Arial"/>
          <w:szCs w:val="18"/>
        </w:rPr>
        <w:t>’</w:t>
      </w:r>
      <w:r w:rsidR="00086803" w:rsidRPr="00D56C84">
        <w:rPr>
          <w:rFonts w:cs="Arial"/>
          <w:szCs w:val="18"/>
        </w:rPr>
        <w:t>.</w:t>
      </w:r>
    </w:p>
    <w:p w:rsidR="001F20F2" w:rsidRPr="00D56C84" w:rsidRDefault="00086803" w:rsidP="00026507">
      <w:pPr>
        <w:pStyle w:val="ParaIndent"/>
        <w:keepNext/>
        <w:spacing w:after="60"/>
        <w:jc w:val="both"/>
        <w:rPr>
          <w:rFonts w:cs="Arial"/>
          <w:szCs w:val="18"/>
        </w:rPr>
      </w:pPr>
      <w:r w:rsidRPr="00D56C84">
        <w:rPr>
          <w:rFonts w:cs="Arial"/>
          <w:szCs w:val="18"/>
        </w:rPr>
        <w:t>The</w:t>
      </w:r>
      <w:r w:rsidR="00557D28" w:rsidRPr="00D56C84">
        <w:rPr>
          <w:rFonts w:cs="Arial"/>
          <w:szCs w:val="18"/>
        </w:rPr>
        <w:t xml:space="preserve"> Act then codifies service functions of council, stating:</w:t>
      </w:r>
    </w:p>
    <w:p w:rsidR="00086803" w:rsidRPr="00D56C84" w:rsidRDefault="00086803" w:rsidP="00026507">
      <w:pPr>
        <w:pStyle w:val="ParaIndent"/>
        <w:keepNext/>
        <w:spacing w:after="60"/>
        <w:ind w:left="1701"/>
        <w:jc w:val="both"/>
        <w:rPr>
          <w:b/>
          <w:sz w:val="18"/>
          <w:szCs w:val="18"/>
        </w:rPr>
      </w:pPr>
      <w:r w:rsidRPr="00D56C84">
        <w:rPr>
          <w:b/>
          <w:sz w:val="18"/>
          <w:szCs w:val="18"/>
        </w:rPr>
        <w:t>Chapter 6: What are the service functions of councils?</w:t>
      </w:r>
    </w:p>
    <w:p w:rsidR="003B4519" w:rsidRPr="00D56C84" w:rsidRDefault="00086803" w:rsidP="00026507">
      <w:pPr>
        <w:pStyle w:val="ParaIndent"/>
        <w:keepNext/>
        <w:spacing w:after="60"/>
        <w:ind w:left="1701"/>
        <w:jc w:val="both"/>
        <w:rPr>
          <w:sz w:val="18"/>
          <w:szCs w:val="18"/>
        </w:rPr>
      </w:pPr>
      <w:r w:rsidRPr="00D56C84">
        <w:rPr>
          <w:sz w:val="18"/>
          <w:szCs w:val="18"/>
        </w:rPr>
        <w:t>This</w:t>
      </w:r>
      <w:r w:rsidR="003B4519" w:rsidRPr="00D56C84">
        <w:rPr>
          <w:sz w:val="18"/>
          <w:szCs w:val="18"/>
        </w:rPr>
        <w:t xml:space="preserve"> Chapter confers on councils their service or non-regulatory functions.</w:t>
      </w:r>
      <w:r w:rsidR="00C93C8A" w:rsidRPr="00D56C84">
        <w:rPr>
          <w:sz w:val="18"/>
          <w:szCs w:val="18"/>
        </w:rPr>
        <w:t xml:space="preserve"> </w:t>
      </w:r>
      <w:r w:rsidR="003B4519" w:rsidRPr="00D56C84">
        <w:rPr>
          <w:sz w:val="18"/>
          <w:szCs w:val="18"/>
        </w:rPr>
        <w:t>Examples of these functions include the provis</w:t>
      </w:r>
      <w:r w:rsidR="00776610">
        <w:rPr>
          <w:sz w:val="18"/>
          <w:szCs w:val="18"/>
        </w:rPr>
        <w:t xml:space="preserve">ion, management or operation of </w:t>
      </w:r>
      <w:r w:rsidR="003B4519" w:rsidRPr="00D56C84">
        <w:rPr>
          <w:sz w:val="18"/>
          <w:szCs w:val="18"/>
        </w:rPr>
        <w:t>waste removal, treatment and disposal services and facilities</w:t>
      </w:r>
      <w:r w:rsidR="00776610">
        <w:rPr>
          <w:sz w:val="18"/>
          <w:szCs w:val="18"/>
        </w:rPr>
        <w:t>.</w:t>
      </w:r>
    </w:p>
    <w:p w:rsidR="00557D28" w:rsidRPr="00D56C84" w:rsidRDefault="00557D28" w:rsidP="00026507">
      <w:pPr>
        <w:pStyle w:val="ParaIndent"/>
        <w:spacing w:after="60"/>
        <w:jc w:val="both"/>
        <w:rPr>
          <w:rFonts w:cs="Arial"/>
          <w:szCs w:val="18"/>
        </w:rPr>
      </w:pPr>
      <w:r w:rsidRPr="00D56C84">
        <w:rPr>
          <w:rFonts w:cs="Arial"/>
          <w:szCs w:val="18"/>
        </w:rPr>
        <w:t>With respect to the transport and disposal of waste, the Act sets out:</w:t>
      </w:r>
    </w:p>
    <w:p w:rsidR="00557D28" w:rsidRPr="00D56C84" w:rsidRDefault="00690B3D" w:rsidP="00026507">
      <w:pPr>
        <w:pStyle w:val="ParaIndent"/>
        <w:keepNext/>
        <w:spacing w:after="60"/>
        <w:ind w:left="1701"/>
        <w:jc w:val="both"/>
        <w:rPr>
          <w:b/>
          <w:sz w:val="18"/>
          <w:szCs w:val="18"/>
        </w:rPr>
      </w:pPr>
      <w:r w:rsidRPr="00D56C84">
        <w:rPr>
          <w:b/>
          <w:sz w:val="18"/>
          <w:szCs w:val="18"/>
        </w:rPr>
        <w:t xml:space="preserve">Chapter 7, Clause </w:t>
      </w:r>
      <w:r w:rsidR="00557D28" w:rsidRPr="00D56C84">
        <w:rPr>
          <w:b/>
          <w:sz w:val="18"/>
          <w:szCs w:val="18"/>
        </w:rPr>
        <w:t>68 What activities, generally, require the approval of the council?</w:t>
      </w:r>
    </w:p>
    <w:p w:rsidR="00557D28" w:rsidRPr="00D56C84" w:rsidRDefault="00557D28" w:rsidP="00026507">
      <w:pPr>
        <w:pStyle w:val="ParaIndent"/>
        <w:keepNext/>
        <w:spacing w:after="60"/>
        <w:ind w:left="1701"/>
        <w:jc w:val="both"/>
        <w:rPr>
          <w:sz w:val="18"/>
          <w:szCs w:val="18"/>
        </w:rPr>
      </w:pPr>
      <w:r w:rsidRPr="00D56C84">
        <w:rPr>
          <w:sz w:val="18"/>
          <w:szCs w:val="18"/>
        </w:rPr>
        <w:t>Part C</w:t>
      </w:r>
      <w:r w:rsidR="00F6579E" w:rsidRPr="00D56C84">
        <w:rPr>
          <w:sz w:val="18"/>
          <w:szCs w:val="18"/>
        </w:rPr>
        <w:t>:</w:t>
      </w:r>
      <w:r w:rsidRPr="00D56C84">
        <w:rPr>
          <w:sz w:val="18"/>
          <w:szCs w:val="18"/>
        </w:rPr>
        <w:t xml:space="preserve"> Management of waste</w:t>
      </w:r>
    </w:p>
    <w:p w:rsidR="00557D28" w:rsidRPr="00D56C84" w:rsidRDefault="00557D28" w:rsidP="00026507">
      <w:pPr>
        <w:pStyle w:val="ParaIndent"/>
        <w:keepNext/>
        <w:spacing w:after="60"/>
        <w:ind w:left="1701"/>
        <w:jc w:val="both"/>
        <w:rPr>
          <w:sz w:val="18"/>
          <w:szCs w:val="18"/>
        </w:rPr>
      </w:pPr>
      <w:r w:rsidRPr="00D56C84">
        <w:rPr>
          <w:sz w:val="18"/>
          <w:szCs w:val="18"/>
        </w:rPr>
        <w:t>1 For fee or reward, transport waste over or under a public place</w:t>
      </w:r>
    </w:p>
    <w:p w:rsidR="00557D28" w:rsidRPr="00D56C84" w:rsidRDefault="00557D28" w:rsidP="00026507">
      <w:pPr>
        <w:pStyle w:val="ParaIndent"/>
        <w:keepNext/>
        <w:spacing w:after="60"/>
        <w:ind w:left="1701"/>
        <w:jc w:val="both"/>
        <w:rPr>
          <w:sz w:val="18"/>
          <w:szCs w:val="18"/>
        </w:rPr>
      </w:pPr>
      <w:r w:rsidRPr="00D56C84">
        <w:rPr>
          <w:sz w:val="18"/>
          <w:szCs w:val="18"/>
        </w:rPr>
        <w:t>2 Place waste in a public place</w:t>
      </w:r>
    </w:p>
    <w:p w:rsidR="00557D28" w:rsidRPr="00D56C84" w:rsidRDefault="00557D28" w:rsidP="00026507">
      <w:pPr>
        <w:pStyle w:val="ParaIndent"/>
        <w:ind w:left="1701"/>
        <w:jc w:val="both"/>
        <w:rPr>
          <w:sz w:val="18"/>
          <w:szCs w:val="18"/>
        </w:rPr>
      </w:pPr>
      <w:r w:rsidRPr="00D56C84">
        <w:rPr>
          <w:sz w:val="18"/>
          <w:szCs w:val="18"/>
        </w:rPr>
        <w:t>3 Place a waste storage container in a public place</w:t>
      </w:r>
      <w:r w:rsidR="00C811E3">
        <w:rPr>
          <w:sz w:val="18"/>
          <w:szCs w:val="18"/>
        </w:rPr>
        <w:t>.</w:t>
      </w:r>
    </w:p>
    <w:p w:rsidR="003B4519" w:rsidRPr="00D56C84" w:rsidRDefault="00557D28" w:rsidP="00026507">
      <w:pPr>
        <w:pStyle w:val="ParaIndent"/>
        <w:keepNext/>
        <w:spacing w:after="60"/>
        <w:jc w:val="both"/>
        <w:rPr>
          <w:rFonts w:cs="Arial"/>
          <w:szCs w:val="18"/>
        </w:rPr>
      </w:pPr>
      <w:r w:rsidRPr="00D56C84">
        <w:rPr>
          <w:rFonts w:cs="Arial"/>
          <w:szCs w:val="18"/>
        </w:rPr>
        <w:t xml:space="preserve">The Act </w:t>
      </w:r>
      <w:r w:rsidR="00F6579E" w:rsidRPr="00D56C84">
        <w:rPr>
          <w:rFonts w:cs="Arial"/>
          <w:szCs w:val="18"/>
        </w:rPr>
        <w:t xml:space="preserve">also </w:t>
      </w:r>
      <w:r w:rsidRPr="00D56C84">
        <w:rPr>
          <w:rFonts w:cs="Arial"/>
          <w:szCs w:val="18"/>
        </w:rPr>
        <w:t>sets out how councils are to cover the cost of management services, stating</w:t>
      </w:r>
      <w:r w:rsidR="003B4519" w:rsidRPr="00D56C84">
        <w:rPr>
          <w:rFonts w:cs="Arial"/>
          <w:szCs w:val="18"/>
        </w:rPr>
        <w:t>:</w:t>
      </w:r>
    </w:p>
    <w:p w:rsidR="00C93C8A" w:rsidRPr="00D56C84" w:rsidRDefault="00C93C8A" w:rsidP="00026507">
      <w:pPr>
        <w:pStyle w:val="ParaIndent"/>
        <w:keepNext/>
        <w:spacing w:after="60"/>
        <w:ind w:left="1701"/>
        <w:jc w:val="both"/>
        <w:rPr>
          <w:b/>
          <w:sz w:val="18"/>
          <w:szCs w:val="18"/>
        </w:rPr>
      </w:pPr>
      <w:r w:rsidRPr="00D56C84">
        <w:rPr>
          <w:b/>
          <w:sz w:val="18"/>
          <w:szCs w:val="18"/>
        </w:rPr>
        <w:t>Chapter 15: How are councils financed?</w:t>
      </w:r>
    </w:p>
    <w:p w:rsidR="00C93C8A" w:rsidRPr="00D56C84" w:rsidRDefault="00C93C8A" w:rsidP="00026507">
      <w:pPr>
        <w:pStyle w:val="ParaIndent"/>
        <w:ind w:left="1701"/>
        <w:jc w:val="both"/>
        <w:rPr>
          <w:sz w:val="18"/>
          <w:szCs w:val="18"/>
        </w:rPr>
      </w:pPr>
      <w:r w:rsidRPr="00D56C84">
        <w:rPr>
          <w:sz w:val="18"/>
          <w:szCs w:val="18"/>
        </w:rPr>
        <w:t>The reasonable cost to the council of providing domestic waste management services must not be recovered by the ordinary rate. It must be obtained from the making and levying of a charge.</w:t>
      </w:r>
    </w:p>
    <w:p w:rsidR="003B4519" w:rsidRPr="00D56C84" w:rsidRDefault="00F6579E" w:rsidP="00026507">
      <w:pPr>
        <w:pStyle w:val="ParaIndent"/>
        <w:keepNext/>
        <w:spacing w:after="60"/>
        <w:jc w:val="both"/>
        <w:rPr>
          <w:rFonts w:cs="Arial"/>
          <w:szCs w:val="18"/>
        </w:rPr>
      </w:pPr>
      <w:r w:rsidRPr="00D56C84">
        <w:rPr>
          <w:rFonts w:cs="Arial"/>
          <w:szCs w:val="18"/>
        </w:rPr>
        <w:t>Changes</w:t>
      </w:r>
      <w:r w:rsidR="00557D28" w:rsidRPr="00D56C84">
        <w:rPr>
          <w:rFonts w:cs="Arial"/>
          <w:szCs w:val="18"/>
        </w:rPr>
        <w:t xml:space="preserve"> to </w:t>
      </w:r>
      <w:r w:rsidRPr="00D56C84">
        <w:rPr>
          <w:rFonts w:cs="Arial"/>
          <w:szCs w:val="18"/>
        </w:rPr>
        <w:t>waste management</w:t>
      </w:r>
      <w:r w:rsidR="00557D28" w:rsidRPr="00D56C84">
        <w:rPr>
          <w:rFonts w:cs="Arial"/>
          <w:szCs w:val="18"/>
        </w:rPr>
        <w:t xml:space="preserve"> charges are restricted as follows in this and other </w:t>
      </w:r>
      <w:r w:rsidRPr="00D56C84">
        <w:rPr>
          <w:rFonts w:cs="Arial"/>
          <w:szCs w:val="18"/>
        </w:rPr>
        <w:t>similar</w:t>
      </w:r>
      <w:r w:rsidR="00557D28" w:rsidRPr="00D56C84">
        <w:rPr>
          <w:rFonts w:cs="Arial"/>
          <w:szCs w:val="18"/>
        </w:rPr>
        <w:t xml:space="preserve"> clauses:</w:t>
      </w:r>
    </w:p>
    <w:p w:rsidR="003B4519" w:rsidRPr="00D56C84" w:rsidRDefault="00690B3D" w:rsidP="00026507">
      <w:pPr>
        <w:pStyle w:val="ParaIndent"/>
        <w:keepNext/>
        <w:spacing w:after="60"/>
        <w:ind w:left="1701"/>
        <w:jc w:val="both"/>
        <w:rPr>
          <w:b/>
          <w:sz w:val="18"/>
          <w:szCs w:val="18"/>
        </w:rPr>
      </w:pPr>
      <w:r w:rsidRPr="00D56C84">
        <w:rPr>
          <w:b/>
          <w:sz w:val="18"/>
          <w:szCs w:val="18"/>
        </w:rPr>
        <w:t xml:space="preserve">Chapter 15, Clause </w:t>
      </w:r>
      <w:r w:rsidR="003B4519" w:rsidRPr="00D56C84">
        <w:rPr>
          <w:b/>
          <w:sz w:val="18"/>
          <w:szCs w:val="18"/>
        </w:rPr>
        <w:t>507 Variation of annual charges for domestic waste management services</w:t>
      </w:r>
    </w:p>
    <w:p w:rsidR="003B4519" w:rsidRPr="00D56C84" w:rsidRDefault="003B4519" w:rsidP="00026507">
      <w:pPr>
        <w:pStyle w:val="ParaIndent"/>
        <w:keepNext/>
        <w:spacing w:after="60"/>
        <w:ind w:left="1701"/>
        <w:jc w:val="both"/>
        <w:rPr>
          <w:sz w:val="18"/>
          <w:szCs w:val="18"/>
        </w:rPr>
      </w:pPr>
      <w:r w:rsidRPr="00D56C84">
        <w:rPr>
          <w:sz w:val="18"/>
          <w:szCs w:val="18"/>
        </w:rPr>
        <w:t>The Minister may, by order published in the Gazette:</w:t>
      </w:r>
    </w:p>
    <w:p w:rsidR="003B4519" w:rsidRPr="00D56C84" w:rsidRDefault="003B4519" w:rsidP="00026507">
      <w:pPr>
        <w:pStyle w:val="ParaIndent"/>
        <w:keepNext/>
        <w:spacing w:after="60"/>
        <w:ind w:left="1701"/>
        <w:jc w:val="both"/>
        <w:rPr>
          <w:sz w:val="18"/>
          <w:szCs w:val="18"/>
        </w:rPr>
      </w:pPr>
      <w:r w:rsidRPr="00D56C84">
        <w:rPr>
          <w:sz w:val="18"/>
          <w:szCs w:val="18"/>
        </w:rPr>
        <w:t xml:space="preserve">(a) </w:t>
      </w:r>
      <w:proofErr w:type="gramStart"/>
      <w:r w:rsidRPr="00D56C84">
        <w:rPr>
          <w:sz w:val="18"/>
          <w:szCs w:val="18"/>
        </w:rPr>
        <w:t>specify</w:t>
      </w:r>
      <w:proofErr w:type="gramEnd"/>
      <w:r w:rsidRPr="00D56C84">
        <w:rPr>
          <w:sz w:val="18"/>
          <w:szCs w:val="18"/>
        </w:rPr>
        <w:t xml:space="preserve"> the percentage by which the amounts of annual charges made by councils for domestic waste management services for a specified year may be varied, and</w:t>
      </w:r>
    </w:p>
    <w:p w:rsidR="003B4519" w:rsidRPr="00D56C84" w:rsidRDefault="003B4519" w:rsidP="00026507">
      <w:pPr>
        <w:pStyle w:val="ParaIndent"/>
        <w:ind w:left="1701"/>
        <w:jc w:val="both"/>
        <w:rPr>
          <w:sz w:val="18"/>
          <w:szCs w:val="18"/>
        </w:rPr>
      </w:pPr>
      <w:r w:rsidRPr="00D56C84">
        <w:rPr>
          <w:sz w:val="18"/>
          <w:szCs w:val="18"/>
        </w:rPr>
        <w:t xml:space="preserve">(b) </w:t>
      </w:r>
      <w:proofErr w:type="gramStart"/>
      <w:r w:rsidRPr="00D56C84">
        <w:rPr>
          <w:sz w:val="18"/>
          <w:szCs w:val="18"/>
        </w:rPr>
        <w:t>impose</w:t>
      </w:r>
      <w:proofErr w:type="gramEnd"/>
      <w:r w:rsidRPr="00D56C84">
        <w:rPr>
          <w:sz w:val="18"/>
          <w:szCs w:val="18"/>
        </w:rPr>
        <w:t xml:space="preserve"> conditions with respect to the variation of those charges.</w:t>
      </w:r>
    </w:p>
    <w:p w:rsidR="00801138" w:rsidRDefault="00801138" w:rsidP="00026507">
      <w:pPr>
        <w:pStyle w:val="Heading2"/>
        <w:spacing w:before="240"/>
        <w:rPr>
          <w:lang w:eastAsia="en-AU"/>
        </w:rPr>
      </w:pPr>
      <w:bookmarkStart w:id="47" w:name="_Toc307470428"/>
      <w:r w:rsidRPr="00D56C84">
        <w:rPr>
          <w:lang w:eastAsia="en-AU"/>
        </w:rPr>
        <w:t>Groupings</w:t>
      </w:r>
      <w:r w:rsidR="00085D2C">
        <w:rPr>
          <w:lang w:eastAsia="en-AU"/>
        </w:rPr>
        <w:t xml:space="preserve"> in NSW</w:t>
      </w:r>
      <w:bookmarkEnd w:id="47"/>
    </w:p>
    <w:p w:rsidR="00A81ED1" w:rsidRPr="00A81ED1" w:rsidRDefault="00A81ED1" w:rsidP="00026507">
      <w:pPr>
        <w:pStyle w:val="ParaIndent"/>
        <w:jc w:val="both"/>
        <w:rPr>
          <w:lang w:eastAsia="en-AU"/>
        </w:rPr>
      </w:pPr>
      <w:r>
        <w:rPr>
          <w:lang w:eastAsia="en-AU"/>
        </w:rPr>
        <w:t xml:space="preserve">In relation to waste related information, LGAs in NSW are primarily grouped according </w:t>
      </w:r>
      <w:r w:rsidRPr="00776610">
        <w:rPr>
          <w:lang w:eastAsia="en-AU"/>
        </w:rPr>
        <w:t xml:space="preserve">to </w:t>
      </w:r>
      <w:r w:rsidR="003836F0" w:rsidRPr="00776610">
        <w:rPr>
          <w:lang w:eastAsia="en-AU"/>
        </w:rPr>
        <w:t>four</w:t>
      </w:r>
      <w:r>
        <w:rPr>
          <w:lang w:eastAsia="en-AU"/>
        </w:rPr>
        <w:t xml:space="preserve"> zones, which reflect the application of the state’s landfill levy.</w:t>
      </w:r>
    </w:p>
    <w:p w:rsidR="00801138" w:rsidRPr="00D56C84" w:rsidRDefault="00801138" w:rsidP="00026507">
      <w:pPr>
        <w:pStyle w:val="Heading3"/>
        <w:jc w:val="both"/>
      </w:pPr>
      <w:r w:rsidRPr="00D56C84">
        <w:lastRenderedPageBreak/>
        <w:t>Landfill levy</w:t>
      </w:r>
    </w:p>
    <w:p w:rsidR="00801138" w:rsidRPr="00D56C84" w:rsidRDefault="00801138" w:rsidP="00026507">
      <w:pPr>
        <w:pStyle w:val="ParaIndent"/>
        <w:keepNext/>
        <w:spacing w:after="60"/>
        <w:jc w:val="both"/>
      </w:pPr>
      <w:r w:rsidRPr="00D56C84">
        <w:t xml:space="preserve">The NSW waste and environment levy applies in the </w:t>
      </w:r>
      <w:hyperlink r:id="rId26" w:history="1">
        <w:r w:rsidRPr="00D56C84">
          <w:t>'regulated area' of NSW</w:t>
        </w:r>
      </w:hyperlink>
      <w:r w:rsidRPr="00D56C84">
        <w:t>, which is made up of the Sydney Metropolitan Area, the Extended Regulated Area (Illawarra and Hunter regions) and, as of 1 July 2009, the Regional Regulated Area (including the North coast local government areas from Port Stephens to the Queensland border, as well as the Blue Mountains and Wollondilly local government areas). Different levy rates apply to each of the SMA, ERA, and RRA, and increase annually (</w:t>
      </w:r>
      <w:fldSimple w:instr=" REF _Ref297106218 \h  \* MERGEFORMAT ">
        <w:r w:rsidR="00166111" w:rsidRPr="00D56C84">
          <w:t xml:space="preserve">Table </w:t>
        </w:r>
        <w:r w:rsidR="00166111">
          <w:t>6</w:t>
        </w:r>
        <w:r w:rsidR="00166111" w:rsidRPr="00D56C84">
          <w:t>-</w:t>
        </w:r>
        <w:r w:rsidR="00166111">
          <w:t>8</w:t>
        </w:r>
      </w:fldSimple>
      <w:r w:rsidRPr="00D56C84">
        <w:t>). Levy rates paid by a facility will depend on which area the waste was generated or sourced from, and where it was received. LGAs within the regulated area of NSW</w:t>
      </w:r>
      <w:r w:rsidR="0067186F">
        <w:t>, and in the rest of the state,</w:t>
      </w:r>
      <w:r w:rsidRPr="00D56C84">
        <w:t xml:space="preserve"> are:</w:t>
      </w:r>
    </w:p>
    <w:p w:rsidR="00801138" w:rsidRPr="00D56C84" w:rsidRDefault="00801138" w:rsidP="00026507">
      <w:pPr>
        <w:pStyle w:val="ParaIndent"/>
        <w:jc w:val="both"/>
      </w:pPr>
      <w:r w:rsidRPr="00D56C84">
        <w:rPr>
          <w:b/>
        </w:rPr>
        <w:t>Sydney Metropolitan Area (SMA):</w:t>
      </w:r>
      <w:r w:rsidRPr="00D56C84">
        <w:t xml:space="preserve"> the local government areas of Ashfield, Auburn, Bankstown, Baulkham Hills, Blacktown, Botany, Burwood, Camden, Campbelltown, Canada Bay, Canterbury, Fairfield, Holroyd, Hornsby, Hunters Hill, Hurstville, Kogarah, Ku-ring-gai, Lane Cove, Leichhardt, Liverpool, Manly, Marrickville, Mosman, North Sydney, Parramatta, Penrith, Pittwater, Randwick, Rockdale, Ryde, Strathfield, Sutherland, Sydney, Warringah, Waverley, Willoughby and Woollahra.</w:t>
      </w:r>
    </w:p>
    <w:p w:rsidR="00801138" w:rsidRPr="00D56C84" w:rsidRDefault="00801138" w:rsidP="00026507">
      <w:pPr>
        <w:pStyle w:val="ParaIndent"/>
        <w:jc w:val="both"/>
      </w:pPr>
      <w:r w:rsidRPr="00D56C84">
        <w:rPr>
          <w:b/>
        </w:rPr>
        <w:t>Extended Regulated Area (ERA):</w:t>
      </w:r>
      <w:r w:rsidRPr="00D56C84">
        <w:t xml:space="preserve"> the local government areas of Cessnock, Gosford, Hawkesbury, Kiama, Lake Macquarie, Maitland, Newcastle, Port Stephens, Shellharbour, Shoalhaven, </w:t>
      </w:r>
      <w:proofErr w:type="spellStart"/>
      <w:r w:rsidRPr="00D56C84">
        <w:t>Wingecarribee</w:t>
      </w:r>
      <w:proofErr w:type="spellEnd"/>
      <w:r w:rsidRPr="00D56C84">
        <w:t>, Wollongong and Wyong.</w:t>
      </w:r>
    </w:p>
    <w:p w:rsidR="00801138" w:rsidRDefault="00801138" w:rsidP="00026507">
      <w:pPr>
        <w:pStyle w:val="ParaIndent"/>
        <w:jc w:val="both"/>
      </w:pPr>
      <w:r w:rsidRPr="00D56C84">
        <w:rPr>
          <w:b/>
        </w:rPr>
        <w:t>Regional Regulated Area (RRA):</w:t>
      </w:r>
      <w:r w:rsidRPr="00D56C84">
        <w:t xml:space="preserve"> the local government areas of Ballina, Bellingen, Blue Mountains City, Byron, Clarence Valley, Coffs Harbour City, Dungog, Gloucester, Great Lakes, Greater Taree City, Kempsey, Kyogle, Lismore City, Muswellbrook, Nambucca, Port Macquarie-Hastings, Richmond Valley, Singleton, Tweed, Upper Hunter Shire and Wollondilly.</w:t>
      </w:r>
    </w:p>
    <w:p w:rsidR="003836F0" w:rsidRDefault="00C10638" w:rsidP="003836F0">
      <w:pPr>
        <w:pStyle w:val="ParaIndent"/>
        <w:jc w:val="both"/>
      </w:pPr>
      <w:r w:rsidRPr="00C10638">
        <w:rPr>
          <w:b/>
        </w:rPr>
        <w:t>Rest of State:</w:t>
      </w:r>
      <w:r>
        <w:t xml:space="preserve"> the </w:t>
      </w:r>
      <w:r w:rsidR="003836F0">
        <w:t xml:space="preserve">local government areas </w:t>
      </w:r>
      <w:r>
        <w:t xml:space="preserve">outside the ‘regulated area’, being </w:t>
      </w:r>
      <w:r w:rsidR="003836F0">
        <w:t xml:space="preserve">Albury, Armidale/Dumaresq, Balranald, Bathurst Regional, Bega Valley, Berrigan, Bland, Blayney, Bogan, Bombala, Boorowa, Bourke, Brewarrina, Broken Hill, </w:t>
      </w:r>
      <w:proofErr w:type="spellStart"/>
      <w:r w:rsidR="003836F0">
        <w:t>Cabonne</w:t>
      </w:r>
      <w:proofErr w:type="spellEnd"/>
      <w:r w:rsidR="003836F0">
        <w:t xml:space="preserve">, Carrathool, Central Darling, Cobar, Conargo, Coolamon, Cooma-Monaro, Coonamble, Cootamundra, Corowa, Cowra, Deniliquin, Dubbo, Eurobodalla, Forbes, Gilgandra, Glen Innes Severn, Goulburn </w:t>
      </w:r>
      <w:proofErr w:type="spellStart"/>
      <w:r w:rsidR="003836F0">
        <w:t>Mulwaree</w:t>
      </w:r>
      <w:proofErr w:type="spellEnd"/>
      <w:r w:rsidR="003836F0">
        <w:t xml:space="preserve">, Greater Hume, Griffith, Gundagai, Gunnedah, Guyra, </w:t>
      </w:r>
      <w:proofErr w:type="spellStart"/>
      <w:r w:rsidR="003836F0">
        <w:t>Gywdir</w:t>
      </w:r>
      <w:proofErr w:type="spellEnd"/>
      <w:r w:rsidR="003836F0">
        <w:t xml:space="preserve">, Harden, Hay, Inverell, Jerilderie, Junee, Lachlan, Leeton, Lithgow, Liverpool Plains, Lockhart, Mid-Western Regional, Moree Plains, Murray, Murrumbidgee, Narrabri, Narrandera, Narromine, Oberon, Orange, </w:t>
      </w:r>
      <w:proofErr w:type="spellStart"/>
      <w:r w:rsidR="003836F0">
        <w:t>Palerang</w:t>
      </w:r>
      <w:proofErr w:type="spellEnd"/>
      <w:r w:rsidR="003836F0">
        <w:t xml:space="preserve">, Parkes, Queanbeyan, Snowy River, Tamworth Regional, Temora, Tenterfield, Tumbarumba, Tumut, Upper Lachlan, Uralla, Urana, Wagga Wagga, Wakool, Walcha, Walgett, Warren, Warrumbungle, </w:t>
      </w:r>
      <w:proofErr w:type="spellStart"/>
      <w:r w:rsidR="003836F0">
        <w:t>Weddin</w:t>
      </w:r>
      <w:proofErr w:type="spellEnd"/>
      <w:r w:rsidR="003836F0">
        <w:t>, Wellington, Wentworth, Yass Valley and Young.</w:t>
      </w:r>
    </w:p>
    <w:p w:rsidR="003836F0" w:rsidRDefault="003836F0" w:rsidP="003836F0">
      <w:pPr>
        <w:pStyle w:val="ParaIndent"/>
        <w:jc w:val="both"/>
      </w:pPr>
    </w:p>
    <w:p w:rsidR="00801138" w:rsidRPr="00D56C84" w:rsidRDefault="00801138" w:rsidP="00801138">
      <w:pPr>
        <w:pStyle w:val="Caption"/>
      </w:pPr>
      <w:bookmarkStart w:id="48" w:name="_Ref297106218"/>
      <w:r w:rsidRPr="00D56C84">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8</w:t>
      </w:r>
      <w:r w:rsidR="00ED6CA0">
        <w:rPr>
          <w:noProof/>
        </w:rPr>
        <w:fldChar w:fldCharType="end"/>
      </w:r>
      <w:bookmarkEnd w:id="48"/>
      <w:r w:rsidRPr="00D56C84">
        <w:tab/>
        <w:t>NSW landfill levy</w:t>
      </w:r>
    </w:p>
    <w:tbl>
      <w:tblPr>
        <w:tblStyle w:val="TableGrid"/>
        <w:tblW w:w="3824" w:type="pct"/>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2080"/>
        <w:gridCol w:w="2741"/>
        <w:gridCol w:w="2551"/>
      </w:tblGrid>
      <w:tr w:rsidR="00801138" w:rsidRPr="00D56C84" w:rsidTr="00801138">
        <w:tc>
          <w:tcPr>
            <w:tcW w:w="1411" w:type="pct"/>
            <w:shd w:val="clear" w:color="auto" w:fill="auto"/>
          </w:tcPr>
          <w:p w:rsidR="00801138" w:rsidRPr="00D56C84" w:rsidRDefault="00801138" w:rsidP="00801138">
            <w:pPr>
              <w:pStyle w:val="TableHeading"/>
            </w:pPr>
            <w:r w:rsidRPr="00D56C84">
              <w:t xml:space="preserve">Regulated area </w:t>
            </w:r>
          </w:p>
          <w:p w:rsidR="00801138" w:rsidRPr="00D56C84" w:rsidRDefault="00801138" w:rsidP="00801138">
            <w:pPr>
              <w:pStyle w:val="TableHeading"/>
            </w:pPr>
            <w:r w:rsidRPr="00D56C84">
              <w:t>of NSW</w:t>
            </w:r>
          </w:p>
        </w:tc>
        <w:tc>
          <w:tcPr>
            <w:tcW w:w="1859" w:type="pct"/>
            <w:shd w:val="clear" w:color="auto" w:fill="auto"/>
          </w:tcPr>
          <w:p w:rsidR="00801138" w:rsidRPr="00D56C84" w:rsidRDefault="00801138" w:rsidP="00801138">
            <w:pPr>
              <w:pStyle w:val="TableHeading"/>
            </w:pPr>
            <w:r w:rsidRPr="00D56C84">
              <w:t>Levy rates 2010-11</w:t>
            </w:r>
          </w:p>
          <w:p w:rsidR="00801138" w:rsidRPr="00D56C84" w:rsidRDefault="00801138" w:rsidP="00801138">
            <w:pPr>
              <w:pStyle w:val="TableHeading"/>
            </w:pPr>
            <w:r w:rsidRPr="00D56C84">
              <w:t>($/tonne)</w:t>
            </w:r>
          </w:p>
        </w:tc>
        <w:tc>
          <w:tcPr>
            <w:tcW w:w="1730" w:type="pct"/>
            <w:shd w:val="clear" w:color="auto" w:fill="auto"/>
          </w:tcPr>
          <w:p w:rsidR="00801138" w:rsidRPr="00D56C84" w:rsidRDefault="00801138" w:rsidP="00801138">
            <w:pPr>
              <w:pStyle w:val="TableHeading"/>
            </w:pPr>
            <w:r w:rsidRPr="00D56C84">
              <w:t>Levy rates 2011-12</w:t>
            </w:r>
          </w:p>
          <w:p w:rsidR="00801138" w:rsidRPr="00D56C84" w:rsidRDefault="00801138" w:rsidP="00801138">
            <w:pPr>
              <w:pStyle w:val="TableHeading"/>
            </w:pPr>
            <w:r w:rsidRPr="00D56C84">
              <w:t>($/tonne)</w:t>
            </w:r>
          </w:p>
        </w:tc>
      </w:tr>
      <w:tr w:rsidR="00801138" w:rsidRPr="00D56C84" w:rsidTr="00801138">
        <w:tc>
          <w:tcPr>
            <w:tcW w:w="1411" w:type="pct"/>
            <w:shd w:val="clear" w:color="auto" w:fill="auto"/>
          </w:tcPr>
          <w:p w:rsidR="00801138" w:rsidRPr="00D56C84" w:rsidRDefault="00801138" w:rsidP="00801138">
            <w:pPr>
              <w:pStyle w:val="TableText"/>
            </w:pPr>
            <w:r w:rsidRPr="00D56C84">
              <w:t>SMA</w:t>
            </w:r>
          </w:p>
        </w:tc>
        <w:tc>
          <w:tcPr>
            <w:tcW w:w="1859" w:type="pct"/>
            <w:shd w:val="clear" w:color="auto" w:fill="auto"/>
          </w:tcPr>
          <w:p w:rsidR="00801138" w:rsidRPr="00D56C84" w:rsidRDefault="00801138" w:rsidP="00801138">
            <w:pPr>
              <w:pStyle w:val="TableText"/>
            </w:pPr>
            <w:r w:rsidRPr="00D56C84">
              <w:t>$70.30</w:t>
            </w:r>
          </w:p>
        </w:tc>
        <w:tc>
          <w:tcPr>
            <w:tcW w:w="1730" w:type="pct"/>
            <w:shd w:val="clear" w:color="auto" w:fill="auto"/>
          </w:tcPr>
          <w:p w:rsidR="00801138" w:rsidRPr="00D56C84" w:rsidRDefault="00801138" w:rsidP="00801138">
            <w:pPr>
              <w:pStyle w:val="TableText"/>
            </w:pPr>
            <w:r w:rsidRPr="00D56C84">
              <w:t>$82.20</w:t>
            </w:r>
          </w:p>
        </w:tc>
      </w:tr>
      <w:tr w:rsidR="00801138" w:rsidRPr="00D56C84" w:rsidTr="00801138">
        <w:tc>
          <w:tcPr>
            <w:tcW w:w="1411" w:type="pct"/>
            <w:shd w:val="clear" w:color="auto" w:fill="auto"/>
          </w:tcPr>
          <w:p w:rsidR="00801138" w:rsidRPr="00D56C84" w:rsidRDefault="00801138" w:rsidP="00801138">
            <w:pPr>
              <w:pStyle w:val="TableText"/>
            </w:pPr>
            <w:r w:rsidRPr="00D56C84">
              <w:t>ERA</w:t>
            </w:r>
          </w:p>
        </w:tc>
        <w:tc>
          <w:tcPr>
            <w:tcW w:w="1859" w:type="pct"/>
            <w:shd w:val="clear" w:color="auto" w:fill="auto"/>
          </w:tcPr>
          <w:p w:rsidR="00801138" w:rsidRPr="00D56C84" w:rsidRDefault="00801138" w:rsidP="00801138">
            <w:pPr>
              <w:pStyle w:val="TableText"/>
            </w:pPr>
            <w:r w:rsidRPr="00D56C84">
              <w:t>$65.30</w:t>
            </w:r>
          </w:p>
        </w:tc>
        <w:tc>
          <w:tcPr>
            <w:tcW w:w="1730" w:type="pct"/>
            <w:shd w:val="clear" w:color="auto" w:fill="auto"/>
          </w:tcPr>
          <w:p w:rsidR="00801138" w:rsidRPr="00D56C84" w:rsidRDefault="00801138" w:rsidP="00801138">
            <w:pPr>
              <w:pStyle w:val="TableText"/>
            </w:pPr>
            <w:r w:rsidRPr="00D56C84">
              <w:t>$78.60</w:t>
            </w:r>
          </w:p>
        </w:tc>
      </w:tr>
      <w:tr w:rsidR="00801138" w:rsidRPr="00D56C84" w:rsidTr="00801138">
        <w:tc>
          <w:tcPr>
            <w:tcW w:w="1411" w:type="pct"/>
            <w:shd w:val="clear" w:color="auto" w:fill="auto"/>
          </w:tcPr>
          <w:p w:rsidR="00801138" w:rsidRPr="00D56C84" w:rsidRDefault="00801138" w:rsidP="00801138">
            <w:pPr>
              <w:pStyle w:val="TableText"/>
            </w:pPr>
            <w:r w:rsidRPr="00D56C84">
              <w:t>RRA</w:t>
            </w:r>
          </w:p>
        </w:tc>
        <w:tc>
          <w:tcPr>
            <w:tcW w:w="1859" w:type="pct"/>
            <w:shd w:val="clear" w:color="auto" w:fill="auto"/>
          </w:tcPr>
          <w:p w:rsidR="00801138" w:rsidRPr="00D56C84" w:rsidRDefault="00801138" w:rsidP="00801138">
            <w:pPr>
              <w:pStyle w:val="TableText"/>
            </w:pPr>
            <w:r w:rsidRPr="00D56C84">
              <w:t>$20.40</w:t>
            </w:r>
          </w:p>
        </w:tc>
        <w:tc>
          <w:tcPr>
            <w:tcW w:w="1730" w:type="pct"/>
            <w:shd w:val="clear" w:color="auto" w:fill="auto"/>
          </w:tcPr>
          <w:p w:rsidR="00801138" w:rsidRPr="00D56C84" w:rsidRDefault="00801138" w:rsidP="00801138">
            <w:pPr>
              <w:pStyle w:val="TableText"/>
            </w:pPr>
            <w:r w:rsidRPr="00D56C84">
              <w:t>$31.10</w:t>
            </w:r>
          </w:p>
        </w:tc>
      </w:tr>
    </w:tbl>
    <w:p w:rsidR="00801138" w:rsidRPr="00D56C84" w:rsidRDefault="00801138" w:rsidP="00801138">
      <w:pPr>
        <w:pStyle w:val="ParaIndent"/>
        <w:rPr>
          <w:highlight w:val="yellow"/>
        </w:rPr>
      </w:pPr>
    </w:p>
    <w:p w:rsidR="00801138" w:rsidRPr="00D56C84" w:rsidRDefault="00801138" w:rsidP="00026507">
      <w:pPr>
        <w:pStyle w:val="ParaIndent"/>
        <w:jc w:val="both"/>
      </w:pPr>
      <w:r w:rsidRPr="00D56C84">
        <w:t>Licensed waste facilities within the regulated area of NSW are required to report monthly. Landfills outside the regulated area, or those not required to be licensed and servicing populations of less than 1</w:t>
      </w:r>
      <w:r w:rsidR="00C10638">
        <w:t>,</w:t>
      </w:r>
      <w:r w:rsidRPr="00D56C84">
        <w:t>000, report data annually. NSW landfill tonnage data is only reported in an aggregated form</w:t>
      </w:r>
      <w:r w:rsidR="00C811E3">
        <w:t xml:space="preserve"> (i.e. not reported by LGA)</w:t>
      </w:r>
      <w:r w:rsidRPr="00D56C84">
        <w:t>.</w:t>
      </w:r>
    </w:p>
    <w:p w:rsidR="00801138" w:rsidRPr="00D56C84" w:rsidRDefault="00801138" w:rsidP="00801138">
      <w:pPr>
        <w:pStyle w:val="Heading3"/>
      </w:pPr>
      <w:r w:rsidRPr="00D56C84">
        <w:lastRenderedPageBreak/>
        <w:t>Voluntary Waste Management Groups</w:t>
      </w:r>
    </w:p>
    <w:p w:rsidR="00801138" w:rsidRPr="00D56C84" w:rsidRDefault="00801138" w:rsidP="00026507">
      <w:pPr>
        <w:pStyle w:val="ParaIndent"/>
        <w:jc w:val="both"/>
      </w:pPr>
      <w:r w:rsidRPr="00D56C84">
        <w:t xml:space="preserve">The establishment of waste management groups is not required under any state legislation or regulations. Nonetheless, there exists seven Voluntary Regional Waste Management Groups (VRWMGs) in NSW. Most VRWMGs have the stated aim of facilitating regional co-operation in waste management and waste minimisation. VRWMGs receive funding from the OEH and usually develop projects in alignment with the State </w:t>
      </w:r>
      <w:r w:rsidRPr="00C10638">
        <w:rPr>
          <w:i/>
        </w:rPr>
        <w:t>Waste Avoidance and Resource Recovery Strategy</w:t>
      </w:r>
      <w:r w:rsidRPr="00D56C84">
        <w:t>.</w:t>
      </w:r>
    </w:p>
    <w:p w:rsidR="00801138" w:rsidRPr="00D56C84" w:rsidRDefault="00801138" w:rsidP="00026507">
      <w:pPr>
        <w:pStyle w:val="ParaIndent"/>
        <w:jc w:val="both"/>
      </w:pPr>
      <w:r w:rsidRPr="00D56C84">
        <w:t>The seven VRWMGs roughly correspond with geographical regions of NSW. However, the Riverina and Murray Regional Organisation of Councils can be considered in two parts, those corresponding with the Murray and Murrumbidgee regions.</w:t>
      </w:r>
    </w:p>
    <w:p w:rsidR="00801138" w:rsidRPr="00D56C84" w:rsidRDefault="00801138" w:rsidP="00026507">
      <w:pPr>
        <w:pStyle w:val="ParaIndent"/>
        <w:jc w:val="both"/>
      </w:pPr>
      <w:r w:rsidRPr="00D56C84">
        <w:t>The present study calculates that the RWMGs include 73 LGAs, which account for 17% of the population and cover 69% of the land area of the state. However, the umbrella group for VRWMGs – Renew NSW – states the seven organisations cover 95 LGAs.</w:t>
      </w:r>
    </w:p>
    <w:p w:rsidR="00801138" w:rsidRPr="00D56C84" w:rsidRDefault="00801138" w:rsidP="00026507">
      <w:pPr>
        <w:pStyle w:val="ParaIndent"/>
        <w:keepNext/>
        <w:spacing w:after="60"/>
        <w:jc w:val="both"/>
      </w:pPr>
      <w:r w:rsidRPr="00D56C84">
        <w:t xml:space="preserve">Renew NSW, which also receives funding from the </w:t>
      </w:r>
      <w:r w:rsidR="00C10638">
        <w:t>OEH</w:t>
      </w:r>
      <w:r w:rsidRPr="00D56C84">
        <w:t>, states that it:</w:t>
      </w:r>
    </w:p>
    <w:p w:rsidR="00801138" w:rsidRPr="00D56C84" w:rsidRDefault="00801138" w:rsidP="00026507">
      <w:pPr>
        <w:pStyle w:val="ParaIndent"/>
        <w:keepNext/>
        <w:keepLines/>
        <w:ind w:left="1701"/>
        <w:jc w:val="both"/>
        <w:rPr>
          <w:sz w:val="18"/>
          <w:szCs w:val="18"/>
        </w:rPr>
      </w:pPr>
      <w:r w:rsidRPr="00D56C84">
        <w:rPr>
          <w:sz w:val="18"/>
          <w:szCs w:val="18"/>
        </w:rPr>
        <w:t xml:space="preserve">...monitors and facilitates improvements to waste management and resource recovery practices in rural and regional areas ... [and] serve as an advisory body on matters of regional concern such as landfill rationalization, infrastructure sharing, resource recovery systems and drop-off centres and other related sustainability activities. </w:t>
      </w:r>
    </w:p>
    <w:p w:rsidR="00801138" w:rsidRPr="00D56C84" w:rsidRDefault="00ED6CA0" w:rsidP="00026507">
      <w:pPr>
        <w:pStyle w:val="ParaIndent"/>
        <w:jc w:val="both"/>
      </w:pPr>
      <w:fldSimple w:instr=" REF _Ref297106026 \h  \* MERGEFORMAT ">
        <w:r w:rsidR="00166111" w:rsidRPr="00D56C84">
          <w:t xml:space="preserve">Table </w:t>
        </w:r>
        <w:r w:rsidR="00166111">
          <w:rPr>
            <w:noProof/>
          </w:rPr>
          <w:t>6</w:t>
        </w:r>
        <w:r w:rsidR="00166111" w:rsidRPr="00D56C84">
          <w:rPr>
            <w:noProof/>
          </w:rPr>
          <w:t>-</w:t>
        </w:r>
        <w:r w:rsidR="00166111">
          <w:rPr>
            <w:noProof/>
          </w:rPr>
          <w:t>9</w:t>
        </w:r>
      </w:fldSimple>
      <w:r w:rsidR="00801138" w:rsidRPr="00D56C84">
        <w:t xml:space="preserve"> provides a list of the RWMGs, their relevant region, and their member LGAs, population and population densities. </w:t>
      </w:r>
    </w:p>
    <w:p w:rsidR="00801138" w:rsidRPr="00D56C84" w:rsidRDefault="00801138" w:rsidP="00026507">
      <w:pPr>
        <w:pStyle w:val="ParaIndent"/>
        <w:jc w:val="both"/>
      </w:pPr>
      <w:r w:rsidRPr="00D56C84">
        <w:t xml:space="preserve">A review of the VRWMGs websites shows the reporting of data to be sporadic. Where data is provided, it is only for material recovered or diverted from landfill and does not indicate the volumes as a proportion of overall generation. </w:t>
      </w:r>
    </w:p>
    <w:p w:rsidR="00C10638" w:rsidRDefault="00801138" w:rsidP="00026507">
      <w:pPr>
        <w:pStyle w:val="ParaIndent"/>
        <w:jc w:val="both"/>
      </w:pPr>
      <w:r w:rsidRPr="00D56C84">
        <w:t xml:space="preserve">The North East Waste Forum and </w:t>
      </w:r>
      <w:proofErr w:type="spellStart"/>
      <w:r w:rsidRPr="00D56C84">
        <w:t>Midwaste</w:t>
      </w:r>
      <w:proofErr w:type="spellEnd"/>
      <w:r w:rsidRPr="00D56C84">
        <w:t xml:space="preserve"> provide the most comprehensive reports, providing data from kerbside recycling collection, and commercial and industrial (C&amp;I) and construction and demolition (C&amp;D) recycling. For most VRWMGs, data is reported for specific programs, including </w:t>
      </w:r>
      <w:proofErr w:type="spellStart"/>
      <w:r w:rsidRPr="00D56C84">
        <w:t>drumMUSTER</w:t>
      </w:r>
      <w:proofErr w:type="spellEnd"/>
      <w:r w:rsidRPr="00D56C84">
        <w:rPr>
          <w:rStyle w:val="FootnoteReference"/>
        </w:rPr>
        <w:footnoteReference w:id="5"/>
      </w:r>
      <w:r w:rsidRPr="00D56C84">
        <w:t>, or material collected through specific events, including hazardous, green waste, metal waste, batteries, and e-waste collections.</w:t>
      </w:r>
    </w:p>
    <w:p w:rsidR="00C10638" w:rsidRDefault="00C10638">
      <w:pPr>
        <w:spacing w:after="0" w:line="240" w:lineRule="auto"/>
        <w:ind w:left="0"/>
      </w:pPr>
      <w:r>
        <w:br w:type="page"/>
      </w:r>
    </w:p>
    <w:p w:rsidR="00801138" w:rsidRPr="00D56C84" w:rsidRDefault="00801138" w:rsidP="00801138">
      <w:pPr>
        <w:pStyle w:val="Caption"/>
      </w:pPr>
      <w:bookmarkStart w:id="49" w:name="_Ref297106026"/>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9</w:t>
      </w:r>
      <w:r w:rsidR="00ED6CA0">
        <w:rPr>
          <w:noProof/>
        </w:rPr>
        <w:fldChar w:fldCharType="end"/>
      </w:r>
      <w:bookmarkEnd w:id="49"/>
      <w:r w:rsidRPr="00D56C84">
        <w:tab/>
      </w:r>
      <w:r w:rsidRPr="00D56C84">
        <w:rPr>
          <w:rFonts w:cs="Arial"/>
        </w:rPr>
        <w:t>Voluntary Regional Waste Management Groups in NSW</w:t>
      </w:r>
    </w:p>
    <w:tbl>
      <w:tblPr>
        <w:tblW w:w="8505" w:type="dxa"/>
        <w:tblInd w:w="1134" w:type="dxa"/>
        <w:tblBorders>
          <w:bottom w:val="single" w:sz="18" w:space="0" w:color="808080"/>
          <w:insideH w:val="single" w:sz="4" w:space="0" w:color="808080"/>
        </w:tblBorders>
        <w:tblLayout w:type="fixed"/>
        <w:tblCellMar>
          <w:left w:w="0" w:type="dxa"/>
          <w:right w:w="57" w:type="dxa"/>
        </w:tblCellMar>
        <w:tblLook w:val="04A0"/>
      </w:tblPr>
      <w:tblGrid>
        <w:gridCol w:w="1701"/>
        <w:gridCol w:w="851"/>
        <w:gridCol w:w="3793"/>
        <w:gridCol w:w="1027"/>
        <w:gridCol w:w="1133"/>
      </w:tblGrid>
      <w:tr w:rsidR="00801138" w:rsidRPr="00D56C84" w:rsidTr="00801138">
        <w:trPr>
          <w:cantSplit/>
          <w:trHeight w:val="454"/>
          <w:tblHeader/>
        </w:trPr>
        <w:tc>
          <w:tcPr>
            <w:tcW w:w="1701" w:type="dxa"/>
            <w:shd w:val="clear" w:color="auto" w:fill="auto"/>
            <w:noWrap/>
            <w:vAlign w:val="center"/>
            <w:hideMark/>
          </w:tcPr>
          <w:p w:rsidR="00801138" w:rsidRPr="00D56C84" w:rsidRDefault="00801138" w:rsidP="00801138">
            <w:pPr>
              <w:pStyle w:val="TableHeading"/>
              <w:rPr>
                <w:lang w:eastAsia="en-AU"/>
              </w:rPr>
            </w:pPr>
            <w:r w:rsidRPr="00D56C84">
              <w:rPr>
                <w:lang w:eastAsia="en-AU"/>
              </w:rPr>
              <w:t>Voluntary Regional Waste Management Group</w:t>
            </w:r>
          </w:p>
        </w:tc>
        <w:tc>
          <w:tcPr>
            <w:tcW w:w="851" w:type="dxa"/>
            <w:shd w:val="clear" w:color="auto" w:fill="auto"/>
            <w:vAlign w:val="center"/>
          </w:tcPr>
          <w:p w:rsidR="00801138" w:rsidRPr="00D56C84" w:rsidRDefault="00801138" w:rsidP="00801138">
            <w:pPr>
              <w:pStyle w:val="TableHeading"/>
              <w:rPr>
                <w:lang w:eastAsia="en-AU"/>
              </w:rPr>
            </w:pPr>
            <w:r w:rsidRPr="00D56C84">
              <w:rPr>
                <w:lang w:eastAsia="en-AU"/>
              </w:rPr>
              <w:t>Region</w:t>
            </w:r>
          </w:p>
        </w:tc>
        <w:tc>
          <w:tcPr>
            <w:tcW w:w="3793" w:type="dxa"/>
            <w:shd w:val="clear" w:color="auto" w:fill="auto"/>
            <w:noWrap/>
            <w:vAlign w:val="center"/>
            <w:hideMark/>
          </w:tcPr>
          <w:p w:rsidR="00801138" w:rsidRPr="00D56C84" w:rsidRDefault="00801138" w:rsidP="00801138">
            <w:pPr>
              <w:pStyle w:val="TableHeading"/>
              <w:rPr>
                <w:lang w:eastAsia="en-AU"/>
              </w:rPr>
            </w:pPr>
            <w:r w:rsidRPr="00D56C84">
              <w:rPr>
                <w:lang w:eastAsia="en-AU"/>
              </w:rPr>
              <w:t>Member LGAs</w:t>
            </w:r>
          </w:p>
        </w:tc>
        <w:tc>
          <w:tcPr>
            <w:tcW w:w="1027" w:type="dxa"/>
            <w:vAlign w:val="center"/>
          </w:tcPr>
          <w:p w:rsidR="00801138" w:rsidRPr="00D56C84" w:rsidRDefault="00801138" w:rsidP="00801138">
            <w:pPr>
              <w:pStyle w:val="TableHeading"/>
              <w:jc w:val="right"/>
              <w:rPr>
                <w:lang w:eastAsia="en-AU"/>
              </w:rPr>
            </w:pPr>
            <w:r w:rsidRPr="00D56C84">
              <w:rPr>
                <w:lang w:eastAsia="en-AU"/>
              </w:rPr>
              <w:t>Population</w:t>
            </w:r>
          </w:p>
        </w:tc>
        <w:tc>
          <w:tcPr>
            <w:tcW w:w="1133" w:type="dxa"/>
            <w:vAlign w:val="center"/>
          </w:tcPr>
          <w:p w:rsidR="00801138" w:rsidRPr="00D56C84" w:rsidRDefault="00801138" w:rsidP="00801138">
            <w:pPr>
              <w:pStyle w:val="TableHeading"/>
              <w:jc w:val="right"/>
              <w:rPr>
                <w:lang w:eastAsia="en-AU"/>
              </w:rPr>
            </w:pPr>
            <w:r w:rsidRPr="00D56C84">
              <w:rPr>
                <w:lang w:eastAsia="en-AU"/>
              </w:rPr>
              <w:t>Population density (/km</w:t>
            </w:r>
            <w:r w:rsidRPr="00D56C84">
              <w:rPr>
                <w:vertAlign w:val="superscript"/>
                <w:lang w:eastAsia="en-AU"/>
              </w:rPr>
              <w:t>2</w:t>
            </w:r>
            <w:r w:rsidRPr="00D56C84">
              <w:rPr>
                <w:lang w:eastAsia="en-AU"/>
              </w:rPr>
              <w:t>)</w:t>
            </w:r>
          </w:p>
        </w:tc>
      </w:tr>
      <w:tr w:rsidR="007157AE" w:rsidRPr="00D56C84" w:rsidTr="007157AE">
        <w:trPr>
          <w:cantSplit/>
          <w:trHeight w:val="454"/>
        </w:trPr>
        <w:tc>
          <w:tcPr>
            <w:tcW w:w="1701" w:type="dxa"/>
            <w:shd w:val="clear" w:color="auto" w:fill="auto"/>
            <w:noWrap/>
            <w:vAlign w:val="center"/>
            <w:hideMark/>
          </w:tcPr>
          <w:p w:rsidR="007157AE" w:rsidRPr="00D56C84" w:rsidRDefault="007157AE" w:rsidP="00801138">
            <w:pPr>
              <w:pStyle w:val="TableText"/>
              <w:rPr>
                <w:lang w:eastAsia="en-AU"/>
              </w:rPr>
            </w:pPr>
            <w:proofErr w:type="spellStart"/>
            <w:r w:rsidRPr="00D56C84">
              <w:rPr>
                <w:lang w:eastAsia="en-AU"/>
              </w:rPr>
              <w:t>Midwaste</w:t>
            </w:r>
            <w:proofErr w:type="spellEnd"/>
          </w:p>
        </w:tc>
        <w:tc>
          <w:tcPr>
            <w:tcW w:w="851" w:type="dxa"/>
            <w:shd w:val="clear" w:color="auto" w:fill="auto"/>
            <w:vAlign w:val="center"/>
          </w:tcPr>
          <w:p w:rsidR="007157AE" w:rsidRPr="00D56C84" w:rsidRDefault="007157AE" w:rsidP="00801138">
            <w:pPr>
              <w:pStyle w:val="TableText"/>
              <w:rPr>
                <w:lang w:eastAsia="en-AU"/>
              </w:rPr>
            </w:pPr>
            <w:r w:rsidRPr="00D56C84">
              <w:rPr>
                <w:lang w:eastAsia="en-AU"/>
              </w:rPr>
              <w:t>Mid North Coast</w:t>
            </w:r>
          </w:p>
        </w:tc>
        <w:tc>
          <w:tcPr>
            <w:tcW w:w="3793" w:type="dxa"/>
            <w:shd w:val="clear" w:color="auto" w:fill="auto"/>
            <w:noWrap/>
            <w:vAlign w:val="center"/>
            <w:hideMark/>
          </w:tcPr>
          <w:p w:rsidR="007157AE" w:rsidRPr="00D56C84" w:rsidRDefault="007157AE" w:rsidP="00801138">
            <w:pPr>
              <w:pStyle w:val="TableText"/>
              <w:rPr>
                <w:lang w:eastAsia="en-AU"/>
              </w:rPr>
            </w:pPr>
            <w:r w:rsidRPr="00D56C84">
              <w:rPr>
                <w:lang w:eastAsia="en-AU"/>
              </w:rPr>
              <w:t>Bellingen (A), Coffs Harbour (C), Gloucester (A), Great Lakes (A), Greater Taree (C), Kempsey (A), Nambucca (A), Port Macquarie-Hastings (A)</w:t>
            </w:r>
          </w:p>
        </w:tc>
        <w:tc>
          <w:tcPr>
            <w:tcW w:w="1027" w:type="dxa"/>
            <w:vAlign w:val="center"/>
          </w:tcPr>
          <w:p w:rsidR="007157AE" w:rsidRPr="00D56C84" w:rsidRDefault="007157AE" w:rsidP="00801138">
            <w:pPr>
              <w:ind w:left="142"/>
              <w:jc w:val="right"/>
              <w:rPr>
                <w:sz w:val="18"/>
                <w:lang w:eastAsia="en-AU"/>
              </w:rPr>
            </w:pPr>
            <w:r w:rsidRPr="00D56C84">
              <w:rPr>
                <w:sz w:val="18"/>
                <w:lang w:eastAsia="en-AU"/>
              </w:rPr>
              <w:t>297,751</w:t>
            </w:r>
          </w:p>
        </w:tc>
        <w:tc>
          <w:tcPr>
            <w:tcW w:w="1133" w:type="dxa"/>
            <w:vAlign w:val="center"/>
          </w:tcPr>
          <w:p w:rsidR="007157AE" w:rsidRPr="007157AE" w:rsidRDefault="007157AE" w:rsidP="007157AE">
            <w:pPr>
              <w:ind w:left="142"/>
              <w:jc w:val="right"/>
              <w:rPr>
                <w:sz w:val="18"/>
                <w:lang w:eastAsia="en-AU"/>
              </w:rPr>
            </w:pPr>
            <w:r w:rsidRPr="007157AE">
              <w:rPr>
                <w:sz w:val="18"/>
                <w:lang w:eastAsia="en-AU"/>
              </w:rPr>
              <w:t>1.2</w:t>
            </w:r>
          </w:p>
        </w:tc>
      </w:tr>
      <w:tr w:rsidR="007157AE" w:rsidRPr="00D56C84" w:rsidTr="007157AE">
        <w:trPr>
          <w:cantSplit/>
          <w:trHeight w:val="454"/>
        </w:trPr>
        <w:tc>
          <w:tcPr>
            <w:tcW w:w="1701" w:type="dxa"/>
            <w:shd w:val="clear" w:color="auto" w:fill="auto"/>
            <w:noWrap/>
            <w:vAlign w:val="center"/>
            <w:hideMark/>
          </w:tcPr>
          <w:p w:rsidR="007157AE" w:rsidRPr="00D56C84" w:rsidRDefault="007157AE" w:rsidP="00801138">
            <w:pPr>
              <w:pStyle w:val="TableText"/>
              <w:rPr>
                <w:lang w:eastAsia="en-AU"/>
              </w:rPr>
            </w:pPr>
            <w:proofErr w:type="spellStart"/>
            <w:r w:rsidRPr="00D56C84">
              <w:rPr>
                <w:lang w:eastAsia="en-AU"/>
              </w:rPr>
              <w:t>NetWaste</w:t>
            </w:r>
            <w:proofErr w:type="spellEnd"/>
          </w:p>
        </w:tc>
        <w:tc>
          <w:tcPr>
            <w:tcW w:w="851" w:type="dxa"/>
            <w:shd w:val="clear" w:color="auto" w:fill="auto"/>
            <w:vAlign w:val="center"/>
          </w:tcPr>
          <w:p w:rsidR="007157AE" w:rsidRPr="00D56C84" w:rsidRDefault="007157AE" w:rsidP="00801138">
            <w:pPr>
              <w:pStyle w:val="TableText"/>
              <w:rPr>
                <w:lang w:eastAsia="en-AU"/>
              </w:rPr>
            </w:pPr>
            <w:r w:rsidRPr="00D56C84">
              <w:rPr>
                <w:lang w:eastAsia="en-AU"/>
              </w:rPr>
              <w:t xml:space="preserve">Central &amp; West </w:t>
            </w:r>
          </w:p>
        </w:tc>
        <w:tc>
          <w:tcPr>
            <w:tcW w:w="3793" w:type="dxa"/>
            <w:shd w:val="clear" w:color="auto" w:fill="auto"/>
            <w:noWrap/>
            <w:vAlign w:val="center"/>
            <w:hideMark/>
          </w:tcPr>
          <w:p w:rsidR="007157AE" w:rsidRPr="00D56C84" w:rsidRDefault="007157AE" w:rsidP="00801138">
            <w:pPr>
              <w:pStyle w:val="TableText"/>
              <w:rPr>
                <w:lang w:eastAsia="en-AU"/>
              </w:rPr>
            </w:pPr>
            <w:r w:rsidRPr="00D56C84">
              <w:rPr>
                <w:lang w:eastAsia="en-AU"/>
              </w:rPr>
              <w:t xml:space="preserve">Bland (A), Blayney (A), Bogan (A), Bourke (A), Brewarrina (A), Broken Hill (C), </w:t>
            </w:r>
            <w:proofErr w:type="spellStart"/>
            <w:r w:rsidRPr="00D56C84">
              <w:rPr>
                <w:lang w:eastAsia="en-AU"/>
              </w:rPr>
              <w:t>Cabonne</w:t>
            </w:r>
            <w:proofErr w:type="spellEnd"/>
            <w:r w:rsidRPr="00D56C84">
              <w:rPr>
                <w:lang w:eastAsia="en-AU"/>
              </w:rPr>
              <w:t xml:space="preserve"> (A), Central Darling (A), Mid-Western Regional (A), Oberon (A), Warrumbungle Shire (A), Wellington (A)</w:t>
            </w:r>
          </w:p>
        </w:tc>
        <w:tc>
          <w:tcPr>
            <w:tcW w:w="1027" w:type="dxa"/>
            <w:vAlign w:val="center"/>
          </w:tcPr>
          <w:p w:rsidR="007157AE" w:rsidRPr="00D56C84" w:rsidRDefault="007157AE" w:rsidP="00801138">
            <w:pPr>
              <w:ind w:left="142"/>
              <w:jc w:val="right"/>
              <w:rPr>
                <w:sz w:val="18"/>
                <w:lang w:eastAsia="en-AU"/>
              </w:rPr>
            </w:pPr>
            <w:r w:rsidRPr="00D56C84">
              <w:rPr>
                <w:sz w:val="18"/>
                <w:lang w:eastAsia="en-AU"/>
              </w:rPr>
              <w:t>104,091</w:t>
            </w:r>
          </w:p>
        </w:tc>
        <w:tc>
          <w:tcPr>
            <w:tcW w:w="1133" w:type="dxa"/>
            <w:vAlign w:val="center"/>
          </w:tcPr>
          <w:p w:rsidR="007157AE" w:rsidRPr="007157AE" w:rsidRDefault="007157AE" w:rsidP="007157AE">
            <w:pPr>
              <w:ind w:left="142"/>
              <w:jc w:val="right"/>
              <w:rPr>
                <w:sz w:val="18"/>
                <w:lang w:eastAsia="en-AU"/>
              </w:rPr>
            </w:pPr>
            <w:r w:rsidRPr="007157AE">
              <w:rPr>
                <w:sz w:val="18"/>
                <w:lang w:eastAsia="en-AU"/>
              </w:rPr>
              <w:t>0.3</w:t>
            </w:r>
          </w:p>
        </w:tc>
      </w:tr>
      <w:tr w:rsidR="007157AE" w:rsidRPr="00D56C84" w:rsidTr="007157AE">
        <w:trPr>
          <w:cantSplit/>
          <w:trHeight w:val="454"/>
        </w:trPr>
        <w:tc>
          <w:tcPr>
            <w:tcW w:w="1701" w:type="dxa"/>
            <w:shd w:val="clear" w:color="auto" w:fill="auto"/>
            <w:noWrap/>
            <w:vAlign w:val="center"/>
            <w:hideMark/>
          </w:tcPr>
          <w:p w:rsidR="007157AE" w:rsidRPr="00D56C84" w:rsidRDefault="007157AE" w:rsidP="00801138">
            <w:pPr>
              <w:pStyle w:val="TableText"/>
              <w:rPr>
                <w:lang w:eastAsia="en-AU"/>
              </w:rPr>
            </w:pPr>
            <w:r w:rsidRPr="00D56C84">
              <w:rPr>
                <w:lang w:eastAsia="en-AU"/>
              </w:rPr>
              <w:t>North East Waste Forum</w:t>
            </w:r>
          </w:p>
        </w:tc>
        <w:tc>
          <w:tcPr>
            <w:tcW w:w="851" w:type="dxa"/>
            <w:shd w:val="clear" w:color="auto" w:fill="auto"/>
            <w:vAlign w:val="center"/>
          </w:tcPr>
          <w:p w:rsidR="007157AE" w:rsidRPr="00D56C84" w:rsidRDefault="007157AE" w:rsidP="00801138">
            <w:pPr>
              <w:pStyle w:val="TableText"/>
              <w:rPr>
                <w:lang w:eastAsia="en-AU"/>
              </w:rPr>
            </w:pPr>
            <w:r w:rsidRPr="00D56C84">
              <w:rPr>
                <w:lang w:eastAsia="en-AU"/>
              </w:rPr>
              <w:t xml:space="preserve">North Coast </w:t>
            </w:r>
          </w:p>
        </w:tc>
        <w:tc>
          <w:tcPr>
            <w:tcW w:w="3793" w:type="dxa"/>
            <w:tcBorders>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Ballina (A), Byron (A), Clarence Valley (A), Kyogle (A), Lismore (C), Richmond Valley (A), Tweed (A)</w:t>
            </w:r>
          </w:p>
        </w:tc>
        <w:tc>
          <w:tcPr>
            <w:tcW w:w="1027" w:type="dxa"/>
            <w:vAlign w:val="center"/>
          </w:tcPr>
          <w:p w:rsidR="007157AE" w:rsidRPr="00D56C84" w:rsidRDefault="007157AE" w:rsidP="00801138">
            <w:pPr>
              <w:ind w:left="142"/>
              <w:jc w:val="right"/>
              <w:rPr>
                <w:sz w:val="18"/>
                <w:lang w:eastAsia="en-AU"/>
              </w:rPr>
            </w:pPr>
            <w:r w:rsidRPr="00D56C84">
              <w:rPr>
                <w:sz w:val="18"/>
                <w:lang w:eastAsia="en-AU"/>
              </w:rPr>
              <w:t>294,008</w:t>
            </w:r>
          </w:p>
        </w:tc>
        <w:tc>
          <w:tcPr>
            <w:tcW w:w="1133" w:type="dxa"/>
            <w:vAlign w:val="center"/>
          </w:tcPr>
          <w:p w:rsidR="007157AE" w:rsidRPr="007157AE" w:rsidRDefault="007157AE" w:rsidP="007157AE">
            <w:pPr>
              <w:ind w:left="142"/>
              <w:jc w:val="right"/>
              <w:rPr>
                <w:sz w:val="18"/>
                <w:lang w:eastAsia="en-AU"/>
              </w:rPr>
            </w:pPr>
            <w:r w:rsidRPr="007157AE">
              <w:rPr>
                <w:sz w:val="18"/>
                <w:lang w:eastAsia="en-AU"/>
              </w:rPr>
              <w:t>1.3</w:t>
            </w:r>
          </w:p>
        </w:tc>
      </w:tr>
      <w:tr w:rsidR="007157AE" w:rsidRPr="00D56C84" w:rsidTr="007157AE">
        <w:trPr>
          <w:cantSplit/>
          <w:trHeight w:val="454"/>
        </w:trPr>
        <w:tc>
          <w:tcPr>
            <w:tcW w:w="1701" w:type="dxa"/>
            <w:tcBorders>
              <w:top w:val="single" w:sz="4" w:space="0" w:color="808080"/>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Northern Inland Regional Waste</w:t>
            </w:r>
          </w:p>
        </w:tc>
        <w:tc>
          <w:tcPr>
            <w:tcW w:w="851" w:type="dxa"/>
            <w:tcBorders>
              <w:top w:val="single" w:sz="4" w:space="0" w:color="808080"/>
              <w:bottom w:val="single" w:sz="4" w:space="0" w:color="808080"/>
            </w:tcBorders>
            <w:shd w:val="clear" w:color="auto" w:fill="auto"/>
            <w:vAlign w:val="center"/>
          </w:tcPr>
          <w:p w:rsidR="007157AE" w:rsidRPr="00D56C84" w:rsidRDefault="007157AE" w:rsidP="00801138">
            <w:pPr>
              <w:pStyle w:val="TableText"/>
              <w:rPr>
                <w:lang w:eastAsia="en-AU"/>
              </w:rPr>
            </w:pPr>
            <w:r w:rsidRPr="00D56C84">
              <w:rPr>
                <w:lang w:eastAsia="en-AU"/>
              </w:rPr>
              <w:t xml:space="preserve">New England/ North West </w:t>
            </w:r>
          </w:p>
        </w:tc>
        <w:tc>
          <w:tcPr>
            <w:tcW w:w="3793" w:type="dxa"/>
            <w:tcBorders>
              <w:top w:val="single" w:sz="4" w:space="0" w:color="808080"/>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Armidale Dumaresq (A), Glen Innes Severn (A), Gunnedah (A), Guyra (A), Gwydir (A), Inverell (A), Liverpool Plains (A), Moree Plains (A), Narrabri (A), Tenterfield (A), Uralla (A), Walcha (A)</w:t>
            </w:r>
          </w:p>
        </w:tc>
        <w:tc>
          <w:tcPr>
            <w:tcW w:w="1027" w:type="dxa"/>
            <w:vAlign w:val="center"/>
          </w:tcPr>
          <w:p w:rsidR="007157AE" w:rsidRPr="00D56C84" w:rsidRDefault="007157AE" w:rsidP="00801138">
            <w:pPr>
              <w:ind w:left="142"/>
              <w:jc w:val="right"/>
              <w:rPr>
                <w:sz w:val="18"/>
                <w:lang w:eastAsia="en-AU"/>
              </w:rPr>
            </w:pPr>
            <w:r w:rsidRPr="00D56C84">
              <w:rPr>
                <w:sz w:val="18"/>
                <w:lang w:eastAsia="en-AU"/>
              </w:rPr>
              <w:t>126,307</w:t>
            </w:r>
          </w:p>
        </w:tc>
        <w:tc>
          <w:tcPr>
            <w:tcW w:w="1133" w:type="dxa"/>
            <w:vAlign w:val="center"/>
          </w:tcPr>
          <w:p w:rsidR="007157AE" w:rsidRPr="007157AE" w:rsidRDefault="007157AE" w:rsidP="007157AE">
            <w:pPr>
              <w:ind w:left="142"/>
              <w:jc w:val="right"/>
              <w:rPr>
                <w:sz w:val="18"/>
                <w:lang w:eastAsia="en-AU"/>
              </w:rPr>
            </w:pPr>
            <w:r w:rsidRPr="007157AE">
              <w:rPr>
                <w:sz w:val="18"/>
                <w:lang w:eastAsia="en-AU"/>
              </w:rPr>
              <w:t>0.3</w:t>
            </w:r>
          </w:p>
        </w:tc>
      </w:tr>
      <w:tr w:rsidR="007157AE" w:rsidRPr="00D56C84" w:rsidTr="007157AE">
        <w:trPr>
          <w:cantSplit/>
          <w:trHeight w:val="454"/>
        </w:trPr>
        <w:tc>
          <w:tcPr>
            <w:tcW w:w="1701" w:type="dxa"/>
            <w:tcBorders>
              <w:top w:val="single" w:sz="4" w:space="0" w:color="808080"/>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Riverina and Murray Regional Organisation of Councils</w:t>
            </w:r>
          </w:p>
        </w:tc>
        <w:tc>
          <w:tcPr>
            <w:tcW w:w="851" w:type="dxa"/>
            <w:tcBorders>
              <w:top w:val="single" w:sz="4" w:space="0" w:color="808080"/>
              <w:bottom w:val="single" w:sz="4" w:space="0" w:color="808080"/>
            </w:tcBorders>
            <w:shd w:val="clear" w:color="auto" w:fill="auto"/>
            <w:vAlign w:val="center"/>
          </w:tcPr>
          <w:p w:rsidR="007157AE" w:rsidRPr="00D56C84" w:rsidRDefault="007157AE" w:rsidP="00801138">
            <w:pPr>
              <w:pStyle w:val="TableText"/>
              <w:rPr>
                <w:lang w:eastAsia="en-AU"/>
              </w:rPr>
            </w:pPr>
            <w:r w:rsidRPr="00D56C84">
              <w:rPr>
                <w:lang w:eastAsia="en-AU"/>
              </w:rPr>
              <w:t xml:space="preserve">Murray and </w:t>
            </w:r>
            <w:proofErr w:type="spellStart"/>
            <w:r w:rsidRPr="00D56C84">
              <w:rPr>
                <w:lang w:eastAsia="en-AU"/>
              </w:rPr>
              <w:t>Murrum-bidgee</w:t>
            </w:r>
            <w:proofErr w:type="spellEnd"/>
          </w:p>
        </w:tc>
        <w:tc>
          <w:tcPr>
            <w:tcW w:w="3793" w:type="dxa"/>
            <w:tcBorders>
              <w:top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Albury (C), Balranald (A), Berrigan (A), Carrathool (A), Conargo (A), Deniliquin (A), Griffith (C), Hay (A), Jerilderie (A), Leeton (A), Murray (A), Murrumbidgee (A), Narrandera (A), Urana (A), Wakool (A), Wentworth (A)</w:t>
            </w:r>
          </w:p>
        </w:tc>
        <w:tc>
          <w:tcPr>
            <w:tcW w:w="1027" w:type="dxa"/>
            <w:vAlign w:val="center"/>
          </w:tcPr>
          <w:p w:rsidR="007157AE" w:rsidRPr="00D56C84" w:rsidRDefault="007157AE" w:rsidP="00801138">
            <w:pPr>
              <w:ind w:left="142"/>
              <w:jc w:val="right"/>
              <w:rPr>
                <w:sz w:val="18"/>
                <w:lang w:eastAsia="en-AU"/>
              </w:rPr>
            </w:pPr>
            <w:r w:rsidRPr="00D56C84">
              <w:rPr>
                <w:sz w:val="18"/>
                <w:lang w:eastAsia="en-AU"/>
              </w:rPr>
              <w:t>145,481</w:t>
            </w:r>
          </w:p>
        </w:tc>
        <w:tc>
          <w:tcPr>
            <w:tcW w:w="1133" w:type="dxa"/>
            <w:vAlign w:val="center"/>
          </w:tcPr>
          <w:p w:rsidR="007157AE" w:rsidRPr="007157AE" w:rsidRDefault="007157AE" w:rsidP="007157AE">
            <w:pPr>
              <w:ind w:left="142"/>
              <w:jc w:val="right"/>
              <w:rPr>
                <w:sz w:val="18"/>
                <w:lang w:eastAsia="en-AU"/>
              </w:rPr>
            </w:pPr>
            <w:r w:rsidRPr="007157AE">
              <w:rPr>
                <w:sz w:val="18"/>
                <w:lang w:eastAsia="en-AU"/>
              </w:rPr>
              <w:t>0.3</w:t>
            </w:r>
          </w:p>
        </w:tc>
      </w:tr>
      <w:tr w:rsidR="007157AE" w:rsidRPr="00D56C84" w:rsidTr="007157AE">
        <w:trPr>
          <w:cantSplit/>
          <w:trHeight w:val="454"/>
        </w:trPr>
        <w:tc>
          <w:tcPr>
            <w:tcW w:w="1701" w:type="dxa"/>
            <w:tcBorders>
              <w:top w:val="single" w:sz="4" w:space="0" w:color="808080"/>
              <w:bottom w:val="single" w:sz="4" w:space="0" w:color="7F7F7F" w:themeColor="text1" w:themeTint="80"/>
            </w:tcBorders>
            <w:shd w:val="clear" w:color="auto" w:fill="auto"/>
            <w:noWrap/>
            <w:vAlign w:val="center"/>
            <w:hideMark/>
          </w:tcPr>
          <w:p w:rsidR="007157AE" w:rsidRPr="00D56C84" w:rsidRDefault="007157AE" w:rsidP="00801138">
            <w:pPr>
              <w:pStyle w:val="TableText"/>
              <w:rPr>
                <w:lang w:eastAsia="en-AU"/>
              </w:rPr>
            </w:pPr>
            <w:r w:rsidRPr="00D56C84">
              <w:rPr>
                <w:lang w:eastAsia="en-AU"/>
              </w:rPr>
              <w:t>Riverina Eastern Regional Organisation of Councils</w:t>
            </w:r>
          </w:p>
        </w:tc>
        <w:tc>
          <w:tcPr>
            <w:tcW w:w="851" w:type="dxa"/>
            <w:tcBorders>
              <w:top w:val="single" w:sz="4" w:space="0" w:color="808080"/>
              <w:bottom w:val="single" w:sz="4" w:space="0" w:color="7F7F7F" w:themeColor="text1" w:themeTint="80"/>
            </w:tcBorders>
            <w:shd w:val="clear" w:color="auto" w:fill="auto"/>
            <w:vAlign w:val="center"/>
          </w:tcPr>
          <w:p w:rsidR="007157AE" w:rsidRPr="00D56C84" w:rsidRDefault="007157AE" w:rsidP="00801138">
            <w:pPr>
              <w:pStyle w:val="TableText"/>
              <w:rPr>
                <w:lang w:eastAsia="en-AU"/>
              </w:rPr>
            </w:pPr>
            <w:r w:rsidRPr="00D56C84">
              <w:rPr>
                <w:lang w:eastAsia="en-AU"/>
              </w:rPr>
              <w:t xml:space="preserve">Riverina East </w:t>
            </w:r>
          </w:p>
        </w:tc>
        <w:tc>
          <w:tcPr>
            <w:tcW w:w="3793" w:type="dxa"/>
            <w:tcBorders>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Coolamon (A), Cootamundra (A), Gundagai (A), Junee (A), Lockhart (A), Temora (A), Tumbarumba (A), Wagga Wagga (C)</w:t>
            </w:r>
          </w:p>
        </w:tc>
        <w:tc>
          <w:tcPr>
            <w:tcW w:w="1027" w:type="dxa"/>
            <w:tcBorders>
              <w:bottom w:val="single" w:sz="4" w:space="0" w:color="808080"/>
            </w:tcBorders>
            <w:vAlign w:val="center"/>
          </w:tcPr>
          <w:p w:rsidR="007157AE" w:rsidRPr="00D56C84" w:rsidRDefault="007157AE" w:rsidP="00801138">
            <w:pPr>
              <w:ind w:left="142"/>
              <w:jc w:val="right"/>
              <w:rPr>
                <w:sz w:val="18"/>
                <w:lang w:eastAsia="en-AU"/>
              </w:rPr>
            </w:pPr>
            <w:r w:rsidRPr="00D56C84">
              <w:rPr>
                <w:sz w:val="18"/>
                <w:lang w:eastAsia="en-AU"/>
              </w:rPr>
              <w:t>98,171</w:t>
            </w:r>
          </w:p>
        </w:tc>
        <w:tc>
          <w:tcPr>
            <w:tcW w:w="1133" w:type="dxa"/>
            <w:tcBorders>
              <w:bottom w:val="single" w:sz="4" w:space="0" w:color="808080"/>
            </w:tcBorders>
            <w:vAlign w:val="center"/>
          </w:tcPr>
          <w:p w:rsidR="007157AE" w:rsidRPr="007157AE" w:rsidRDefault="007157AE" w:rsidP="007157AE">
            <w:pPr>
              <w:ind w:left="142"/>
              <w:jc w:val="right"/>
              <w:rPr>
                <w:sz w:val="18"/>
                <w:lang w:eastAsia="en-AU"/>
              </w:rPr>
            </w:pPr>
            <w:r w:rsidRPr="007157AE">
              <w:rPr>
                <w:sz w:val="18"/>
                <w:lang w:eastAsia="en-AU"/>
              </w:rPr>
              <w:t>0.4</w:t>
            </w:r>
          </w:p>
        </w:tc>
      </w:tr>
      <w:tr w:rsidR="007157AE" w:rsidRPr="00D56C84" w:rsidTr="007157AE">
        <w:trPr>
          <w:cantSplit/>
          <w:trHeight w:val="454"/>
        </w:trPr>
        <w:tc>
          <w:tcPr>
            <w:tcW w:w="1701" w:type="dxa"/>
            <w:tcBorders>
              <w:top w:val="single" w:sz="4" w:space="0" w:color="7F7F7F" w:themeColor="text1" w:themeTint="80"/>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South East Resource Recovery Regional Organisation of Councils</w:t>
            </w:r>
          </w:p>
        </w:tc>
        <w:tc>
          <w:tcPr>
            <w:tcW w:w="851" w:type="dxa"/>
            <w:tcBorders>
              <w:top w:val="single" w:sz="4" w:space="0" w:color="7F7F7F" w:themeColor="text1" w:themeTint="80"/>
              <w:bottom w:val="single" w:sz="4" w:space="0" w:color="808080"/>
            </w:tcBorders>
            <w:shd w:val="clear" w:color="auto" w:fill="auto"/>
            <w:vAlign w:val="center"/>
          </w:tcPr>
          <w:p w:rsidR="007157AE" w:rsidRPr="00D56C84" w:rsidRDefault="007157AE" w:rsidP="00801138">
            <w:pPr>
              <w:pStyle w:val="TableText"/>
              <w:rPr>
                <w:lang w:eastAsia="en-AU"/>
              </w:rPr>
            </w:pPr>
            <w:r w:rsidRPr="00D56C84">
              <w:rPr>
                <w:lang w:eastAsia="en-AU"/>
              </w:rPr>
              <w:t xml:space="preserve">South East </w:t>
            </w:r>
          </w:p>
        </w:tc>
        <w:tc>
          <w:tcPr>
            <w:tcW w:w="3793" w:type="dxa"/>
            <w:tcBorders>
              <w:top w:val="single" w:sz="4" w:space="0" w:color="808080"/>
              <w:bottom w:val="single" w:sz="4" w:space="0" w:color="808080"/>
            </w:tcBorders>
            <w:shd w:val="clear" w:color="auto" w:fill="auto"/>
            <w:noWrap/>
            <w:vAlign w:val="center"/>
            <w:hideMark/>
          </w:tcPr>
          <w:p w:rsidR="007157AE" w:rsidRPr="00D56C84" w:rsidRDefault="007157AE" w:rsidP="00801138">
            <w:pPr>
              <w:pStyle w:val="TableText"/>
              <w:rPr>
                <w:lang w:eastAsia="en-AU"/>
              </w:rPr>
            </w:pPr>
            <w:r w:rsidRPr="00D56C84">
              <w:rPr>
                <w:lang w:eastAsia="en-AU"/>
              </w:rPr>
              <w:t xml:space="preserve">Bega Valley (A), Bombala (A), Boorowa (A), Cooma-Monaro (A), Eurobodalla (A), Harden (A), </w:t>
            </w:r>
            <w:proofErr w:type="spellStart"/>
            <w:r w:rsidRPr="00D56C84">
              <w:rPr>
                <w:lang w:eastAsia="en-AU"/>
              </w:rPr>
              <w:t>Palerang</w:t>
            </w:r>
            <w:proofErr w:type="spellEnd"/>
            <w:r w:rsidRPr="00D56C84">
              <w:rPr>
                <w:lang w:eastAsia="en-AU"/>
              </w:rPr>
              <w:t xml:space="preserve"> (A), Queanbeyan (C), Snowy River (A), Yass Valley (A)</w:t>
            </w:r>
          </w:p>
        </w:tc>
        <w:tc>
          <w:tcPr>
            <w:tcW w:w="1027" w:type="dxa"/>
            <w:tcBorders>
              <w:top w:val="single" w:sz="4" w:space="0" w:color="808080"/>
              <w:bottom w:val="single" w:sz="4" w:space="0" w:color="808080"/>
            </w:tcBorders>
            <w:vAlign w:val="center"/>
          </w:tcPr>
          <w:p w:rsidR="007157AE" w:rsidRPr="00D56C84" w:rsidRDefault="007157AE" w:rsidP="00801138">
            <w:pPr>
              <w:ind w:left="142"/>
              <w:jc w:val="right"/>
              <w:rPr>
                <w:sz w:val="18"/>
                <w:lang w:eastAsia="en-AU"/>
              </w:rPr>
            </w:pPr>
            <w:r w:rsidRPr="00D56C84">
              <w:rPr>
                <w:sz w:val="18"/>
                <w:lang w:eastAsia="en-AU"/>
              </w:rPr>
              <w:t>167,871</w:t>
            </w:r>
          </w:p>
        </w:tc>
        <w:tc>
          <w:tcPr>
            <w:tcW w:w="1133" w:type="dxa"/>
            <w:tcBorders>
              <w:top w:val="single" w:sz="4" w:space="0" w:color="808080"/>
              <w:bottom w:val="single" w:sz="4" w:space="0" w:color="808080"/>
            </w:tcBorders>
            <w:vAlign w:val="center"/>
          </w:tcPr>
          <w:p w:rsidR="007157AE" w:rsidRPr="007157AE" w:rsidRDefault="007157AE" w:rsidP="007157AE">
            <w:pPr>
              <w:ind w:left="142"/>
              <w:jc w:val="right"/>
              <w:rPr>
                <w:sz w:val="18"/>
                <w:lang w:eastAsia="en-AU"/>
              </w:rPr>
            </w:pPr>
            <w:r w:rsidRPr="007157AE">
              <w:rPr>
                <w:sz w:val="18"/>
                <w:lang w:eastAsia="en-AU"/>
              </w:rPr>
              <w:t>0.4</w:t>
            </w:r>
          </w:p>
        </w:tc>
      </w:tr>
    </w:tbl>
    <w:p w:rsidR="00801138" w:rsidRPr="00D56C84" w:rsidRDefault="00801138" w:rsidP="00801138">
      <w:pPr>
        <w:spacing w:after="0" w:line="240" w:lineRule="auto"/>
        <w:ind w:left="0"/>
      </w:pPr>
    </w:p>
    <w:p w:rsidR="00464371" w:rsidRPr="00D56C84" w:rsidRDefault="00801138" w:rsidP="00026507">
      <w:pPr>
        <w:pStyle w:val="Heading2"/>
        <w:jc w:val="both"/>
        <w:rPr>
          <w:lang w:eastAsia="en-AU"/>
        </w:rPr>
      </w:pPr>
      <w:bookmarkStart w:id="50" w:name="_Toc307470429"/>
      <w:r w:rsidRPr="00D56C84">
        <w:rPr>
          <w:lang w:eastAsia="en-AU"/>
        </w:rPr>
        <w:lastRenderedPageBreak/>
        <w:t>Information pathways</w:t>
      </w:r>
      <w:r w:rsidR="00085D2C">
        <w:rPr>
          <w:lang w:eastAsia="en-AU"/>
        </w:rPr>
        <w:t xml:space="preserve"> in NSW</w:t>
      </w:r>
      <w:bookmarkEnd w:id="50"/>
    </w:p>
    <w:p w:rsidR="00086803" w:rsidRPr="00D56C84" w:rsidRDefault="00086803" w:rsidP="00026507">
      <w:pPr>
        <w:pStyle w:val="Heading3"/>
        <w:jc w:val="both"/>
        <w:rPr>
          <w:lang w:eastAsia="en-AU"/>
        </w:rPr>
      </w:pPr>
      <w:r w:rsidRPr="00D56C84">
        <w:rPr>
          <w:lang w:eastAsia="en-AU"/>
        </w:rPr>
        <w:t>Local Government Waste and Resource Recovery Data Report</w:t>
      </w:r>
    </w:p>
    <w:p w:rsidR="00112468" w:rsidRPr="00D56C84" w:rsidRDefault="00112468" w:rsidP="00026507">
      <w:pPr>
        <w:pStyle w:val="ParaIndent"/>
        <w:keepNext/>
        <w:spacing w:after="60"/>
        <w:jc w:val="both"/>
      </w:pPr>
      <w:r w:rsidRPr="00D56C84">
        <w:t>In August of each year, commencing in 2006, the Office of Environment and Heritage (OEH</w:t>
      </w:r>
      <w:r w:rsidR="00690B3D" w:rsidRPr="00D56C84">
        <w:t>, formerly the Department of Environment, Climate Change and Water</w:t>
      </w:r>
      <w:r w:rsidRPr="00D56C84">
        <w:t>) surveys local councils to determine the characteristics and relative performance of domestic resource recovery and waste management services available to residents in NSW.</w:t>
      </w:r>
    </w:p>
    <w:p w:rsidR="00112468" w:rsidRPr="00D56C84" w:rsidRDefault="00112468" w:rsidP="00026507">
      <w:pPr>
        <w:pStyle w:val="ParaIndent"/>
        <w:keepNext/>
        <w:spacing w:after="60"/>
        <w:jc w:val="both"/>
      </w:pPr>
      <w:r w:rsidRPr="00D56C84">
        <w:t xml:space="preserve">This annual survey also incorporates the information required under the National Environment Protection Measure (NEPM) for Used Packaging Materials. </w:t>
      </w:r>
    </w:p>
    <w:p w:rsidR="007C0C37" w:rsidRPr="00424D3A" w:rsidRDefault="00E15394" w:rsidP="00026507">
      <w:pPr>
        <w:pStyle w:val="ParaIndent"/>
        <w:keepNext/>
        <w:spacing w:after="60"/>
        <w:jc w:val="both"/>
      </w:pPr>
      <w:r w:rsidRPr="00D56C84">
        <w:t xml:space="preserve">The </w:t>
      </w:r>
      <w:r w:rsidR="00B720EB" w:rsidRPr="00D56C84">
        <w:t xml:space="preserve">NSW </w:t>
      </w:r>
      <w:r w:rsidRPr="00D56C84">
        <w:t xml:space="preserve">OEH </w:t>
      </w:r>
      <w:r w:rsidR="00B720EB" w:rsidRPr="00D56C84">
        <w:t xml:space="preserve">publishes </w:t>
      </w:r>
      <w:r w:rsidR="00086803" w:rsidRPr="00D56C84">
        <w:t xml:space="preserve">annually a </w:t>
      </w:r>
      <w:r w:rsidR="00086803" w:rsidRPr="00C10638">
        <w:rPr>
          <w:i/>
        </w:rPr>
        <w:t>Local Government Waste and Resource Recovery Data Report</w:t>
      </w:r>
      <w:r w:rsidR="00112468" w:rsidRPr="00D56C84">
        <w:t>, although it takes up to 12 months to prepare the survey information for publishing</w:t>
      </w:r>
      <w:r w:rsidR="00086803" w:rsidRPr="00D56C84">
        <w:t>.</w:t>
      </w:r>
      <w:r w:rsidR="00112468" w:rsidRPr="00D56C84">
        <w:t xml:space="preserve"> Anomalies in the data are identified, but the quality of the data is not validated. </w:t>
      </w:r>
      <w:r w:rsidR="00D90E7A" w:rsidRPr="00D90E7A">
        <w:t>The 2009</w:t>
      </w:r>
      <w:r w:rsidR="00F62472">
        <w:t>–</w:t>
      </w:r>
      <w:r w:rsidR="00D90E7A" w:rsidRPr="00D90E7A">
        <w:t>10 report stated:</w:t>
      </w:r>
    </w:p>
    <w:p w:rsidR="007C0C37" w:rsidRPr="00424D3A" w:rsidRDefault="00D90E7A" w:rsidP="00026507">
      <w:pPr>
        <w:pStyle w:val="ParaIndent"/>
        <w:ind w:left="1701"/>
        <w:jc w:val="both"/>
        <w:rPr>
          <w:i/>
          <w:sz w:val="18"/>
        </w:rPr>
      </w:pPr>
      <w:r w:rsidRPr="00D90E7A">
        <w:rPr>
          <w:i/>
          <w:sz w:val="18"/>
        </w:rPr>
        <w:t>OEH acknowledges the cooperation and contribution of all NSW councils in providing the data presented within this report. Please note that the information within this report is entirely dependent on the accuracy of data supplied by councils in the 2009</w:t>
      </w:r>
      <w:r w:rsidR="00F62472">
        <w:rPr>
          <w:rFonts w:cs="Arial"/>
          <w:i/>
          <w:sz w:val="18"/>
        </w:rPr>
        <w:t>–</w:t>
      </w:r>
      <w:r w:rsidRPr="00D90E7A">
        <w:rPr>
          <w:i/>
          <w:sz w:val="18"/>
        </w:rPr>
        <w:t>10 survey. While OEH has made an effort to verify the information supplied by councils wherever possible, OEH is not able to validate the raw data that forms the basis of this report.</w:t>
      </w:r>
    </w:p>
    <w:p w:rsidR="00112468" w:rsidRPr="00D56C84" w:rsidRDefault="00112468" w:rsidP="00026507">
      <w:pPr>
        <w:pStyle w:val="ParaIndent"/>
        <w:keepNext/>
        <w:spacing w:after="60"/>
        <w:jc w:val="both"/>
      </w:pPr>
      <w:r w:rsidRPr="00D56C84">
        <w:t>NSW is considering moving to an online reporting framework, which may decrease the time between survey data collection and report publication.</w:t>
      </w:r>
    </w:p>
    <w:p w:rsidR="00086803" w:rsidRPr="00D56C84" w:rsidRDefault="00086803" w:rsidP="00026507">
      <w:pPr>
        <w:pStyle w:val="ParaIndent"/>
        <w:keepNext/>
        <w:spacing w:after="60"/>
        <w:jc w:val="both"/>
      </w:pPr>
      <w:r w:rsidRPr="00D56C84">
        <w:t xml:space="preserve">The </w:t>
      </w:r>
      <w:r w:rsidR="00B720EB" w:rsidRPr="00D56C84">
        <w:t xml:space="preserve">2006–07 </w:t>
      </w:r>
      <w:r w:rsidR="00347D98" w:rsidRPr="00D56C84">
        <w:t>report</w:t>
      </w:r>
      <w:r w:rsidR="00112468" w:rsidRPr="00D56C84">
        <w:t xml:space="preserve"> </w:t>
      </w:r>
      <w:r w:rsidRPr="00D56C84">
        <w:t>stated data was collected from a survey that:</w:t>
      </w:r>
    </w:p>
    <w:p w:rsidR="00086803" w:rsidRPr="00D56C84" w:rsidRDefault="00776610" w:rsidP="00026507">
      <w:pPr>
        <w:pStyle w:val="ParaIndent"/>
        <w:keepNext/>
        <w:keepLines/>
        <w:ind w:left="1701"/>
        <w:jc w:val="both"/>
        <w:rPr>
          <w:sz w:val="18"/>
          <w:szCs w:val="18"/>
        </w:rPr>
      </w:pPr>
      <w:r>
        <w:rPr>
          <w:sz w:val="18"/>
          <w:szCs w:val="18"/>
        </w:rPr>
        <w:t>...</w:t>
      </w:r>
      <w:r w:rsidR="00086803" w:rsidRPr="00D56C84">
        <w:rPr>
          <w:sz w:val="18"/>
          <w:szCs w:val="18"/>
        </w:rPr>
        <w:t>incorporated the information required under the NEPM for Used Packaging Materials in addition to information relating to overall domestic resource recovery as well as waste collection and disposal.</w:t>
      </w:r>
    </w:p>
    <w:p w:rsidR="00086803" w:rsidRPr="00D56C84" w:rsidRDefault="00086803" w:rsidP="00026507">
      <w:pPr>
        <w:pStyle w:val="ParaIndent"/>
        <w:keepNext/>
        <w:spacing w:after="60"/>
        <w:jc w:val="both"/>
      </w:pPr>
      <w:r w:rsidRPr="00D56C84">
        <w:t>Data collected relating to “overall domestic resource recovery” included:</w:t>
      </w:r>
    </w:p>
    <w:p w:rsidR="00086803" w:rsidRPr="00D56C84" w:rsidRDefault="00086803" w:rsidP="00026507">
      <w:pPr>
        <w:pStyle w:val="ParaIndent"/>
        <w:keepNext/>
        <w:numPr>
          <w:ilvl w:val="0"/>
          <w:numId w:val="29"/>
        </w:numPr>
        <w:spacing w:after="60"/>
        <w:ind w:left="1985" w:hanging="284"/>
        <w:jc w:val="both"/>
        <w:rPr>
          <w:sz w:val="18"/>
          <w:szCs w:val="18"/>
        </w:rPr>
      </w:pPr>
      <w:r w:rsidRPr="00D56C84">
        <w:rPr>
          <w:sz w:val="18"/>
          <w:szCs w:val="18"/>
        </w:rPr>
        <w:t>Dry recyclables collection</w:t>
      </w:r>
    </w:p>
    <w:p w:rsidR="00086803" w:rsidRPr="00D56C84" w:rsidRDefault="00086803" w:rsidP="00026507">
      <w:pPr>
        <w:pStyle w:val="ParaIndent"/>
        <w:keepNext/>
        <w:numPr>
          <w:ilvl w:val="0"/>
          <w:numId w:val="29"/>
        </w:numPr>
        <w:spacing w:after="60"/>
        <w:ind w:left="1985" w:hanging="284"/>
        <w:jc w:val="both"/>
        <w:rPr>
          <w:sz w:val="18"/>
          <w:szCs w:val="18"/>
        </w:rPr>
      </w:pPr>
      <w:r w:rsidRPr="00D56C84">
        <w:rPr>
          <w:sz w:val="18"/>
          <w:szCs w:val="18"/>
        </w:rPr>
        <w:t xml:space="preserve">Organics collection </w:t>
      </w:r>
    </w:p>
    <w:p w:rsidR="00086803" w:rsidRPr="00D56C84" w:rsidRDefault="00086803" w:rsidP="00026507">
      <w:pPr>
        <w:pStyle w:val="ParaIndent"/>
        <w:keepNext/>
        <w:numPr>
          <w:ilvl w:val="0"/>
          <w:numId w:val="29"/>
        </w:numPr>
        <w:spacing w:after="60"/>
        <w:ind w:left="1985" w:hanging="284"/>
        <w:jc w:val="both"/>
        <w:rPr>
          <w:sz w:val="18"/>
          <w:szCs w:val="18"/>
        </w:rPr>
      </w:pPr>
      <w:r w:rsidRPr="00D56C84">
        <w:rPr>
          <w:sz w:val="18"/>
          <w:szCs w:val="18"/>
        </w:rPr>
        <w:t>Residual waste collection</w:t>
      </w:r>
    </w:p>
    <w:p w:rsidR="00086803" w:rsidRPr="00D56C84" w:rsidRDefault="00086803" w:rsidP="00026507">
      <w:pPr>
        <w:pStyle w:val="ParaIndent"/>
        <w:keepNext/>
        <w:numPr>
          <w:ilvl w:val="0"/>
          <w:numId w:val="29"/>
        </w:numPr>
        <w:spacing w:after="60"/>
        <w:ind w:left="1985" w:hanging="284"/>
        <w:jc w:val="both"/>
        <w:rPr>
          <w:sz w:val="18"/>
          <w:szCs w:val="18"/>
        </w:rPr>
      </w:pPr>
      <w:r w:rsidRPr="00D56C84">
        <w:rPr>
          <w:sz w:val="18"/>
          <w:szCs w:val="18"/>
        </w:rPr>
        <w:t>Clean up/hard waste collection</w:t>
      </w:r>
    </w:p>
    <w:p w:rsidR="00086803" w:rsidRPr="00D56C84" w:rsidRDefault="00086803" w:rsidP="00026507">
      <w:pPr>
        <w:pStyle w:val="ParaIndent"/>
        <w:keepNext/>
        <w:numPr>
          <w:ilvl w:val="0"/>
          <w:numId w:val="29"/>
        </w:numPr>
        <w:ind w:left="1985" w:hanging="284"/>
        <w:jc w:val="both"/>
        <w:rPr>
          <w:sz w:val="18"/>
          <w:szCs w:val="18"/>
        </w:rPr>
      </w:pPr>
      <w:r w:rsidRPr="00D56C84">
        <w:rPr>
          <w:sz w:val="18"/>
          <w:szCs w:val="18"/>
        </w:rPr>
        <w:t>Recyclables and organics drop-off facilities</w:t>
      </w:r>
      <w:r w:rsidR="00F62472">
        <w:rPr>
          <w:sz w:val="18"/>
          <w:szCs w:val="18"/>
        </w:rPr>
        <w:t>.</w:t>
      </w:r>
    </w:p>
    <w:p w:rsidR="00112468" w:rsidRPr="00D56C84" w:rsidRDefault="00112468" w:rsidP="00026507">
      <w:pPr>
        <w:pStyle w:val="ParaIndent"/>
        <w:keepNext/>
        <w:spacing w:after="60"/>
        <w:jc w:val="both"/>
      </w:pPr>
      <w:r w:rsidRPr="00D56C84">
        <w:t>The data provided by councils through these surveys is used to calculate overall waste generation and resource recovery rates for each LGA.</w:t>
      </w:r>
    </w:p>
    <w:p w:rsidR="00112468" w:rsidRPr="00D56C84" w:rsidRDefault="00112468" w:rsidP="00026507">
      <w:pPr>
        <w:pStyle w:val="ParaIndent"/>
        <w:jc w:val="both"/>
      </w:pPr>
      <w:r w:rsidRPr="00D56C84">
        <w:t xml:space="preserve">The amount of municipal waste recycled and landfilled is contained in the annual </w:t>
      </w:r>
      <w:r w:rsidRPr="00C10638">
        <w:rPr>
          <w:i/>
        </w:rPr>
        <w:t>Waste Avoidance and Resource Recovery Strategy Progress Report</w:t>
      </w:r>
      <w:r w:rsidRPr="00D56C84">
        <w:t>.</w:t>
      </w:r>
    </w:p>
    <w:p w:rsidR="00F6579E" w:rsidRDefault="00F6579E" w:rsidP="00026507">
      <w:pPr>
        <w:pStyle w:val="Heading3"/>
        <w:jc w:val="both"/>
      </w:pPr>
      <w:r w:rsidRPr="00D56C84">
        <w:t>Waste Strategy</w:t>
      </w:r>
    </w:p>
    <w:p w:rsidR="00DB4D47" w:rsidRDefault="00DB4D47" w:rsidP="00026507">
      <w:pPr>
        <w:pStyle w:val="ParaIndent"/>
        <w:jc w:val="both"/>
      </w:pPr>
      <w:r>
        <w:t>Through implementation of its waste strategy, the NSW Government encourages councils to gather and provide additional information about waste and recycling. Key requirements include:</w:t>
      </w:r>
    </w:p>
    <w:p w:rsidR="004A037B" w:rsidRPr="00D56C84" w:rsidRDefault="004A037B" w:rsidP="00026507">
      <w:pPr>
        <w:pStyle w:val="ParaIndent"/>
        <w:keepNext/>
        <w:spacing w:after="60"/>
        <w:jc w:val="both"/>
      </w:pPr>
      <w:r w:rsidRPr="00A81ED1">
        <w:rPr>
          <w:rFonts w:cs="Arial"/>
          <w:i/>
          <w:szCs w:val="18"/>
        </w:rPr>
        <w:t xml:space="preserve">Waste Avoidance and Resource Recovery Act (WARR) Act </w:t>
      </w:r>
      <w:r w:rsidR="0099625B" w:rsidRPr="00A81ED1">
        <w:rPr>
          <w:rFonts w:cs="Arial"/>
          <w:i/>
          <w:szCs w:val="18"/>
        </w:rPr>
        <w:t>(</w:t>
      </w:r>
      <w:r w:rsidRPr="00A81ED1">
        <w:rPr>
          <w:rFonts w:cs="Arial"/>
          <w:i/>
          <w:szCs w:val="18"/>
        </w:rPr>
        <w:t>2001</w:t>
      </w:r>
      <w:r w:rsidR="0099625B" w:rsidRPr="00A81ED1">
        <w:rPr>
          <w:rFonts w:cs="Arial"/>
          <w:i/>
          <w:szCs w:val="18"/>
        </w:rPr>
        <w:t>)</w:t>
      </w:r>
      <w:r w:rsidR="003B4519" w:rsidRPr="00D56C84">
        <w:rPr>
          <w:rFonts w:cs="Arial"/>
          <w:szCs w:val="18"/>
        </w:rPr>
        <w:t>:</w:t>
      </w:r>
    </w:p>
    <w:p w:rsidR="004A037B" w:rsidRPr="00D56C84" w:rsidRDefault="00E15394" w:rsidP="00026507">
      <w:pPr>
        <w:pStyle w:val="ParaIndent"/>
        <w:keepNext/>
        <w:spacing w:after="60"/>
        <w:ind w:left="1701"/>
        <w:jc w:val="both"/>
        <w:rPr>
          <w:b/>
          <w:sz w:val="18"/>
          <w:szCs w:val="18"/>
        </w:rPr>
      </w:pPr>
      <w:r w:rsidRPr="00D56C84">
        <w:rPr>
          <w:b/>
          <w:sz w:val="18"/>
          <w:szCs w:val="18"/>
        </w:rPr>
        <w:t xml:space="preserve">Clause </w:t>
      </w:r>
      <w:r w:rsidR="004A037B" w:rsidRPr="00D56C84">
        <w:rPr>
          <w:b/>
          <w:sz w:val="18"/>
          <w:szCs w:val="18"/>
        </w:rPr>
        <w:t>14 Power to request councils to report on waste strategy compliance</w:t>
      </w:r>
    </w:p>
    <w:p w:rsidR="004A037B" w:rsidRPr="00D56C84" w:rsidRDefault="004A037B" w:rsidP="00026507">
      <w:pPr>
        <w:pStyle w:val="ParaIndent"/>
        <w:keepNext/>
        <w:spacing w:after="60"/>
        <w:ind w:left="1701"/>
        <w:jc w:val="both"/>
        <w:rPr>
          <w:sz w:val="18"/>
          <w:szCs w:val="18"/>
        </w:rPr>
      </w:pPr>
      <w:r w:rsidRPr="00D56C84">
        <w:rPr>
          <w:sz w:val="18"/>
          <w:szCs w:val="18"/>
        </w:rPr>
        <w:t>(1) The Director-General may request a local council to provide the reasons for any specified non-compliance by the local council with the objectives of the current waste strategy.</w:t>
      </w:r>
    </w:p>
    <w:p w:rsidR="004A037B" w:rsidRPr="00D56C84" w:rsidRDefault="004A037B" w:rsidP="00026507">
      <w:pPr>
        <w:pStyle w:val="ParaIndent"/>
        <w:ind w:left="1701"/>
        <w:jc w:val="both"/>
        <w:rPr>
          <w:sz w:val="18"/>
          <w:szCs w:val="18"/>
        </w:rPr>
      </w:pPr>
      <w:r w:rsidRPr="00D56C84">
        <w:rPr>
          <w:sz w:val="18"/>
          <w:szCs w:val="18"/>
        </w:rPr>
        <w:t>(2) Such a request must be in writing and must specify the date by which the local council is requested to provide the reasons to the Director-General.</w:t>
      </w:r>
    </w:p>
    <w:p w:rsidR="008C3594" w:rsidRPr="00D56C84" w:rsidRDefault="005D7D0A" w:rsidP="00026507">
      <w:pPr>
        <w:pStyle w:val="ParaIndent"/>
        <w:keepNext/>
        <w:spacing w:after="60"/>
        <w:jc w:val="both"/>
      </w:pPr>
      <w:r w:rsidRPr="00A81ED1">
        <w:rPr>
          <w:i/>
        </w:rPr>
        <w:lastRenderedPageBreak/>
        <w:t>Protection of the Environment Ope</w:t>
      </w:r>
      <w:r w:rsidR="003B4519" w:rsidRPr="00A81ED1">
        <w:rPr>
          <w:i/>
        </w:rPr>
        <w:t xml:space="preserve">rations (Waste) Regulation </w:t>
      </w:r>
      <w:r w:rsidR="0099625B" w:rsidRPr="00A81ED1">
        <w:rPr>
          <w:i/>
        </w:rPr>
        <w:t>(</w:t>
      </w:r>
      <w:r w:rsidR="003B4519" w:rsidRPr="00A81ED1">
        <w:rPr>
          <w:i/>
        </w:rPr>
        <w:t>2005</w:t>
      </w:r>
      <w:r w:rsidR="0099625B" w:rsidRPr="00A81ED1">
        <w:rPr>
          <w:i/>
        </w:rPr>
        <w:t>)</w:t>
      </w:r>
      <w:r w:rsidR="003B4519" w:rsidRPr="00D56C84">
        <w:t>:</w:t>
      </w:r>
    </w:p>
    <w:p w:rsidR="005D7D0A" w:rsidRPr="00D56C84" w:rsidRDefault="00E15394" w:rsidP="00026507">
      <w:pPr>
        <w:pStyle w:val="ParaIndent"/>
        <w:keepNext/>
        <w:spacing w:after="60"/>
        <w:ind w:left="1701"/>
        <w:jc w:val="both"/>
        <w:rPr>
          <w:b/>
          <w:sz w:val="18"/>
          <w:szCs w:val="18"/>
        </w:rPr>
      </w:pPr>
      <w:r w:rsidRPr="00D56C84">
        <w:rPr>
          <w:b/>
          <w:sz w:val="18"/>
          <w:szCs w:val="18"/>
        </w:rPr>
        <w:t xml:space="preserve">Clause </w:t>
      </w:r>
      <w:r w:rsidR="005D7D0A" w:rsidRPr="00D56C84">
        <w:rPr>
          <w:b/>
          <w:sz w:val="18"/>
          <w:szCs w:val="18"/>
        </w:rPr>
        <w:t>46B Waste and sustainability improvement guidelines</w:t>
      </w:r>
    </w:p>
    <w:p w:rsidR="005D7D0A" w:rsidRPr="00D56C84" w:rsidRDefault="005D7D0A" w:rsidP="00026507">
      <w:pPr>
        <w:pStyle w:val="ParaIndent"/>
        <w:keepNext/>
        <w:spacing w:after="60"/>
        <w:ind w:left="1701"/>
        <w:jc w:val="both"/>
        <w:rPr>
          <w:sz w:val="18"/>
          <w:szCs w:val="18"/>
        </w:rPr>
      </w:pPr>
      <w:r w:rsidRPr="00D56C84">
        <w:rPr>
          <w:sz w:val="18"/>
          <w:szCs w:val="18"/>
        </w:rPr>
        <w:t>(1) The EPA may, from time to time, issue guidelines establishing waste and sustainability improvement standards to be met by local councils within the regulated area in relation to the use, recovery, recycling, processing and disposal of waste, and improvements in environmental sustainability practices and services.</w:t>
      </w:r>
    </w:p>
    <w:p w:rsidR="005D7D0A" w:rsidRPr="00D56C84" w:rsidRDefault="005D7D0A" w:rsidP="00026507">
      <w:pPr>
        <w:pStyle w:val="ParaIndent"/>
        <w:ind w:left="1701"/>
        <w:jc w:val="both"/>
        <w:rPr>
          <w:sz w:val="18"/>
          <w:szCs w:val="18"/>
        </w:rPr>
      </w:pPr>
      <w:r w:rsidRPr="00D56C84">
        <w:rPr>
          <w:sz w:val="18"/>
          <w:szCs w:val="18"/>
        </w:rPr>
        <w:t>(1A) A waste and sustainability improvement standard may be expressed to apply to all local councils, or to a particular local council or group of local councils, within the regulated area.</w:t>
      </w:r>
    </w:p>
    <w:p w:rsidR="002D3A44" w:rsidRPr="00D56C84" w:rsidRDefault="002D3A44" w:rsidP="00026507">
      <w:pPr>
        <w:pStyle w:val="ParaIndent"/>
        <w:keepNext/>
        <w:jc w:val="both"/>
        <w:rPr>
          <w:rFonts w:cs="Arial"/>
          <w:szCs w:val="18"/>
        </w:rPr>
      </w:pPr>
      <w:r w:rsidRPr="00D56C84">
        <w:rPr>
          <w:rFonts w:cs="Arial"/>
          <w:szCs w:val="18"/>
        </w:rPr>
        <w:t>The Waste and Sustainability Improvement Payment (</w:t>
      </w:r>
      <w:proofErr w:type="spellStart"/>
      <w:r w:rsidRPr="00D56C84">
        <w:rPr>
          <w:rFonts w:cs="Arial"/>
          <w:szCs w:val="18"/>
        </w:rPr>
        <w:t>WaSIP</w:t>
      </w:r>
      <w:proofErr w:type="spellEnd"/>
      <w:r w:rsidRPr="00D56C84">
        <w:rPr>
          <w:rFonts w:cs="Arial"/>
          <w:szCs w:val="18"/>
        </w:rPr>
        <w:t>) program is a $256 million program that will run from 2009</w:t>
      </w:r>
      <w:r w:rsidR="00F62472">
        <w:rPr>
          <w:rFonts w:cs="Arial"/>
          <w:szCs w:val="18"/>
        </w:rPr>
        <w:t>–</w:t>
      </w:r>
      <w:r w:rsidRPr="00D56C84">
        <w:rPr>
          <w:rFonts w:cs="Arial"/>
          <w:szCs w:val="18"/>
        </w:rPr>
        <w:t>2010 to 2015</w:t>
      </w:r>
      <w:r w:rsidR="00F62472">
        <w:rPr>
          <w:rFonts w:cs="Arial"/>
          <w:szCs w:val="18"/>
        </w:rPr>
        <w:t>–</w:t>
      </w:r>
      <w:r w:rsidRPr="00D56C84">
        <w:rPr>
          <w:rFonts w:cs="Arial"/>
          <w:szCs w:val="18"/>
        </w:rPr>
        <w:t xml:space="preserve">2016. The Waste and Sustainability Improvement Scheme is described in Part 5A of the current version of the </w:t>
      </w:r>
      <w:r w:rsidRPr="00A81ED1">
        <w:rPr>
          <w:rFonts w:cs="Arial"/>
          <w:i/>
          <w:szCs w:val="18"/>
        </w:rPr>
        <w:t>Protection of the Environment Ope</w:t>
      </w:r>
      <w:r w:rsidR="00217542" w:rsidRPr="00A81ED1">
        <w:rPr>
          <w:rFonts w:cs="Arial"/>
          <w:i/>
          <w:szCs w:val="18"/>
        </w:rPr>
        <w:t>rations (Waste) Regulation 2005</w:t>
      </w:r>
      <w:r w:rsidRPr="00D56C84">
        <w:rPr>
          <w:rFonts w:cs="Arial"/>
          <w:szCs w:val="18"/>
        </w:rPr>
        <w:t>.</w:t>
      </w:r>
    </w:p>
    <w:p w:rsidR="00E15394" w:rsidRPr="00D56C84" w:rsidRDefault="002D3A44" w:rsidP="00026507">
      <w:pPr>
        <w:pStyle w:val="ParaIndent"/>
        <w:keepNext/>
        <w:jc w:val="both"/>
        <w:rPr>
          <w:rFonts w:cs="Arial"/>
          <w:szCs w:val="18"/>
        </w:rPr>
      </w:pPr>
      <w:r w:rsidRPr="00D56C84">
        <w:rPr>
          <w:rFonts w:cs="Arial"/>
          <w:szCs w:val="18"/>
        </w:rPr>
        <w:t>To be eligible to receive a Waste and Sustainability Improvement Payment councils in the regulated area of NSW (SMA</w:t>
      </w:r>
      <w:r w:rsidR="00A81ED1">
        <w:rPr>
          <w:rFonts w:cs="Arial"/>
          <w:szCs w:val="18"/>
        </w:rPr>
        <w:t xml:space="preserve">, </w:t>
      </w:r>
      <w:r w:rsidRPr="00D56C84">
        <w:rPr>
          <w:rFonts w:cs="Arial"/>
          <w:szCs w:val="18"/>
        </w:rPr>
        <w:t>ERA</w:t>
      </w:r>
      <w:r w:rsidR="00A81ED1">
        <w:rPr>
          <w:rFonts w:cs="Arial"/>
          <w:szCs w:val="18"/>
        </w:rPr>
        <w:t xml:space="preserve"> and </w:t>
      </w:r>
      <w:r w:rsidRPr="00D56C84">
        <w:rPr>
          <w:rFonts w:cs="Arial"/>
          <w:szCs w:val="18"/>
        </w:rPr>
        <w:t xml:space="preserve">RRA) are required to commit to meeting both the ongoing and current year's </w:t>
      </w:r>
      <w:proofErr w:type="spellStart"/>
      <w:r w:rsidRPr="00D56C84">
        <w:rPr>
          <w:rFonts w:cs="Arial"/>
          <w:szCs w:val="18"/>
        </w:rPr>
        <w:t>WaSIP</w:t>
      </w:r>
      <w:proofErr w:type="spellEnd"/>
      <w:r w:rsidRPr="00D56C84">
        <w:rPr>
          <w:rFonts w:cs="Arial"/>
          <w:szCs w:val="18"/>
        </w:rPr>
        <w:t xml:space="preserve"> Standards. The </w:t>
      </w:r>
      <w:proofErr w:type="spellStart"/>
      <w:r w:rsidRPr="00D56C84">
        <w:rPr>
          <w:rFonts w:cs="Arial"/>
          <w:szCs w:val="18"/>
        </w:rPr>
        <w:t>WaSIP</w:t>
      </w:r>
      <w:proofErr w:type="spellEnd"/>
      <w:r w:rsidRPr="00D56C84">
        <w:rPr>
          <w:rFonts w:cs="Arial"/>
          <w:szCs w:val="18"/>
        </w:rPr>
        <w:t xml:space="preserve"> Standards are progressively updated in consultation with an Advisory Group and the Local Government and Shires Associations. </w:t>
      </w:r>
      <w:r w:rsidR="00E15394" w:rsidRPr="00D56C84">
        <w:rPr>
          <w:rFonts w:cs="Arial"/>
          <w:szCs w:val="18"/>
        </w:rPr>
        <w:t>Ongoing r</w:t>
      </w:r>
      <w:r w:rsidR="00112468" w:rsidRPr="00D56C84">
        <w:rPr>
          <w:rFonts w:cs="Arial"/>
          <w:szCs w:val="18"/>
        </w:rPr>
        <w:t>equirement</w:t>
      </w:r>
      <w:r w:rsidR="00E15394" w:rsidRPr="00D56C84">
        <w:rPr>
          <w:rFonts w:cs="Arial"/>
          <w:szCs w:val="18"/>
        </w:rPr>
        <w:t>s include:</w:t>
      </w:r>
    </w:p>
    <w:p w:rsidR="00E15394" w:rsidRPr="00D56C84" w:rsidRDefault="00E15394" w:rsidP="00026507">
      <w:pPr>
        <w:pStyle w:val="ParaIndent"/>
        <w:keepNext/>
        <w:numPr>
          <w:ilvl w:val="0"/>
          <w:numId w:val="32"/>
        </w:numPr>
        <w:spacing w:after="60"/>
        <w:jc w:val="both"/>
        <w:rPr>
          <w:sz w:val="18"/>
          <w:szCs w:val="18"/>
        </w:rPr>
      </w:pPr>
      <w:r w:rsidRPr="00D56C84">
        <w:rPr>
          <w:sz w:val="18"/>
          <w:szCs w:val="18"/>
        </w:rPr>
        <w:t xml:space="preserve">Information required under the </w:t>
      </w:r>
      <w:r w:rsidRPr="00C10638">
        <w:rPr>
          <w:i/>
          <w:sz w:val="18"/>
          <w:szCs w:val="18"/>
        </w:rPr>
        <w:t xml:space="preserve">National Environment Protection (Used Packaging Materials) Measure </w:t>
      </w:r>
      <w:r w:rsidRPr="00D56C84">
        <w:rPr>
          <w:sz w:val="18"/>
          <w:szCs w:val="18"/>
        </w:rPr>
        <w:t>provided to DECCW each year</w:t>
      </w:r>
    </w:p>
    <w:p w:rsidR="00E15394" w:rsidRPr="00D56C84" w:rsidRDefault="00E15394" w:rsidP="00026507">
      <w:pPr>
        <w:pStyle w:val="ParaIndent"/>
        <w:keepNext/>
        <w:numPr>
          <w:ilvl w:val="0"/>
          <w:numId w:val="32"/>
        </w:numPr>
        <w:spacing w:after="60"/>
        <w:jc w:val="both"/>
        <w:rPr>
          <w:sz w:val="18"/>
          <w:szCs w:val="18"/>
        </w:rPr>
      </w:pPr>
      <w:r w:rsidRPr="00D56C84">
        <w:rPr>
          <w:sz w:val="18"/>
          <w:szCs w:val="18"/>
        </w:rPr>
        <w:t>Baseline data on tonnages of dry recyclables and garden organics collected for recycling and residual domestic waste collected and provided to DECCW.</w:t>
      </w:r>
    </w:p>
    <w:p w:rsidR="002D3A44" w:rsidRPr="00D56C84" w:rsidRDefault="002D3A44" w:rsidP="00026507">
      <w:pPr>
        <w:pStyle w:val="ParaIndent"/>
        <w:keepNext/>
        <w:jc w:val="both"/>
        <w:rPr>
          <w:rFonts w:cs="Arial"/>
          <w:szCs w:val="18"/>
        </w:rPr>
      </w:pPr>
      <w:r w:rsidRPr="00D56C84">
        <w:rPr>
          <w:rFonts w:cs="Arial"/>
          <w:szCs w:val="18"/>
        </w:rPr>
        <w:t xml:space="preserve">In August each year SMA/ERA/RRA councils can apply for a Waste and Sustainability Improvement Payment by sending the </w:t>
      </w:r>
      <w:r w:rsidR="00C10638">
        <w:rPr>
          <w:rFonts w:cs="Arial"/>
          <w:szCs w:val="18"/>
        </w:rPr>
        <w:t>OEH</w:t>
      </w:r>
      <w:r w:rsidRPr="00D56C84">
        <w:rPr>
          <w:rFonts w:cs="Arial"/>
          <w:szCs w:val="18"/>
        </w:rPr>
        <w:t xml:space="preserve"> a </w:t>
      </w:r>
      <w:proofErr w:type="spellStart"/>
      <w:r w:rsidRPr="00D56C84">
        <w:rPr>
          <w:rFonts w:cs="Arial"/>
          <w:szCs w:val="18"/>
        </w:rPr>
        <w:t>WaSIP</w:t>
      </w:r>
      <w:proofErr w:type="spellEnd"/>
      <w:r w:rsidRPr="00D56C84">
        <w:rPr>
          <w:rFonts w:cs="Arial"/>
          <w:szCs w:val="18"/>
        </w:rPr>
        <w:t xml:space="preserve"> Certificate signed by their General Manager. The certificate commits the council to:</w:t>
      </w:r>
    </w:p>
    <w:p w:rsidR="002D3A44" w:rsidRPr="00D56C84" w:rsidRDefault="002D3A44" w:rsidP="00026507">
      <w:pPr>
        <w:pStyle w:val="ParaIndent"/>
        <w:keepNext/>
        <w:numPr>
          <w:ilvl w:val="0"/>
          <w:numId w:val="32"/>
        </w:numPr>
        <w:spacing w:after="60"/>
        <w:jc w:val="both"/>
        <w:rPr>
          <w:sz w:val="18"/>
          <w:szCs w:val="18"/>
        </w:rPr>
      </w:pPr>
      <w:r w:rsidRPr="00D56C84">
        <w:rPr>
          <w:sz w:val="18"/>
          <w:szCs w:val="18"/>
        </w:rPr>
        <w:t xml:space="preserve">complying with the </w:t>
      </w:r>
      <w:proofErr w:type="spellStart"/>
      <w:r w:rsidRPr="00D56C84">
        <w:rPr>
          <w:sz w:val="18"/>
          <w:szCs w:val="18"/>
        </w:rPr>
        <w:t>WaSIP</w:t>
      </w:r>
      <w:proofErr w:type="spellEnd"/>
      <w:r w:rsidRPr="00D56C84">
        <w:rPr>
          <w:sz w:val="18"/>
          <w:szCs w:val="18"/>
        </w:rPr>
        <w:t xml:space="preserve"> Guidelines</w:t>
      </w:r>
    </w:p>
    <w:p w:rsidR="002D3A44" w:rsidRPr="00D56C84" w:rsidRDefault="002D3A44" w:rsidP="00026507">
      <w:pPr>
        <w:pStyle w:val="ParaIndent"/>
        <w:keepNext/>
        <w:numPr>
          <w:ilvl w:val="0"/>
          <w:numId w:val="32"/>
        </w:numPr>
        <w:spacing w:after="60"/>
        <w:jc w:val="both"/>
        <w:rPr>
          <w:sz w:val="18"/>
          <w:szCs w:val="18"/>
        </w:rPr>
      </w:pPr>
      <w:r w:rsidRPr="00D56C84">
        <w:rPr>
          <w:sz w:val="18"/>
          <w:szCs w:val="18"/>
        </w:rPr>
        <w:t>investing the payments in actions and programs to improve waste and environmental sustainability outcomes based on local priorities</w:t>
      </w:r>
    </w:p>
    <w:p w:rsidR="002D3A44" w:rsidRPr="00D56C84" w:rsidRDefault="002D3A44" w:rsidP="00026507">
      <w:pPr>
        <w:pStyle w:val="ParaIndent"/>
        <w:keepNext/>
        <w:numPr>
          <w:ilvl w:val="0"/>
          <w:numId w:val="32"/>
        </w:numPr>
        <w:spacing w:after="60"/>
        <w:jc w:val="both"/>
        <w:rPr>
          <w:sz w:val="18"/>
          <w:szCs w:val="18"/>
        </w:rPr>
      </w:pPr>
      <w:r w:rsidRPr="00D56C84">
        <w:rPr>
          <w:sz w:val="18"/>
          <w:szCs w:val="18"/>
        </w:rPr>
        <w:t>providing an action table that details the waste and sustainability actions that will be delivered as a result of receiving the payments</w:t>
      </w:r>
    </w:p>
    <w:p w:rsidR="002D3A44" w:rsidRPr="00D56C84" w:rsidRDefault="002D3A44" w:rsidP="00026507">
      <w:pPr>
        <w:pStyle w:val="ParaIndent"/>
        <w:keepNext/>
        <w:numPr>
          <w:ilvl w:val="0"/>
          <w:numId w:val="32"/>
        </w:numPr>
        <w:spacing w:after="60"/>
        <w:jc w:val="both"/>
        <w:rPr>
          <w:sz w:val="18"/>
          <w:szCs w:val="18"/>
        </w:rPr>
      </w:pPr>
      <w:proofErr w:type="gramStart"/>
      <w:r w:rsidRPr="00D56C84">
        <w:rPr>
          <w:sz w:val="18"/>
          <w:szCs w:val="18"/>
        </w:rPr>
        <w:t>providing</w:t>
      </w:r>
      <w:proofErr w:type="gramEnd"/>
      <w:r w:rsidRPr="00D56C84">
        <w:rPr>
          <w:sz w:val="18"/>
          <w:szCs w:val="18"/>
        </w:rPr>
        <w:t xml:space="preserve"> a financial report on the waste and sustainability outcomes achieved</w:t>
      </w:r>
      <w:r w:rsidR="00F62472">
        <w:rPr>
          <w:sz w:val="18"/>
          <w:szCs w:val="18"/>
        </w:rPr>
        <w:t>.</w:t>
      </w:r>
    </w:p>
    <w:p w:rsidR="001F4F2D" w:rsidRPr="00D56C84" w:rsidRDefault="001F4F2D" w:rsidP="00026507">
      <w:pPr>
        <w:pStyle w:val="Heading3"/>
        <w:jc w:val="both"/>
      </w:pPr>
      <w:r w:rsidRPr="00D56C84">
        <w:t xml:space="preserve">NSW Local Government Grants Commission </w:t>
      </w:r>
    </w:p>
    <w:p w:rsidR="001F4F2D" w:rsidRPr="00D56C84" w:rsidRDefault="00F62472" w:rsidP="00026507">
      <w:pPr>
        <w:pStyle w:val="ParaIndent"/>
        <w:jc w:val="both"/>
      </w:pPr>
      <w:r>
        <w:t xml:space="preserve">The </w:t>
      </w:r>
      <w:r w:rsidR="001F4F2D" w:rsidRPr="00D56C84">
        <w:t xml:space="preserve">NSW Local Government Grants Commission (LGGC) methodology for allocating general purpose grants under the </w:t>
      </w:r>
      <w:r w:rsidR="001F4F2D" w:rsidRPr="00A81ED1">
        <w:rPr>
          <w:i/>
        </w:rPr>
        <w:t>Federal Local Government (Financial Assistance) Act 1995</w:t>
      </w:r>
      <w:r w:rsidR="001F4F2D" w:rsidRPr="00D56C84">
        <w:t xml:space="preserve">, unlike some other States, does not directly address waste management in its expenditure functions. It does however include Street and Gutter Cleaning per urban property which incorporates ‘housing and community amenities and street cleaning’. </w:t>
      </w:r>
    </w:p>
    <w:p w:rsidR="001F4F2D" w:rsidRPr="00D56C84" w:rsidRDefault="001F4F2D" w:rsidP="00026507">
      <w:pPr>
        <w:pStyle w:val="Heading3"/>
        <w:jc w:val="both"/>
      </w:pPr>
      <w:r w:rsidRPr="00D56C84">
        <w:t>Local government financial reporting</w:t>
      </w:r>
    </w:p>
    <w:p w:rsidR="001F4F2D" w:rsidRPr="00D56C84" w:rsidRDefault="001F4F2D" w:rsidP="00026507">
      <w:pPr>
        <w:pStyle w:val="ParaIndent"/>
        <w:jc w:val="both"/>
      </w:pPr>
      <w:r w:rsidRPr="00D56C84">
        <w:t xml:space="preserve">The Division of Local Government in the Department of Premier and Cabinet is responsible for overseeing the management of local government operations in NSW. In May 2011, the Division released the </w:t>
      </w:r>
      <w:r w:rsidRPr="00A81ED1">
        <w:rPr>
          <w:i/>
        </w:rPr>
        <w:t>Local Government Code of Accounting Practice and Financial Reporting</w:t>
      </w:r>
      <w:r w:rsidRPr="00D56C84">
        <w:t xml:space="preserve"> (the Code). It prescribes the form required for financial statements and the minimum disclosures that must be made by local governments. It applies to all financial statements prepared by </w:t>
      </w:r>
      <w:r w:rsidR="00A81ED1">
        <w:t>c</w:t>
      </w:r>
      <w:r w:rsidRPr="00D56C84">
        <w:t xml:space="preserve">ouncils for the financial period commencing 1 July 2010. </w:t>
      </w:r>
    </w:p>
    <w:p w:rsidR="001F4F2D" w:rsidRPr="00D56C84" w:rsidRDefault="001F4F2D" w:rsidP="00026507">
      <w:pPr>
        <w:pStyle w:val="ParaIndent"/>
        <w:spacing w:after="60"/>
        <w:jc w:val="both"/>
      </w:pPr>
      <w:r w:rsidRPr="00D56C84">
        <w:lastRenderedPageBreak/>
        <w:t xml:space="preserve">The Code includes financial reporting on </w:t>
      </w:r>
      <w:r w:rsidR="00A81ED1">
        <w:t>‘e</w:t>
      </w:r>
      <w:r w:rsidRPr="00D56C84">
        <w:t>nvironment</w:t>
      </w:r>
      <w:r w:rsidR="00A81ED1">
        <w:t>’</w:t>
      </w:r>
      <w:r w:rsidRPr="00D56C84">
        <w:t>. Within the function area of environment there are six activities that must be reported on, which include waste management. Minimum disclosures are required for waste management, as it relates to:</w:t>
      </w:r>
    </w:p>
    <w:p w:rsidR="001F4F2D" w:rsidRPr="00D56C84" w:rsidRDefault="001F4F2D" w:rsidP="00026507">
      <w:pPr>
        <w:pStyle w:val="ParaIndent"/>
        <w:numPr>
          <w:ilvl w:val="0"/>
          <w:numId w:val="26"/>
        </w:numPr>
        <w:spacing w:after="60"/>
        <w:ind w:left="1418" w:hanging="284"/>
        <w:jc w:val="both"/>
      </w:pPr>
      <w:r w:rsidRPr="00D56C84">
        <w:t>Expenses from continuing operations</w:t>
      </w:r>
    </w:p>
    <w:p w:rsidR="001F4F2D" w:rsidRPr="00D56C84" w:rsidRDefault="001F4F2D" w:rsidP="00026507">
      <w:pPr>
        <w:pStyle w:val="ParaIndent"/>
        <w:numPr>
          <w:ilvl w:val="0"/>
          <w:numId w:val="26"/>
        </w:numPr>
        <w:spacing w:after="60"/>
        <w:ind w:left="1418" w:hanging="284"/>
        <w:jc w:val="both"/>
      </w:pPr>
      <w:r w:rsidRPr="00D56C84">
        <w:t>Income from continuing operations that are non-capital</w:t>
      </w:r>
    </w:p>
    <w:p w:rsidR="001F4F2D" w:rsidRPr="00D56C84" w:rsidRDefault="001F4F2D" w:rsidP="00026507">
      <w:pPr>
        <w:pStyle w:val="ParaIndent"/>
        <w:numPr>
          <w:ilvl w:val="0"/>
          <w:numId w:val="26"/>
        </w:numPr>
        <w:spacing w:after="60"/>
        <w:ind w:left="1418" w:hanging="284"/>
        <w:jc w:val="both"/>
      </w:pPr>
      <w:r w:rsidRPr="00D56C84">
        <w:t>Income from continuing operations that are capital</w:t>
      </w:r>
    </w:p>
    <w:p w:rsidR="001F4F2D" w:rsidRPr="00D56C84" w:rsidRDefault="001F4F2D" w:rsidP="00026507">
      <w:pPr>
        <w:pStyle w:val="ParaIndent"/>
        <w:numPr>
          <w:ilvl w:val="0"/>
          <w:numId w:val="26"/>
        </w:numPr>
        <w:ind w:left="1418" w:hanging="284"/>
        <w:jc w:val="both"/>
      </w:pPr>
      <w:r w:rsidRPr="00D56C84">
        <w:t>Net cost of services</w:t>
      </w:r>
      <w:r w:rsidR="00424D3A">
        <w:t>.</w:t>
      </w:r>
    </w:p>
    <w:p w:rsidR="000865F7" w:rsidRPr="000865F7" w:rsidRDefault="000865F7" w:rsidP="000865F7">
      <w:pPr>
        <w:pStyle w:val="Heading3"/>
      </w:pPr>
      <w:r w:rsidRPr="000865F7">
        <w:t>State of the Environment Reporting</w:t>
      </w:r>
    </w:p>
    <w:p w:rsidR="00424D3A" w:rsidRPr="00123D13" w:rsidRDefault="00424D3A" w:rsidP="00123D13">
      <w:pPr>
        <w:pStyle w:val="ParaIndent"/>
        <w:spacing w:after="60"/>
      </w:pPr>
      <w:r w:rsidRPr="00C10638">
        <w:rPr>
          <w:i/>
        </w:rPr>
        <w:t xml:space="preserve">New South Wales </w:t>
      </w:r>
      <w:proofErr w:type="spellStart"/>
      <w:r w:rsidRPr="00C10638">
        <w:rPr>
          <w:i/>
        </w:rPr>
        <w:t>SoE</w:t>
      </w:r>
      <w:proofErr w:type="spellEnd"/>
      <w:r w:rsidRPr="00C10638">
        <w:rPr>
          <w:i/>
        </w:rPr>
        <w:t xml:space="preserve"> 2009</w:t>
      </w:r>
      <w:r w:rsidRPr="00123D13">
        <w:t xml:space="preserve"> </w:t>
      </w:r>
      <w:r w:rsidR="00123D13" w:rsidRPr="00123D13">
        <w:t xml:space="preserve">is the seventh report </w:t>
      </w:r>
      <w:r w:rsidRPr="00123D13">
        <w:t>on the status of the main environmental issues facing the state</w:t>
      </w:r>
      <w:r w:rsidR="00123D13" w:rsidRPr="00123D13">
        <w:t xml:space="preserve"> (its predecessors were published in 1993, 1995, 1997, 2000, 2003 and 2006)</w:t>
      </w:r>
      <w:r w:rsidRPr="00123D13">
        <w:t>.</w:t>
      </w:r>
      <w:r w:rsidR="00123D13" w:rsidRPr="00123D13">
        <w:t xml:space="preserve"> The 2009 </w:t>
      </w:r>
      <w:proofErr w:type="spellStart"/>
      <w:r w:rsidR="00123D13" w:rsidRPr="00123D13">
        <w:t>SoE</w:t>
      </w:r>
      <w:proofErr w:type="spellEnd"/>
      <w:r w:rsidR="00123D13" w:rsidRPr="00123D13">
        <w:t xml:space="preserve"> report was </w:t>
      </w:r>
      <w:r w:rsidRPr="00123D13">
        <w:t xml:space="preserve">prepared in accordance with the requirements of section 10 of the </w:t>
      </w:r>
      <w:hyperlink r:id="rId27" w:anchor="poea" w:history="1">
        <w:r w:rsidRPr="00123D13">
          <w:rPr>
            <w:i/>
          </w:rPr>
          <w:t>Protection of the Environment Administration Act 1991</w:t>
        </w:r>
      </w:hyperlink>
      <w:r w:rsidRPr="00123D13">
        <w:t xml:space="preserve">. </w:t>
      </w:r>
    </w:p>
    <w:p w:rsidR="00424D3A" w:rsidRPr="00123D13" w:rsidRDefault="00ED6CA0" w:rsidP="00123D13">
      <w:pPr>
        <w:pStyle w:val="ParaIndent"/>
        <w:spacing w:after="60"/>
      </w:pPr>
      <w:hyperlink r:id="rId28" w:history="1">
        <w:proofErr w:type="spellStart"/>
        <w:r w:rsidR="00424D3A" w:rsidRPr="00123D13">
          <w:t>SoE</w:t>
        </w:r>
        <w:proofErr w:type="spellEnd"/>
        <w:r w:rsidR="00424D3A" w:rsidRPr="00123D13">
          <w:t xml:space="preserve"> 2009</w:t>
        </w:r>
      </w:hyperlink>
      <w:r w:rsidR="00424D3A" w:rsidRPr="00123D13">
        <w:t xml:space="preserve"> is structured around seven major themes: </w:t>
      </w:r>
    </w:p>
    <w:p w:rsidR="001A75C3" w:rsidRDefault="00424D3A" w:rsidP="004F0083">
      <w:pPr>
        <w:pStyle w:val="ParaIndent"/>
        <w:numPr>
          <w:ilvl w:val="0"/>
          <w:numId w:val="39"/>
        </w:numPr>
        <w:spacing w:after="60"/>
      </w:pPr>
      <w:r w:rsidRPr="00123D13">
        <w:t>People and the Environment</w:t>
      </w:r>
    </w:p>
    <w:p w:rsidR="001A75C3" w:rsidRDefault="00424D3A" w:rsidP="004F0083">
      <w:pPr>
        <w:pStyle w:val="ParaIndent"/>
        <w:numPr>
          <w:ilvl w:val="0"/>
          <w:numId w:val="39"/>
        </w:numPr>
        <w:spacing w:after="60"/>
      </w:pPr>
      <w:r w:rsidRPr="00123D13">
        <w:t>Climate Change</w:t>
      </w:r>
    </w:p>
    <w:p w:rsidR="001A75C3" w:rsidRDefault="00424D3A" w:rsidP="004F0083">
      <w:pPr>
        <w:pStyle w:val="ParaIndent"/>
        <w:numPr>
          <w:ilvl w:val="0"/>
          <w:numId w:val="39"/>
        </w:numPr>
        <w:spacing w:after="60"/>
      </w:pPr>
      <w:r w:rsidRPr="00123D13">
        <w:t>Human Settlement</w:t>
      </w:r>
    </w:p>
    <w:p w:rsidR="001A75C3" w:rsidRDefault="00424D3A" w:rsidP="004F0083">
      <w:pPr>
        <w:pStyle w:val="ParaIndent"/>
        <w:numPr>
          <w:ilvl w:val="0"/>
          <w:numId w:val="39"/>
        </w:numPr>
        <w:spacing w:after="60"/>
      </w:pPr>
      <w:r w:rsidRPr="00123D13">
        <w:t>Atmosphere</w:t>
      </w:r>
    </w:p>
    <w:p w:rsidR="001A75C3" w:rsidRDefault="00424D3A" w:rsidP="004F0083">
      <w:pPr>
        <w:pStyle w:val="ParaIndent"/>
        <w:numPr>
          <w:ilvl w:val="0"/>
          <w:numId w:val="39"/>
        </w:numPr>
        <w:spacing w:after="60"/>
      </w:pPr>
      <w:r w:rsidRPr="00123D13">
        <w:t>Land</w:t>
      </w:r>
    </w:p>
    <w:p w:rsidR="001A75C3" w:rsidRDefault="00424D3A" w:rsidP="004F0083">
      <w:pPr>
        <w:pStyle w:val="ParaIndent"/>
        <w:numPr>
          <w:ilvl w:val="0"/>
          <w:numId w:val="39"/>
        </w:numPr>
        <w:spacing w:after="60"/>
      </w:pPr>
      <w:r w:rsidRPr="00123D13">
        <w:t xml:space="preserve">Water </w:t>
      </w:r>
    </w:p>
    <w:p w:rsidR="001A75C3" w:rsidRDefault="00424D3A" w:rsidP="004F0083">
      <w:pPr>
        <w:pStyle w:val="ParaIndent"/>
        <w:numPr>
          <w:ilvl w:val="0"/>
          <w:numId w:val="39"/>
        </w:numPr>
        <w:spacing w:after="60"/>
      </w:pPr>
      <w:r w:rsidRPr="00123D13">
        <w:t xml:space="preserve">Biodiversity. </w:t>
      </w:r>
    </w:p>
    <w:p w:rsidR="00123D13" w:rsidRDefault="00424D3A" w:rsidP="00EF60AB">
      <w:pPr>
        <w:pStyle w:val="ParaIndent"/>
        <w:spacing w:after="60"/>
        <w:jc w:val="both"/>
      </w:pPr>
      <w:r w:rsidRPr="00123D13">
        <w:t>Thirty environmental issues are reported on within these themes</w:t>
      </w:r>
      <w:r w:rsidR="00123D13">
        <w:t>,</w:t>
      </w:r>
      <w:r w:rsidRPr="00123D13">
        <w:t xml:space="preserve"> with data and information addressing 86 environmental indicators. </w:t>
      </w:r>
      <w:r w:rsidR="00123D13" w:rsidRPr="00123D13">
        <w:t>Waste management issues are reported under the ‘Human Settlement’</w:t>
      </w:r>
      <w:r w:rsidR="00123D13">
        <w:t xml:space="preserve"> theme</w:t>
      </w:r>
      <w:r w:rsidR="00386248">
        <w:t xml:space="preserve">, with </w:t>
      </w:r>
      <w:r w:rsidR="00123D13" w:rsidRPr="00424D3A">
        <w:t>waste disposal and resource recovery</w:t>
      </w:r>
      <w:r w:rsidR="00123D13">
        <w:t xml:space="preserve"> rates and trends reported</w:t>
      </w:r>
      <w:r w:rsidR="00123D13" w:rsidRPr="00424D3A">
        <w:t xml:space="preserve"> regionally</w:t>
      </w:r>
      <w:r w:rsidR="00123D13">
        <w:t>, with performance indicators provided for the SMA, ERA and NRA.</w:t>
      </w:r>
    </w:p>
    <w:p w:rsidR="000865F7" w:rsidRDefault="000865F7" w:rsidP="00EF60AB">
      <w:pPr>
        <w:pStyle w:val="ParaIndent"/>
        <w:spacing w:after="60"/>
        <w:jc w:val="both"/>
      </w:pPr>
      <w:r w:rsidRPr="000865F7">
        <w:t xml:space="preserve">The </w:t>
      </w:r>
      <w:r w:rsidRPr="000865F7">
        <w:rPr>
          <w:i/>
        </w:rPr>
        <w:t>Local Government Amendment (Planning and Reporting) Act 2009</w:t>
      </w:r>
      <w:r w:rsidRPr="000865F7">
        <w:t xml:space="preserve"> commenced </w:t>
      </w:r>
      <w:r>
        <w:t>in</w:t>
      </w:r>
      <w:r w:rsidRPr="000865F7">
        <w:t xml:space="preserve"> October 2009</w:t>
      </w:r>
      <w:r>
        <w:t>, and t</w:t>
      </w:r>
      <w:r w:rsidRPr="000865F7">
        <w:t xml:space="preserve">he recent amendment retains a requirement for all councils in NSW to prepare a </w:t>
      </w:r>
      <w:proofErr w:type="spellStart"/>
      <w:r w:rsidRPr="000865F7">
        <w:t>SoE</w:t>
      </w:r>
      <w:proofErr w:type="spellEnd"/>
      <w:r w:rsidRPr="000865F7">
        <w:t xml:space="preserve"> report.</w:t>
      </w:r>
    </w:p>
    <w:p w:rsidR="000865F7" w:rsidRDefault="000865F7" w:rsidP="00EF60AB">
      <w:pPr>
        <w:pStyle w:val="ParaIndent"/>
        <w:spacing w:after="60"/>
        <w:jc w:val="both"/>
      </w:pPr>
      <w:r w:rsidRPr="000865F7">
        <w:t xml:space="preserve">The changes to the Act have been introduced to generally improve council's long term community, financial and asset planning through the introduction of the </w:t>
      </w:r>
      <w:hyperlink r:id="rId29" w:history="1">
        <w:r w:rsidRPr="000865F7">
          <w:t>Integrated Planning and Reporting Framework</w:t>
        </w:r>
      </w:hyperlink>
      <w:r w:rsidRPr="000865F7">
        <w:t>. Under this framework</w:t>
      </w:r>
      <w:r>
        <w:t>,</w:t>
      </w:r>
      <w:r w:rsidRPr="000865F7">
        <w:t xml:space="preserve"> councils are required to develop 10 year Community Strategic Plans to identify the community's main priorities and aspirations for the future. These plans will include objectives for the environment (section 428A). The Act no longer prescribes a framework of environmental issues to be reported on, but requires councils to report how </w:t>
      </w:r>
      <w:r w:rsidR="00EF60AB">
        <w:t xml:space="preserve">they </w:t>
      </w:r>
      <w:r w:rsidRPr="000865F7">
        <w:t>met environmental objectives established by</w:t>
      </w:r>
      <w:r>
        <w:t xml:space="preserve"> the Community Strategic Plan.</w:t>
      </w:r>
      <w:r>
        <w:rPr>
          <w:rStyle w:val="FootnoteReference"/>
        </w:rPr>
        <w:footnoteReference w:id="6"/>
      </w:r>
    </w:p>
    <w:p w:rsidR="00801138" w:rsidRPr="00D56C84" w:rsidRDefault="00801138" w:rsidP="00EF60AB">
      <w:pPr>
        <w:pStyle w:val="Heading2"/>
        <w:spacing w:before="240"/>
      </w:pPr>
      <w:bookmarkStart w:id="51" w:name="_Toc307470430"/>
      <w:r w:rsidRPr="00D56C84">
        <w:t xml:space="preserve">Performance </w:t>
      </w:r>
      <w:r w:rsidR="00085D2C">
        <w:t>in NSW</w:t>
      </w:r>
      <w:bookmarkEnd w:id="51"/>
    </w:p>
    <w:p w:rsidR="00A01211" w:rsidRPr="00D56C84" w:rsidRDefault="00A01211" w:rsidP="00EF60AB">
      <w:pPr>
        <w:pStyle w:val="ParaIndent"/>
        <w:jc w:val="both"/>
      </w:pPr>
      <w:r w:rsidRPr="00D56C84">
        <w:t xml:space="preserve">The </w:t>
      </w:r>
      <w:r w:rsidRPr="00D56C84">
        <w:rPr>
          <w:i/>
        </w:rPr>
        <w:t>NSW Local Government Waste and Resource Reco</w:t>
      </w:r>
      <w:r w:rsidR="00B23BCF">
        <w:rPr>
          <w:i/>
        </w:rPr>
        <w:t xml:space="preserve">very Data Report </w:t>
      </w:r>
      <w:r w:rsidRPr="00D56C84">
        <w:rPr>
          <w:i/>
        </w:rPr>
        <w:t>2009</w:t>
      </w:r>
      <w:r w:rsidR="00A31D03">
        <w:rPr>
          <w:rFonts w:cs="Arial"/>
          <w:szCs w:val="18"/>
        </w:rPr>
        <w:t>–</w:t>
      </w:r>
      <w:r w:rsidRPr="00D56C84">
        <w:rPr>
          <w:i/>
        </w:rPr>
        <w:t>2010</w:t>
      </w:r>
      <w:r w:rsidRPr="00D56C84">
        <w:t xml:space="preserve"> summarises the results of the fifth annual survey conducted by the OEH for the 2009</w:t>
      </w:r>
      <w:r w:rsidR="00A31D03">
        <w:rPr>
          <w:rFonts w:cs="Arial"/>
          <w:szCs w:val="18"/>
        </w:rPr>
        <w:t>–</w:t>
      </w:r>
      <w:r w:rsidRPr="00D56C84">
        <w:t>10 financial year. The survey achieved a 100% response rate</w:t>
      </w:r>
      <w:r w:rsidR="00BE15A2" w:rsidRPr="00D56C84">
        <w:t>,</w:t>
      </w:r>
      <w:r w:rsidRPr="00D56C84">
        <w:t xml:space="preserve"> and </w:t>
      </w:r>
      <w:r w:rsidR="00BE15A2" w:rsidRPr="00D56C84">
        <w:t>therefore is believed to provide</w:t>
      </w:r>
      <w:r w:rsidRPr="00D56C84">
        <w:t xml:space="preserve"> a comprehensive set of local government waste and recycling data in NSW.</w:t>
      </w:r>
    </w:p>
    <w:p w:rsidR="00386248" w:rsidRDefault="00ED6CA0" w:rsidP="00EF60AB">
      <w:pPr>
        <w:pStyle w:val="ParaIndent"/>
        <w:jc w:val="both"/>
      </w:pPr>
      <w:r>
        <w:fldChar w:fldCharType="begin"/>
      </w:r>
      <w:r w:rsidR="00471613">
        <w:instrText xml:space="preserve"> REF _Ref307470640 \h </w:instrText>
      </w:r>
      <w:r>
        <w:fldChar w:fldCharType="separate"/>
      </w:r>
      <w:r w:rsidR="00166111" w:rsidRPr="00D56C84">
        <w:t xml:space="preserve">Table </w:t>
      </w:r>
      <w:r w:rsidR="00166111">
        <w:rPr>
          <w:noProof/>
        </w:rPr>
        <w:t>6</w:t>
      </w:r>
      <w:r w:rsidR="00166111" w:rsidRPr="00D56C84">
        <w:t>-</w:t>
      </w:r>
      <w:r w:rsidR="00166111">
        <w:rPr>
          <w:noProof/>
        </w:rPr>
        <w:t>10</w:t>
      </w:r>
      <w:r>
        <w:fldChar w:fldCharType="end"/>
      </w:r>
      <w:r w:rsidR="00471613">
        <w:t xml:space="preserve"> </w:t>
      </w:r>
      <w:r w:rsidR="00A01211" w:rsidRPr="00D56C84">
        <w:t>provides a summary of the collections and services offered by NSW councils.</w:t>
      </w:r>
    </w:p>
    <w:p w:rsidR="00EF60AB" w:rsidRDefault="00EF60AB">
      <w:pPr>
        <w:spacing w:after="0" w:line="240" w:lineRule="auto"/>
        <w:ind w:left="0"/>
        <w:rPr>
          <w:b/>
          <w:color w:val="495F70"/>
          <w:sz w:val="18"/>
        </w:rPr>
      </w:pPr>
      <w:bookmarkStart w:id="52" w:name="_Ref299547494"/>
    </w:p>
    <w:p w:rsidR="00A01211" w:rsidRPr="00D56C84" w:rsidRDefault="00A01211" w:rsidP="00A01211">
      <w:pPr>
        <w:pStyle w:val="Caption"/>
      </w:pPr>
      <w:bookmarkStart w:id="53" w:name="_Ref307470640"/>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10</w:t>
      </w:r>
      <w:r w:rsidR="00ED6CA0">
        <w:rPr>
          <w:noProof/>
        </w:rPr>
        <w:fldChar w:fldCharType="end"/>
      </w:r>
      <w:bookmarkEnd w:id="52"/>
      <w:bookmarkEnd w:id="53"/>
      <w:r w:rsidRPr="00D56C84">
        <w:tab/>
        <w:t xml:space="preserve">Kerbside collections offered by number of local governments as reported in </w:t>
      </w:r>
      <w:r w:rsidRPr="00D56C84">
        <w:rPr>
          <w:i/>
        </w:rPr>
        <w:t>NSW Local Government Waste and</w:t>
      </w:r>
      <w:r w:rsidR="00BE15A2" w:rsidRPr="00D56C84">
        <w:rPr>
          <w:i/>
        </w:rPr>
        <w:t xml:space="preserve"> Resource Recovery Data Report </w:t>
      </w:r>
      <w:r w:rsidRPr="00D56C84">
        <w:rPr>
          <w:i/>
        </w:rPr>
        <w:t>2009-2010.</w:t>
      </w:r>
    </w:p>
    <w:tbl>
      <w:tblPr>
        <w:tblW w:w="4174" w:type="pct"/>
        <w:tblInd w:w="993" w:type="dxa"/>
        <w:tblBorders>
          <w:bottom w:val="single" w:sz="18" w:space="0" w:color="808080"/>
          <w:insideH w:val="single" w:sz="4" w:space="0" w:color="808080"/>
        </w:tblBorders>
        <w:tblLayout w:type="fixed"/>
        <w:tblCellMar>
          <w:left w:w="0" w:type="dxa"/>
          <w:right w:w="0" w:type="dxa"/>
        </w:tblCellMar>
        <w:tblLook w:val="04A0"/>
      </w:tblPr>
      <w:tblGrid>
        <w:gridCol w:w="4253"/>
        <w:gridCol w:w="1951"/>
        <w:gridCol w:w="1843"/>
      </w:tblGrid>
      <w:tr w:rsidR="00A01211" w:rsidRPr="00D56C84" w:rsidTr="00A01211">
        <w:trPr>
          <w:trHeight w:val="915"/>
        </w:trPr>
        <w:tc>
          <w:tcPr>
            <w:tcW w:w="2643" w:type="pct"/>
            <w:shd w:val="clear" w:color="auto" w:fill="auto"/>
            <w:noWrap/>
            <w:vAlign w:val="bottom"/>
          </w:tcPr>
          <w:p w:rsidR="00A01211" w:rsidRPr="00D56C84" w:rsidRDefault="00A01211" w:rsidP="00A01211">
            <w:pPr>
              <w:pStyle w:val="TableHeading"/>
              <w:rPr>
                <w:lang w:eastAsia="en-AU"/>
              </w:rPr>
            </w:pPr>
          </w:p>
        </w:tc>
        <w:tc>
          <w:tcPr>
            <w:tcW w:w="1212" w:type="pct"/>
            <w:shd w:val="clear" w:color="auto" w:fill="auto"/>
            <w:noWrap/>
            <w:vAlign w:val="bottom"/>
          </w:tcPr>
          <w:p w:rsidR="00A01211" w:rsidRPr="00D56C84" w:rsidRDefault="00A01211" w:rsidP="00A01211">
            <w:pPr>
              <w:pStyle w:val="TableHeading"/>
              <w:rPr>
                <w:lang w:eastAsia="en-AU"/>
              </w:rPr>
            </w:pPr>
            <w:r w:rsidRPr="00D56C84">
              <w:rPr>
                <w:lang w:eastAsia="en-AU"/>
              </w:rPr>
              <w:t>Number of councils offering service</w:t>
            </w:r>
          </w:p>
        </w:tc>
        <w:tc>
          <w:tcPr>
            <w:tcW w:w="1145" w:type="pct"/>
            <w:shd w:val="clear" w:color="auto" w:fill="auto"/>
            <w:noWrap/>
            <w:vAlign w:val="bottom"/>
          </w:tcPr>
          <w:p w:rsidR="00A01211" w:rsidRPr="00D56C84" w:rsidRDefault="00A01211" w:rsidP="00A01211">
            <w:pPr>
              <w:pStyle w:val="TableHeading"/>
              <w:rPr>
                <w:lang w:eastAsia="en-AU"/>
              </w:rPr>
            </w:pPr>
            <w:r w:rsidRPr="00D56C84">
              <w:rPr>
                <w:lang w:eastAsia="en-AU"/>
              </w:rPr>
              <w:t>Total as a proportion of local governments (%)</w:t>
            </w:r>
          </w:p>
        </w:tc>
      </w:tr>
      <w:tr w:rsidR="00A01211" w:rsidRPr="00D56C84" w:rsidTr="00A01211">
        <w:trPr>
          <w:trHeight w:val="315"/>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 xml:space="preserve">Kerbside Domestic Waste </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151</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99</w:t>
            </w:r>
          </w:p>
        </w:tc>
      </w:tr>
      <w:tr w:rsidR="00A01211" w:rsidRPr="00D56C84" w:rsidTr="00A01211">
        <w:trPr>
          <w:trHeight w:val="315"/>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Kerbside Domestic Waste to AWT</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20</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13</w:t>
            </w:r>
          </w:p>
        </w:tc>
      </w:tr>
      <w:tr w:rsidR="00A01211" w:rsidRPr="00D56C84" w:rsidTr="00A01211">
        <w:trPr>
          <w:trHeight w:val="315"/>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 xml:space="preserve">Kerbside Domestic Recycling </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126</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83</w:t>
            </w:r>
          </w:p>
        </w:tc>
      </w:tr>
      <w:tr w:rsidR="00A01211" w:rsidRPr="00D56C84" w:rsidTr="00A01211">
        <w:trPr>
          <w:trHeight w:val="316"/>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Kerbside Domestic Garden Organics</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64</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42</w:t>
            </w:r>
          </w:p>
        </w:tc>
      </w:tr>
      <w:tr w:rsidR="00A01211" w:rsidRPr="00D56C84" w:rsidTr="00A01211">
        <w:trPr>
          <w:trHeight w:val="315"/>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Kerbside Clean Up Service</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103</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68</w:t>
            </w:r>
          </w:p>
        </w:tc>
      </w:tr>
      <w:tr w:rsidR="00A01211" w:rsidRPr="00D56C84" w:rsidTr="00A01211">
        <w:trPr>
          <w:trHeight w:val="315"/>
        </w:trPr>
        <w:tc>
          <w:tcPr>
            <w:tcW w:w="2643" w:type="pct"/>
            <w:shd w:val="clear" w:color="auto" w:fill="auto"/>
            <w:vAlign w:val="bottom"/>
          </w:tcPr>
          <w:p w:rsidR="00A01211" w:rsidRPr="00D56C84" w:rsidRDefault="00A01211" w:rsidP="00A01211">
            <w:pPr>
              <w:pStyle w:val="TableText"/>
              <w:rPr>
                <w:lang w:eastAsia="en-AU"/>
              </w:rPr>
            </w:pPr>
            <w:r w:rsidRPr="00D56C84">
              <w:rPr>
                <w:lang w:eastAsia="en-AU"/>
              </w:rPr>
              <w:t>Drop Off Recycling Facility</w:t>
            </w:r>
          </w:p>
        </w:tc>
        <w:tc>
          <w:tcPr>
            <w:tcW w:w="1212" w:type="pct"/>
            <w:shd w:val="clear" w:color="auto" w:fill="auto"/>
            <w:noWrap/>
            <w:vAlign w:val="bottom"/>
          </w:tcPr>
          <w:p w:rsidR="00A01211" w:rsidRPr="00D56C84" w:rsidRDefault="00A01211" w:rsidP="00A01211">
            <w:pPr>
              <w:pStyle w:val="TableText"/>
              <w:rPr>
                <w:lang w:eastAsia="en-AU"/>
              </w:rPr>
            </w:pPr>
            <w:r w:rsidRPr="00D56C84">
              <w:rPr>
                <w:lang w:eastAsia="en-AU"/>
              </w:rPr>
              <w:t>103</w:t>
            </w:r>
          </w:p>
        </w:tc>
        <w:tc>
          <w:tcPr>
            <w:tcW w:w="1145" w:type="pct"/>
            <w:shd w:val="clear" w:color="auto" w:fill="auto"/>
            <w:noWrap/>
            <w:vAlign w:val="bottom"/>
          </w:tcPr>
          <w:p w:rsidR="00A01211" w:rsidRPr="00D56C84" w:rsidRDefault="00A01211" w:rsidP="00A01211">
            <w:pPr>
              <w:pStyle w:val="TableText"/>
              <w:rPr>
                <w:lang w:eastAsia="en-AU"/>
              </w:rPr>
            </w:pPr>
            <w:r w:rsidRPr="00D56C84">
              <w:rPr>
                <w:lang w:eastAsia="en-AU"/>
              </w:rPr>
              <w:t>81</w:t>
            </w:r>
          </w:p>
        </w:tc>
      </w:tr>
    </w:tbl>
    <w:p w:rsidR="00A01211" w:rsidRPr="00D56C84" w:rsidRDefault="00A01211" w:rsidP="00A01211">
      <w:pPr>
        <w:pStyle w:val="ParaIndent"/>
      </w:pPr>
    </w:p>
    <w:p w:rsidR="00A01211" w:rsidRPr="00D56C84" w:rsidRDefault="00A01211" w:rsidP="00EF60AB">
      <w:pPr>
        <w:pStyle w:val="ParaIndent"/>
        <w:jc w:val="both"/>
      </w:pPr>
      <w:r w:rsidRPr="00D56C84">
        <w:rPr>
          <w:rFonts w:eastAsia="SimSun" w:cs="Arial"/>
          <w:color w:val="000000"/>
          <w:lang w:eastAsia="zh-CN"/>
        </w:rPr>
        <w:t>All but one of the 152 NSW local governments provide</w:t>
      </w:r>
      <w:r w:rsidR="00BE15A2" w:rsidRPr="00D56C84">
        <w:rPr>
          <w:rFonts w:eastAsia="SimSun" w:cs="Arial"/>
          <w:color w:val="000000"/>
          <w:lang w:eastAsia="zh-CN"/>
        </w:rPr>
        <w:t>s</w:t>
      </w:r>
      <w:r w:rsidRPr="00D56C84">
        <w:rPr>
          <w:rFonts w:eastAsia="SimSun" w:cs="Arial"/>
          <w:color w:val="000000"/>
          <w:lang w:eastAsia="zh-CN"/>
        </w:rPr>
        <w:t xml:space="preserve"> a kerbside garbage collection, 83% also offer recyclables service</w:t>
      </w:r>
      <w:r w:rsidR="00EF60AB">
        <w:rPr>
          <w:rFonts w:eastAsia="SimSun" w:cs="Arial"/>
          <w:color w:val="000000"/>
          <w:lang w:eastAsia="zh-CN"/>
        </w:rPr>
        <w:t>s</w:t>
      </w:r>
      <w:r w:rsidRPr="00D56C84">
        <w:rPr>
          <w:rFonts w:eastAsia="SimSun" w:cs="Arial"/>
          <w:color w:val="000000"/>
          <w:lang w:eastAsia="zh-CN"/>
        </w:rPr>
        <w:t xml:space="preserve"> to </w:t>
      </w:r>
      <w:r w:rsidRPr="00D56C84">
        <w:t>residents, with 42% offering a green waste collection.</w:t>
      </w:r>
    </w:p>
    <w:p w:rsidR="00A01211" w:rsidRPr="00D56C84" w:rsidRDefault="00BE15A2" w:rsidP="00EF60AB">
      <w:pPr>
        <w:pStyle w:val="ParaIndent"/>
        <w:jc w:val="both"/>
      </w:pPr>
      <w:r w:rsidRPr="00D56C84">
        <w:rPr>
          <w:rFonts w:cs="Arial"/>
          <w:lang w:eastAsia="en-AU"/>
        </w:rPr>
        <w:t>Across those 150 councils that do offer kerbside waste collection, a</w:t>
      </w:r>
      <w:r w:rsidR="00A01211" w:rsidRPr="00D56C84">
        <w:rPr>
          <w:rFonts w:cs="Arial"/>
          <w:lang w:eastAsia="en-AU"/>
        </w:rPr>
        <w:t>n average of 631kg of residual waste was collected.</w:t>
      </w:r>
      <w:r w:rsidR="00A01211" w:rsidRPr="00D56C84">
        <w:t xml:space="preserve"> Collection amounts and diversion rates across the state</w:t>
      </w:r>
      <w:r w:rsidRPr="00D56C84">
        <w:t>,</w:t>
      </w:r>
      <w:r w:rsidR="00A01211" w:rsidRPr="00D56C84">
        <w:t xml:space="preserve"> and in </w:t>
      </w:r>
      <w:r w:rsidRPr="00D56C84">
        <w:t xml:space="preserve">the various </w:t>
      </w:r>
      <w:r w:rsidR="00A01211" w:rsidRPr="00D56C84">
        <w:t>regulated areas</w:t>
      </w:r>
      <w:r w:rsidRPr="00D56C84">
        <w:t>,</w:t>
      </w:r>
      <w:r w:rsidR="00A01211" w:rsidRPr="00D56C84">
        <w:t xml:space="preserve"> are summarised in </w:t>
      </w:r>
      <w:fldSimple w:instr=" REF _Ref299536411 \h  \* MERGEFORMAT ">
        <w:r w:rsidR="00166111" w:rsidRPr="00D56C84">
          <w:t xml:space="preserve">Table </w:t>
        </w:r>
        <w:r w:rsidR="00166111">
          <w:rPr>
            <w:noProof/>
          </w:rPr>
          <w:t>6</w:t>
        </w:r>
        <w:r w:rsidR="00166111" w:rsidRPr="00D56C84">
          <w:rPr>
            <w:noProof/>
          </w:rPr>
          <w:t>-</w:t>
        </w:r>
        <w:r w:rsidR="00166111">
          <w:rPr>
            <w:noProof/>
          </w:rPr>
          <w:t>11</w:t>
        </w:r>
      </w:fldSimple>
      <w:r w:rsidR="00A01211" w:rsidRPr="00D56C84">
        <w:t>. Diversion rates achieved by NSW councils ranged from 79.9% (Coffs Harbour) down to 0.5% (Bland Shire Council).</w:t>
      </w:r>
    </w:p>
    <w:p w:rsidR="00A01211" w:rsidRPr="00D56C84" w:rsidRDefault="00A01211" w:rsidP="00A01211">
      <w:pPr>
        <w:pStyle w:val="Caption"/>
      </w:pPr>
      <w:bookmarkStart w:id="54" w:name="_Ref299536411"/>
      <w:r w:rsidRPr="00D56C84">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11</w:t>
      </w:r>
      <w:r w:rsidR="00ED6CA0">
        <w:rPr>
          <w:noProof/>
        </w:rPr>
        <w:fldChar w:fldCharType="end"/>
      </w:r>
      <w:bookmarkEnd w:id="54"/>
      <w:r w:rsidRPr="00D56C84">
        <w:tab/>
        <w:t>Average amounts of waste, recycling and organics collected per household</w:t>
      </w:r>
      <w:r w:rsidR="00FB31B5">
        <w:rPr>
          <w:rStyle w:val="FootnoteReference"/>
        </w:rPr>
        <w:footnoteReference w:id="7"/>
      </w:r>
      <w:r w:rsidRPr="00D56C84">
        <w:t xml:space="preserve"> and recovery rates, as reported in the </w:t>
      </w:r>
      <w:r w:rsidRPr="00D56C84">
        <w:rPr>
          <w:i/>
        </w:rPr>
        <w:t>NSW Local Government Waste and Resource Recovery Data Report 2009-2010.</w:t>
      </w:r>
    </w:p>
    <w:tbl>
      <w:tblPr>
        <w:tblStyle w:val="TableGrid"/>
        <w:tblW w:w="5001" w:type="pct"/>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1929"/>
        <w:gridCol w:w="1928"/>
        <w:gridCol w:w="1928"/>
        <w:gridCol w:w="1928"/>
        <w:gridCol w:w="1928"/>
      </w:tblGrid>
      <w:tr w:rsidR="00A01211" w:rsidRPr="00D56C84" w:rsidTr="00A01211">
        <w:tc>
          <w:tcPr>
            <w:tcW w:w="1000" w:type="pct"/>
            <w:shd w:val="clear" w:color="auto" w:fill="auto"/>
          </w:tcPr>
          <w:p w:rsidR="00A01211" w:rsidRPr="00D56C84" w:rsidRDefault="00A01211" w:rsidP="00A01211">
            <w:pPr>
              <w:pStyle w:val="TableHeading"/>
            </w:pPr>
          </w:p>
        </w:tc>
        <w:tc>
          <w:tcPr>
            <w:tcW w:w="1000" w:type="pct"/>
            <w:shd w:val="clear" w:color="auto" w:fill="auto"/>
          </w:tcPr>
          <w:p w:rsidR="00A01211" w:rsidRPr="00D56C84" w:rsidRDefault="00A01211" w:rsidP="00A01211">
            <w:pPr>
              <w:pStyle w:val="TableHeading"/>
            </w:pPr>
            <w:r w:rsidRPr="00D56C84">
              <w:t>Average Amount of Recycling Collected per Household (kg/week)</w:t>
            </w:r>
          </w:p>
        </w:tc>
        <w:tc>
          <w:tcPr>
            <w:tcW w:w="1000" w:type="pct"/>
            <w:shd w:val="clear" w:color="auto" w:fill="auto"/>
          </w:tcPr>
          <w:p w:rsidR="00A01211" w:rsidRPr="00D56C84" w:rsidRDefault="00A01211" w:rsidP="00A01211">
            <w:pPr>
              <w:pStyle w:val="TableHeading"/>
            </w:pPr>
            <w:r w:rsidRPr="00D56C84">
              <w:t>Average Amount of Garden Organics Collected per Household (kg/week)</w:t>
            </w:r>
          </w:p>
        </w:tc>
        <w:tc>
          <w:tcPr>
            <w:tcW w:w="1000" w:type="pct"/>
            <w:shd w:val="clear" w:color="auto" w:fill="auto"/>
          </w:tcPr>
          <w:p w:rsidR="00A01211" w:rsidRPr="00D56C84" w:rsidRDefault="00A01211" w:rsidP="00A01211">
            <w:pPr>
              <w:pStyle w:val="TableHeading"/>
            </w:pPr>
            <w:r w:rsidRPr="00D56C84">
              <w:t>Average Amount of Residual Waste Collected per Household (kg/week)</w:t>
            </w:r>
          </w:p>
        </w:tc>
        <w:tc>
          <w:tcPr>
            <w:tcW w:w="1000" w:type="pct"/>
          </w:tcPr>
          <w:p w:rsidR="00A01211" w:rsidRPr="00D56C84" w:rsidRDefault="00A01211" w:rsidP="00A01211">
            <w:pPr>
              <w:pStyle w:val="TableHeading"/>
            </w:pPr>
            <w:r w:rsidRPr="00D56C84">
              <w:t>Total Domestic Resource Recovery Rate (%)</w:t>
            </w:r>
          </w:p>
        </w:tc>
      </w:tr>
      <w:tr w:rsidR="00A01211" w:rsidRPr="00D56C84" w:rsidTr="00A01211">
        <w:tc>
          <w:tcPr>
            <w:tcW w:w="1000" w:type="pct"/>
            <w:shd w:val="clear" w:color="auto" w:fill="auto"/>
          </w:tcPr>
          <w:p w:rsidR="00A01211" w:rsidRPr="00D56C84" w:rsidRDefault="00A01211" w:rsidP="00A01211">
            <w:pPr>
              <w:pStyle w:val="TableText"/>
            </w:pPr>
            <w:r w:rsidRPr="00D56C84">
              <w:t>NSW</w:t>
            </w:r>
          </w:p>
        </w:tc>
        <w:tc>
          <w:tcPr>
            <w:tcW w:w="1000" w:type="pct"/>
            <w:shd w:val="clear" w:color="auto" w:fill="auto"/>
          </w:tcPr>
          <w:p w:rsidR="00A01211" w:rsidRPr="00D56C84" w:rsidRDefault="00A01211" w:rsidP="00A01211">
            <w:pPr>
              <w:pStyle w:val="TableText"/>
            </w:pPr>
            <w:r w:rsidRPr="00D56C84">
              <w:t>5.53</w:t>
            </w:r>
          </w:p>
        </w:tc>
        <w:tc>
          <w:tcPr>
            <w:tcW w:w="1000" w:type="pct"/>
            <w:shd w:val="clear" w:color="auto" w:fill="auto"/>
          </w:tcPr>
          <w:p w:rsidR="00A01211" w:rsidRPr="00D56C84" w:rsidRDefault="00A01211" w:rsidP="00A01211">
            <w:pPr>
              <w:pStyle w:val="TableText"/>
            </w:pPr>
            <w:r w:rsidRPr="00D56C84">
              <w:t>5.01</w:t>
            </w:r>
          </w:p>
        </w:tc>
        <w:tc>
          <w:tcPr>
            <w:tcW w:w="1000" w:type="pct"/>
            <w:shd w:val="clear" w:color="auto" w:fill="auto"/>
          </w:tcPr>
          <w:p w:rsidR="00A01211" w:rsidRPr="00D56C84" w:rsidRDefault="00A01211" w:rsidP="00A01211">
            <w:pPr>
              <w:pStyle w:val="TableText"/>
            </w:pPr>
            <w:r w:rsidRPr="00D56C84">
              <w:t>4.43</w:t>
            </w:r>
          </w:p>
        </w:tc>
        <w:tc>
          <w:tcPr>
            <w:tcW w:w="1000" w:type="pct"/>
          </w:tcPr>
          <w:p w:rsidR="00A01211" w:rsidRPr="00D56C84" w:rsidRDefault="00A01211" w:rsidP="00A01211">
            <w:pPr>
              <w:pStyle w:val="TableText"/>
            </w:pPr>
            <w:r w:rsidRPr="00D56C84">
              <w:t>45.1</w:t>
            </w:r>
          </w:p>
        </w:tc>
      </w:tr>
      <w:tr w:rsidR="00A01211" w:rsidRPr="00D56C84" w:rsidTr="00A01211">
        <w:tc>
          <w:tcPr>
            <w:tcW w:w="1000" w:type="pct"/>
            <w:shd w:val="clear" w:color="auto" w:fill="auto"/>
          </w:tcPr>
          <w:p w:rsidR="00A01211" w:rsidRPr="00D56C84" w:rsidRDefault="00A01211" w:rsidP="00A01211">
            <w:pPr>
              <w:pStyle w:val="TableText"/>
            </w:pPr>
            <w:r w:rsidRPr="00D56C84">
              <w:t>SMA</w:t>
            </w:r>
          </w:p>
        </w:tc>
        <w:tc>
          <w:tcPr>
            <w:tcW w:w="1000" w:type="pct"/>
            <w:shd w:val="clear" w:color="auto" w:fill="auto"/>
          </w:tcPr>
          <w:p w:rsidR="00A01211" w:rsidRPr="00D56C84" w:rsidRDefault="00A01211" w:rsidP="00A01211">
            <w:pPr>
              <w:pStyle w:val="TableText"/>
            </w:pPr>
            <w:r w:rsidRPr="00D56C84">
              <w:t>5.55</w:t>
            </w:r>
          </w:p>
        </w:tc>
        <w:tc>
          <w:tcPr>
            <w:tcW w:w="1000" w:type="pct"/>
            <w:shd w:val="clear" w:color="auto" w:fill="auto"/>
          </w:tcPr>
          <w:p w:rsidR="00A01211" w:rsidRPr="00D56C84" w:rsidRDefault="00A01211" w:rsidP="00A01211">
            <w:pPr>
              <w:pStyle w:val="TableText"/>
            </w:pPr>
            <w:r w:rsidRPr="00D56C84">
              <w:t>4.8</w:t>
            </w:r>
          </w:p>
        </w:tc>
        <w:tc>
          <w:tcPr>
            <w:tcW w:w="1000" w:type="pct"/>
            <w:shd w:val="clear" w:color="auto" w:fill="auto"/>
          </w:tcPr>
          <w:p w:rsidR="00A01211" w:rsidRPr="00D56C84" w:rsidRDefault="00A01211" w:rsidP="00A01211">
            <w:pPr>
              <w:pStyle w:val="TableText"/>
            </w:pPr>
            <w:r w:rsidRPr="00D56C84">
              <w:t>4.34</w:t>
            </w:r>
          </w:p>
        </w:tc>
        <w:tc>
          <w:tcPr>
            <w:tcW w:w="1000" w:type="pct"/>
          </w:tcPr>
          <w:p w:rsidR="00A01211" w:rsidRPr="00D56C84" w:rsidRDefault="00A01211" w:rsidP="00A01211">
            <w:pPr>
              <w:pStyle w:val="TableText"/>
            </w:pPr>
            <w:r w:rsidRPr="00D56C84">
              <w:t>48.5</w:t>
            </w:r>
          </w:p>
        </w:tc>
      </w:tr>
      <w:tr w:rsidR="00A01211" w:rsidRPr="00D56C84" w:rsidTr="00A01211">
        <w:tc>
          <w:tcPr>
            <w:tcW w:w="1000" w:type="pct"/>
            <w:shd w:val="clear" w:color="auto" w:fill="auto"/>
          </w:tcPr>
          <w:p w:rsidR="00A01211" w:rsidRPr="00D56C84" w:rsidRDefault="00A01211" w:rsidP="00A01211">
            <w:pPr>
              <w:pStyle w:val="TableText"/>
            </w:pPr>
            <w:r w:rsidRPr="00D56C84">
              <w:t>ERA</w:t>
            </w:r>
          </w:p>
        </w:tc>
        <w:tc>
          <w:tcPr>
            <w:tcW w:w="1000" w:type="pct"/>
            <w:shd w:val="clear" w:color="auto" w:fill="auto"/>
          </w:tcPr>
          <w:p w:rsidR="00A01211" w:rsidRPr="00D56C84" w:rsidRDefault="00A01211" w:rsidP="00A01211">
            <w:pPr>
              <w:pStyle w:val="TableText"/>
            </w:pPr>
            <w:r w:rsidRPr="00D56C84">
              <w:t>5.37</w:t>
            </w:r>
          </w:p>
        </w:tc>
        <w:tc>
          <w:tcPr>
            <w:tcW w:w="1000" w:type="pct"/>
            <w:shd w:val="clear" w:color="auto" w:fill="auto"/>
          </w:tcPr>
          <w:p w:rsidR="00A01211" w:rsidRPr="00D56C84" w:rsidRDefault="00A01211" w:rsidP="00A01211">
            <w:pPr>
              <w:pStyle w:val="TableText"/>
            </w:pPr>
            <w:r w:rsidRPr="00D56C84">
              <w:t>5.8</w:t>
            </w:r>
          </w:p>
        </w:tc>
        <w:tc>
          <w:tcPr>
            <w:tcW w:w="1000" w:type="pct"/>
            <w:shd w:val="clear" w:color="auto" w:fill="auto"/>
          </w:tcPr>
          <w:p w:rsidR="00A01211" w:rsidRPr="00D56C84" w:rsidRDefault="00A01211" w:rsidP="00A01211">
            <w:pPr>
              <w:pStyle w:val="TableText"/>
            </w:pPr>
            <w:r w:rsidRPr="00D56C84">
              <w:t>4.83</w:t>
            </w:r>
          </w:p>
        </w:tc>
        <w:tc>
          <w:tcPr>
            <w:tcW w:w="1000" w:type="pct"/>
          </w:tcPr>
          <w:p w:rsidR="00A01211" w:rsidRPr="00D56C84" w:rsidRDefault="00A01211" w:rsidP="00A01211">
            <w:pPr>
              <w:pStyle w:val="TableText"/>
            </w:pPr>
            <w:r w:rsidRPr="00D56C84">
              <w:t>43.3</w:t>
            </w:r>
          </w:p>
        </w:tc>
      </w:tr>
      <w:tr w:rsidR="00A01211" w:rsidRPr="00D56C84" w:rsidTr="00A01211">
        <w:tc>
          <w:tcPr>
            <w:tcW w:w="1000" w:type="pct"/>
            <w:shd w:val="clear" w:color="auto" w:fill="auto"/>
          </w:tcPr>
          <w:p w:rsidR="00A01211" w:rsidRPr="00D56C84" w:rsidRDefault="00A01211" w:rsidP="00A01211">
            <w:pPr>
              <w:pStyle w:val="TableText"/>
            </w:pPr>
            <w:r w:rsidRPr="00D56C84">
              <w:t>RRA</w:t>
            </w:r>
          </w:p>
        </w:tc>
        <w:tc>
          <w:tcPr>
            <w:tcW w:w="1000" w:type="pct"/>
            <w:shd w:val="clear" w:color="auto" w:fill="auto"/>
          </w:tcPr>
          <w:p w:rsidR="00A01211" w:rsidRPr="00D56C84" w:rsidRDefault="00A01211" w:rsidP="00A01211">
            <w:pPr>
              <w:pStyle w:val="TableText"/>
            </w:pPr>
            <w:r w:rsidRPr="00D56C84">
              <w:t>5.78</w:t>
            </w:r>
          </w:p>
        </w:tc>
        <w:tc>
          <w:tcPr>
            <w:tcW w:w="1000" w:type="pct"/>
            <w:shd w:val="clear" w:color="auto" w:fill="auto"/>
          </w:tcPr>
          <w:p w:rsidR="00A01211" w:rsidRPr="00D56C84" w:rsidRDefault="00A01211" w:rsidP="00A01211">
            <w:pPr>
              <w:pStyle w:val="TableText"/>
            </w:pPr>
            <w:r w:rsidRPr="00D56C84">
              <w:t>6.05</w:t>
            </w:r>
          </w:p>
        </w:tc>
        <w:tc>
          <w:tcPr>
            <w:tcW w:w="1000" w:type="pct"/>
            <w:shd w:val="clear" w:color="auto" w:fill="auto"/>
          </w:tcPr>
          <w:p w:rsidR="00A01211" w:rsidRPr="00D56C84" w:rsidRDefault="00A01211" w:rsidP="00A01211">
            <w:pPr>
              <w:pStyle w:val="TableText"/>
            </w:pPr>
            <w:r w:rsidRPr="00D56C84">
              <w:t>4.31</w:t>
            </w:r>
          </w:p>
        </w:tc>
        <w:tc>
          <w:tcPr>
            <w:tcW w:w="1000" w:type="pct"/>
          </w:tcPr>
          <w:p w:rsidR="00A01211" w:rsidRPr="00D56C84" w:rsidRDefault="00A01211" w:rsidP="00A01211">
            <w:pPr>
              <w:pStyle w:val="TableText"/>
            </w:pPr>
            <w:r w:rsidRPr="00D56C84">
              <w:t>49.3</w:t>
            </w:r>
          </w:p>
        </w:tc>
      </w:tr>
      <w:tr w:rsidR="00A01211" w:rsidRPr="00D56C84" w:rsidTr="00A01211">
        <w:tc>
          <w:tcPr>
            <w:tcW w:w="1000" w:type="pct"/>
            <w:shd w:val="clear" w:color="auto" w:fill="auto"/>
          </w:tcPr>
          <w:p w:rsidR="00A01211" w:rsidRPr="00D56C84" w:rsidRDefault="00A01211" w:rsidP="00A01211">
            <w:pPr>
              <w:pStyle w:val="TableText"/>
            </w:pPr>
            <w:r w:rsidRPr="00D56C84">
              <w:t>Rest of the State</w:t>
            </w:r>
          </w:p>
        </w:tc>
        <w:tc>
          <w:tcPr>
            <w:tcW w:w="1000" w:type="pct"/>
            <w:shd w:val="clear" w:color="auto" w:fill="auto"/>
          </w:tcPr>
          <w:p w:rsidR="00A01211" w:rsidRPr="00D56C84" w:rsidRDefault="00A01211" w:rsidP="00A01211">
            <w:pPr>
              <w:pStyle w:val="TableText"/>
            </w:pPr>
            <w:r w:rsidRPr="00D56C84">
              <w:t>5.48</w:t>
            </w:r>
          </w:p>
        </w:tc>
        <w:tc>
          <w:tcPr>
            <w:tcW w:w="1000" w:type="pct"/>
            <w:shd w:val="clear" w:color="auto" w:fill="auto"/>
          </w:tcPr>
          <w:p w:rsidR="00A01211" w:rsidRPr="00D56C84" w:rsidRDefault="00A01211" w:rsidP="00A01211">
            <w:pPr>
              <w:pStyle w:val="TableText"/>
            </w:pPr>
            <w:r w:rsidRPr="00D56C84">
              <w:t>3.79</w:t>
            </w:r>
          </w:p>
        </w:tc>
        <w:tc>
          <w:tcPr>
            <w:tcW w:w="1000" w:type="pct"/>
            <w:shd w:val="clear" w:color="auto" w:fill="auto"/>
          </w:tcPr>
          <w:p w:rsidR="00A01211" w:rsidRPr="00D56C84" w:rsidRDefault="00A01211" w:rsidP="00A01211">
            <w:pPr>
              <w:pStyle w:val="TableText"/>
            </w:pPr>
            <w:r w:rsidRPr="00D56C84">
              <w:t>4.33</w:t>
            </w:r>
          </w:p>
        </w:tc>
        <w:tc>
          <w:tcPr>
            <w:tcW w:w="1000" w:type="pct"/>
          </w:tcPr>
          <w:p w:rsidR="00A01211" w:rsidRPr="00D56C84" w:rsidRDefault="00A01211" w:rsidP="00A01211">
            <w:pPr>
              <w:pStyle w:val="TableText"/>
            </w:pPr>
            <w:r w:rsidRPr="00D56C84">
              <w:t>32.9</w:t>
            </w:r>
          </w:p>
        </w:tc>
      </w:tr>
    </w:tbl>
    <w:p w:rsidR="00A01211" w:rsidRPr="00D56C84" w:rsidRDefault="00A01211" w:rsidP="00A01211">
      <w:pPr>
        <w:pStyle w:val="ParaIndent"/>
      </w:pPr>
    </w:p>
    <w:p w:rsidR="00A01211" w:rsidRPr="00D56C84" w:rsidRDefault="00A01211" w:rsidP="00EF60AB">
      <w:pPr>
        <w:pStyle w:val="ParaIndent"/>
        <w:jc w:val="both"/>
      </w:pPr>
      <w:r w:rsidRPr="00D56C84">
        <w:t xml:space="preserve">A </w:t>
      </w:r>
      <w:r w:rsidR="008C2C5A" w:rsidRPr="00D56C84">
        <w:t>total of</w:t>
      </w:r>
      <w:r w:rsidRPr="00D56C84">
        <w:t xml:space="preserve"> 148,415 tonnes of residual waste was </w:t>
      </w:r>
      <w:r w:rsidR="008C2C5A" w:rsidRPr="00D56C84">
        <w:t xml:space="preserve">reported as being </w:t>
      </w:r>
      <w:r w:rsidR="00BE15A2" w:rsidRPr="00D56C84">
        <w:t>processed</w:t>
      </w:r>
      <w:r w:rsidR="008C2C5A" w:rsidRPr="00D56C84">
        <w:t xml:space="preserve"> through</w:t>
      </w:r>
      <w:r w:rsidR="00BE15A2" w:rsidRPr="00D56C84">
        <w:t xml:space="preserve"> </w:t>
      </w:r>
      <w:r w:rsidRPr="00D56C84">
        <w:t xml:space="preserve">AWT </w:t>
      </w:r>
      <w:r w:rsidR="00BE15A2" w:rsidRPr="00D56C84">
        <w:t>facilities</w:t>
      </w:r>
      <w:r w:rsidRPr="00D56C84">
        <w:t xml:space="preserve"> in 2009</w:t>
      </w:r>
      <w:r w:rsidR="00F62472">
        <w:t>–</w:t>
      </w:r>
      <w:r w:rsidRPr="00D56C84">
        <w:t xml:space="preserve">10, which represents 9% of the total </w:t>
      </w:r>
      <w:r w:rsidR="00BE15A2" w:rsidRPr="00D56C84">
        <w:t>tonnes</w:t>
      </w:r>
      <w:r w:rsidRPr="00D56C84">
        <w:t xml:space="preserve"> of residual </w:t>
      </w:r>
      <w:r w:rsidR="008C2C5A" w:rsidRPr="00D56C84">
        <w:t xml:space="preserve">municipal </w:t>
      </w:r>
      <w:r w:rsidRPr="00D56C84">
        <w:t>waste collected that year.</w:t>
      </w:r>
    </w:p>
    <w:p w:rsidR="00EF60AB" w:rsidRDefault="00ED6CA0" w:rsidP="00D63836">
      <w:pPr>
        <w:pStyle w:val="ParaIndent"/>
        <w:jc w:val="both"/>
      </w:pPr>
      <w:r>
        <w:fldChar w:fldCharType="begin"/>
      </w:r>
      <w:r w:rsidR="00471613">
        <w:instrText xml:space="preserve"> REF _Ref307470662 \h </w:instrText>
      </w:r>
      <w:r>
        <w:fldChar w:fldCharType="separate"/>
      </w:r>
      <w:r w:rsidR="00166111" w:rsidRPr="00D56C84">
        <w:t xml:space="preserve">Table </w:t>
      </w:r>
      <w:r w:rsidR="00166111">
        <w:rPr>
          <w:noProof/>
        </w:rPr>
        <w:t>6</w:t>
      </w:r>
      <w:r w:rsidR="00166111" w:rsidRPr="00D56C84">
        <w:t>-</w:t>
      </w:r>
      <w:r w:rsidR="00166111">
        <w:rPr>
          <w:noProof/>
        </w:rPr>
        <w:t>12</w:t>
      </w:r>
      <w:r>
        <w:fldChar w:fldCharType="end"/>
      </w:r>
      <w:r w:rsidR="00471613">
        <w:t xml:space="preserve"> </w:t>
      </w:r>
      <w:r w:rsidR="00A01211" w:rsidRPr="00D56C84">
        <w:t xml:space="preserve">summarises the average domestic waste management rates NSW councils charge for waste, recycling and green organics collections. </w:t>
      </w:r>
      <w:bookmarkStart w:id="55" w:name="_Ref301858194"/>
      <w:bookmarkStart w:id="56" w:name="_Ref301858189"/>
    </w:p>
    <w:p w:rsidR="00A01211" w:rsidRPr="00D56C84" w:rsidRDefault="00A01211" w:rsidP="00A01211">
      <w:pPr>
        <w:pStyle w:val="Caption"/>
      </w:pPr>
      <w:bookmarkStart w:id="57" w:name="_Ref307470662"/>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12</w:t>
      </w:r>
      <w:r w:rsidR="00ED6CA0">
        <w:rPr>
          <w:noProof/>
        </w:rPr>
        <w:fldChar w:fldCharType="end"/>
      </w:r>
      <w:bookmarkEnd w:id="55"/>
      <w:bookmarkEnd w:id="57"/>
      <w:r w:rsidRPr="00D56C84">
        <w:tab/>
        <w:t xml:space="preserve">Average NSW domestic waste management charges for </w:t>
      </w:r>
      <w:r w:rsidRPr="00D56C84">
        <w:rPr>
          <w:rFonts w:cs="Arial"/>
          <w:lang w:eastAsia="en-AU"/>
        </w:rPr>
        <w:t xml:space="preserve">each parcel of rateable land for which the service is available, </w:t>
      </w:r>
      <w:r w:rsidRPr="00D56C84">
        <w:t xml:space="preserve">as reported in </w:t>
      </w:r>
      <w:r w:rsidRPr="00D56C84">
        <w:rPr>
          <w:i/>
        </w:rPr>
        <w:t>NSW Local Government Waste and</w:t>
      </w:r>
      <w:r w:rsidR="00BE15A2" w:rsidRPr="00D56C84">
        <w:rPr>
          <w:i/>
        </w:rPr>
        <w:t xml:space="preserve"> Resource Recovery Data Report </w:t>
      </w:r>
      <w:r w:rsidRPr="00D56C84">
        <w:rPr>
          <w:i/>
        </w:rPr>
        <w:t>2009-2010</w:t>
      </w:r>
      <w:bookmarkEnd w:id="56"/>
    </w:p>
    <w:tbl>
      <w:tblPr>
        <w:tblStyle w:val="TableGrid"/>
        <w:tblW w:w="0" w:type="auto"/>
        <w:tblInd w:w="1195"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1499"/>
        <w:gridCol w:w="2470"/>
      </w:tblGrid>
      <w:tr w:rsidR="00A01211" w:rsidRPr="00D56C84" w:rsidTr="00A31D03">
        <w:tc>
          <w:tcPr>
            <w:tcW w:w="1499" w:type="dxa"/>
            <w:shd w:val="clear" w:color="auto" w:fill="auto"/>
          </w:tcPr>
          <w:p w:rsidR="00A01211" w:rsidRPr="00D56C84" w:rsidRDefault="00A01211" w:rsidP="00A01211">
            <w:pPr>
              <w:pStyle w:val="TableHeading"/>
            </w:pPr>
          </w:p>
        </w:tc>
        <w:tc>
          <w:tcPr>
            <w:tcW w:w="2470" w:type="dxa"/>
            <w:shd w:val="clear" w:color="auto" w:fill="auto"/>
          </w:tcPr>
          <w:p w:rsidR="00A01211" w:rsidRPr="00D56C84" w:rsidRDefault="00A01211" w:rsidP="00A01211">
            <w:pPr>
              <w:pStyle w:val="TableHeading"/>
            </w:pPr>
            <w:r w:rsidRPr="00D56C84">
              <w:t>Average Domestic Waste Management Charge ($)</w:t>
            </w:r>
          </w:p>
        </w:tc>
      </w:tr>
      <w:tr w:rsidR="00A01211" w:rsidRPr="00D56C84" w:rsidTr="00A31D03">
        <w:tc>
          <w:tcPr>
            <w:tcW w:w="1499" w:type="dxa"/>
            <w:shd w:val="clear" w:color="auto" w:fill="auto"/>
          </w:tcPr>
          <w:p w:rsidR="00A01211" w:rsidRPr="00D56C84" w:rsidRDefault="00A01211" w:rsidP="00A01211">
            <w:pPr>
              <w:pStyle w:val="TableText"/>
            </w:pPr>
            <w:r w:rsidRPr="00D56C84">
              <w:t>Residual Waste</w:t>
            </w:r>
          </w:p>
        </w:tc>
        <w:tc>
          <w:tcPr>
            <w:tcW w:w="2470" w:type="dxa"/>
            <w:shd w:val="clear" w:color="auto" w:fill="auto"/>
          </w:tcPr>
          <w:p w:rsidR="00A01211" w:rsidRPr="00D56C84" w:rsidRDefault="00A01211" w:rsidP="00A31D03">
            <w:pPr>
              <w:pStyle w:val="TableText"/>
              <w:jc w:val="center"/>
            </w:pPr>
            <w:r w:rsidRPr="00D56C84">
              <w:t>107.44</w:t>
            </w:r>
          </w:p>
        </w:tc>
      </w:tr>
      <w:tr w:rsidR="00A01211" w:rsidRPr="00D56C84" w:rsidTr="00A31D03">
        <w:tc>
          <w:tcPr>
            <w:tcW w:w="1499" w:type="dxa"/>
            <w:shd w:val="clear" w:color="auto" w:fill="auto"/>
          </w:tcPr>
          <w:p w:rsidR="00A01211" w:rsidRPr="00D56C84" w:rsidRDefault="00A01211" w:rsidP="00A01211">
            <w:pPr>
              <w:pStyle w:val="TableText"/>
            </w:pPr>
            <w:r w:rsidRPr="00D56C84">
              <w:t>Recycling</w:t>
            </w:r>
          </w:p>
        </w:tc>
        <w:tc>
          <w:tcPr>
            <w:tcW w:w="2470" w:type="dxa"/>
            <w:shd w:val="clear" w:color="auto" w:fill="auto"/>
          </w:tcPr>
          <w:p w:rsidR="00A01211" w:rsidRPr="00D56C84" w:rsidRDefault="00A01211" w:rsidP="00A31D03">
            <w:pPr>
              <w:pStyle w:val="TableText"/>
              <w:jc w:val="center"/>
            </w:pPr>
            <w:r w:rsidRPr="00D56C84">
              <w:t>25.76</w:t>
            </w:r>
          </w:p>
        </w:tc>
      </w:tr>
      <w:tr w:rsidR="00A01211" w:rsidRPr="00D56C84" w:rsidTr="00A31D03">
        <w:tc>
          <w:tcPr>
            <w:tcW w:w="1499" w:type="dxa"/>
            <w:shd w:val="clear" w:color="auto" w:fill="auto"/>
          </w:tcPr>
          <w:p w:rsidR="00A01211" w:rsidRPr="00D56C84" w:rsidRDefault="00A01211" w:rsidP="00A01211">
            <w:pPr>
              <w:pStyle w:val="TableText"/>
            </w:pPr>
            <w:r w:rsidRPr="00D56C84">
              <w:t>Green organics</w:t>
            </w:r>
          </w:p>
        </w:tc>
        <w:tc>
          <w:tcPr>
            <w:tcW w:w="2470" w:type="dxa"/>
            <w:shd w:val="clear" w:color="auto" w:fill="auto"/>
          </w:tcPr>
          <w:p w:rsidR="00A01211" w:rsidRPr="00D56C84" w:rsidRDefault="00A01211" w:rsidP="00A31D03">
            <w:pPr>
              <w:pStyle w:val="TableText"/>
              <w:jc w:val="center"/>
            </w:pPr>
            <w:r w:rsidRPr="00D56C84">
              <w:t>16.48</w:t>
            </w:r>
          </w:p>
        </w:tc>
      </w:tr>
      <w:tr w:rsidR="00A01211" w:rsidRPr="00D56C84" w:rsidTr="00A31D03">
        <w:tc>
          <w:tcPr>
            <w:tcW w:w="1499" w:type="dxa"/>
            <w:shd w:val="clear" w:color="auto" w:fill="auto"/>
          </w:tcPr>
          <w:p w:rsidR="00A01211" w:rsidRPr="00D56C84" w:rsidRDefault="00A01211" w:rsidP="00A01211">
            <w:pPr>
              <w:pStyle w:val="TableText"/>
            </w:pPr>
            <w:r w:rsidRPr="00D56C84">
              <w:t>Overall</w:t>
            </w:r>
          </w:p>
        </w:tc>
        <w:tc>
          <w:tcPr>
            <w:tcW w:w="2470" w:type="dxa"/>
            <w:shd w:val="clear" w:color="auto" w:fill="auto"/>
          </w:tcPr>
          <w:p w:rsidR="00A01211" w:rsidRPr="00D56C84" w:rsidRDefault="00A01211" w:rsidP="00A31D03">
            <w:pPr>
              <w:pStyle w:val="TableText"/>
              <w:jc w:val="center"/>
            </w:pPr>
            <w:r w:rsidRPr="00D56C84">
              <w:t>262.76</w:t>
            </w:r>
          </w:p>
        </w:tc>
      </w:tr>
    </w:tbl>
    <w:p w:rsidR="00363B7C" w:rsidRDefault="00363B7C" w:rsidP="00A01211">
      <w:pPr>
        <w:pStyle w:val="ParaIndent"/>
      </w:pPr>
    </w:p>
    <w:p w:rsidR="00363B7C" w:rsidRDefault="00363B7C" w:rsidP="00EF60AB">
      <w:pPr>
        <w:pStyle w:val="Heading2"/>
        <w:spacing w:before="240"/>
      </w:pPr>
      <w:bookmarkStart w:id="58" w:name="_Toc307470431"/>
      <w:r>
        <w:t>Summary</w:t>
      </w:r>
      <w:r w:rsidR="00085D2C">
        <w:t xml:space="preserve"> - NSW</w:t>
      </w:r>
      <w:bookmarkEnd w:id="58"/>
    </w:p>
    <w:p w:rsidR="00476718" w:rsidRDefault="00476718" w:rsidP="00EF60AB">
      <w:pPr>
        <w:pStyle w:val="ParaIndent"/>
        <w:jc w:val="both"/>
      </w:pPr>
      <w:r>
        <w:t xml:space="preserve">Based on research for this </w:t>
      </w:r>
      <w:r w:rsidRPr="00776610">
        <w:t xml:space="preserve">report, </w:t>
      </w:r>
      <w:r w:rsidR="003264BE" w:rsidRPr="00776610">
        <w:t xml:space="preserve">considering the availability of information only, </w:t>
      </w:r>
      <w:r w:rsidRPr="00776610">
        <w:t>the degree</w:t>
      </w:r>
      <w:r>
        <w:t xml:space="preserve"> to which information about municipal waste and recycling in NSW meets the needs of users is </w:t>
      </w:r>
      <w:r w:rsidR="00085D2C">
        <w:t xml:space="preserve">generally </w:t>
      </w:r>
      <w:r>
        <w:t>considered to be HIGH.</w:t>
      </w:r>
    </w:p>
    <w:p w:rsidR="003804F4" w:rsidRDefault="00476718" w:rsidP="00EF60AB">
      <w:pPr>
        <w:pStyle w:val="ParaIndent"/>
        <w:jc w:val="both"/>
      </w:pPr>
      <w:r>
        <w:t xml:space="preserve">Key performance and service level information is made available at the LGA level, and there is a good coverage of responses across the state’s LGAs. </w:t>
      </w:r>
    </w:p>
    <w:p w:rsidR="00B23BCF" w:rsidRDefault="00ED6CA0" w:rsidP="00EF60AB">
      <w:pPr>
        <w:pStyle w:val="ParaIndent"/>
        <w:jc w:val="both"/>
      </w:pPr>
      <w:fldSimple w:instr=" REF _Ref301858229 \h  \* MERGEFORMAT ">
        <w:r w:rsidR="00166111">
          <w:t xml:space="preserve">Table </w:t>
        </w:r>
        <w:r w:rsidR="00166111">
          <w:rPr>
            <w:noProof/>
          </w:rPr>
          <w:t>6</w:t>
        </w:r>
        <w:r w:rsidR="00166111" w:rsidRPr="00D56C84">
          <w:rPr>
            <w:noProof/>
          </w:rPr>
          <w:t>-</w:t>
        </w:r>
        <w:r w:rsidR="00166111">
          <w:rPr>
            <w:noProof/>
          </w:rPr>
          <w:t>13</w:t>
        </w:r>
      </w:fldSimple>
      <w:r w:rsidR="00A35187">
        <w:t xml:space="preserve"> provides a comparison of the waste and recycling data collected </w:t>
      </w:r>
      <w:r w:rsidR="00A35187" w:rsidRPr="00776610">
        <w:t>by government bodies in NSW against the data which is made available to the public</w:t>
      </w:r>
      <w:r w:rsidR="00085D2C" w:rsidRPr="00776610">
        <w:t xml:space="preserve"> at an LGA-level</w:t>
      </w:r>
      <w:r w:rsidR="00A35187" w:rsidRPr="00776610">
        <w:t>.</w:t>
      </w:r>
      <w:r w:rsidR="00A31D03" w:rsidRPr="00776610">
        <w:t xml:space="preserve"> Note that the quality of available information has not been assessed.</w:t>
      </w:r>
    </w:p>
    <w:p w:rsidR="00B23BCF" w:rsidRDefault="00B23BCF">
      <w:pPr>
        <w:spacing w:after="0" w:line="240" w:lineRule="auto"/>
        <w:ind w:left="0"/>
      </w:pPr>
      <w:r>
        <w:br w:type="page"/>
      </w:r>
    </w:p>
    <w:p w:rsidR="00A35187" w:rsidRDefault="00A35187" w:rsidP="00A35187">
      <w:pPr>
        <w:pStyle w:val="TableHeading"/>
      </w:pPr>
      <w:bookmarkStart w:id="59" w:name="_Ref301858229"/>
      <w:r>
        <w:lastRenderedPageBreak/>
        <w:t xml:space="preserve">Table </w:t>
      </w:r>
      <w:r w:rsidR="00ED6CA0">
        <w:fldChar w:fldCharType="begin"/>
      </w:r>
      <w:r w:rsidR="006D5406">
        <w:instrText xml:space="preserve"> STYLEREF "_Heading1" \n </w:instrText>
      </w:r>
      <w:r w:rsidR="00ED6CA0">
        <w:fldChar w:fldCharType="separate"/>
      </w:r>
      <w:r w:rsidR="00166111">
        <w:rPr>
          <w:noProof/>
        </w:rPr>
        <w:t>6</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13</w:t>
      </w:r>
      <w:r w:rsidR="00ED6CA0">
        <w:rPr>
          <w:noProof/>
        </w:rPr>
        <w:fldChar w:fldCharType="end"/>
      </w:r>
      <w:bookmarkEnd w:id="59"/>
      <w:r>
        <w:rPr>
          <w:noProof/>
        </w:rPr>
        <w:tab/>
        <w:t>Summary of waste and recycling data collected in NSW versus data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A35187" w:rsidRPr="00DC4F78" w:rsidTr="00A35187">
        <w:trPr>
          <w:trHeight w:val="270"/>
          <w:tblHeader/>
        </w:trPr>
        <w:tc>
          <w:tcPr>
            <w:tcW w:w="2693" w:type="pct"/>
            <w:shd w:val="clear" w:color="auto" w:fill="auto"/>
            <w:noWrap/>
            <w:vAlign w:val="bottom"/>
            <w:hideMark/>
          </w:tcPr>
          <w:p w:rsidR="00A35187" w:rsidRPr="00A42A0E" w:rsidRDefault="00A35187" w:rsidP="00A35187">
            <w:pPr>
              <w:pStyle w:val="TableHeading"/>
              <w:rPr>
                <w:lang w:val="en-US"/>
              </w:rPr>
            </w:pPr>
            <w:r w:rsidRPr="00A42A0E">
              <w:rPr>
                <w:lang w:val="en-US"/>
              </w:rPr>
              <w:t> </w:t>
            </w:r>
          </w:p>
        </w:tc>
        <w:tc>
          <w:tcPr>
            <w:tcW w:w="980" w:type="pct"/>
          </w:tcPr>
          <w:p w:rsidR="00A35187" w:rsidRPr="00DC4F78" w:rsidRDefault="00A35187" w:rsidP="00A35187">
            <w:pPr>
              <w:pStyle w:val="TableHeading"/>
              <w:jc w:val="center"/>
              <w:rPr>
                <w:lang w:val="en-US"/>
              </w:rPr>
            </w:pPr>
            <w:r w:rsidRPr="00A42A0E">
              <w:rPr>
                <w:lang w:val="en-US"/>
              </w:rPr>
              <w:t>Data collected</w:t>
            </w:r>
          </w:p>
        </w:tc>
        <w:tc>
          <w:tcPr>
            <w:tcW w:w="1327" w:type="pct"/>
            <w:shd w:val="clear" w:color="auto" w:fill="auto"/>
            <w:noWrap/>
            <w:vAlign w:val="bottom"/>
            <w:hideMark/>
          </w:tcPr>
          <w:p w:rsidR="00A35187" w:rsidRPr="00DC4F78" w:rsidRDefault="00A35187" w:rsidP="00A35187">
            <w:pPr>
              <w:pStyle w:val="TableHeading"/>
              <w:jc w:val="center"/>
              <w:rPr>
                <w:lang w:val="en-US"/>
              </w:rPr>
            </w:pPr>
            <w:r w:rsidRPr="00A42A0E">
              <w:rPr>
                <w:lang w:val="en-US"/>
              </w:rPr>
              <w:t>Data available</w:t>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18" name="Picture 1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52" name="Picture 25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Collection frequencies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20" name="Picture 12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54" name="Picture 25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Bin sizes/ types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22" name="Picture 12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56" name="Picture 25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24" name="Picture 12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58" name="Picture 25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26" name="Picture 12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60" name="Picture 26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347" name="Picture 34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62" name="Picture 26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61" name="Picture 16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278" name="Picture 27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infrastructure</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63" name="Picture 16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79" name="Picture 17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costs/ expenditure</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65" name="Picture 16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0" name="Picture 18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Contractor information</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67" name="Picture 16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00" name="Picture 10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charges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69" name="Picture 16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03" name="Picture 10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Hard waste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71" name="Picture 17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1" name="Picture 18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Litter/ illegal dumping</w:t>
            </w:r>
          </w:p>
        </w:tc>
        <w:tc>
          <w:tcPr>
            <w:tcW w:w="980" w:type="pct"/>
            <w:vAlign w:val="center"/>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2" name="Picture 18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07" name="Picture 10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320"/>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Public Place Collections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83" name="Picture 18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4" name="Picture 18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Commercial &amp; Industrial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85" name="Picture 18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6" name="Picture 18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7" name="Picture 18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88" name="Picture 18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noWrap/>
            <w:vAlign w:val="center"/>
            <w:hideMark/>
          </w:tcPr>
          <w:p w:rsidR="00A35187" w:rsidRPr="00A42A0E" w:rsidRDefault="00A35187" w:rsidP="00A35187">
            <w:pPr>
              <w:pStyle w:val="TableText"/>
              <w:rPr>
                <w:b/>
                <w:bCs/>
                <w:lang w:val="en-US"/>
              </w:rPr>
            </w:pPr>
            <w:r w:rsidRPr="00A42A0E">
              <w:rPr>
                <w:b/>
                <w:bCs/>
                <w:lang w:val="en-US"/>
              </w:rPr>
              <w:t>Waste Audit Data</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190" name="Picture 19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191" name="Picture 19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A35187" w:rsidRPr="00A35187" w:rsidRDefault="00A35187" w:rsidP="00A35187">
      <w:pPr>
        <w:pStyle w:val="ParaIndent"/>
        <w:rPr>
          <w:sz w:val="14"/>
          <w:szCs w:val="14"/>
        </w:rPr>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Pr="00A35187">
        <w:rPr>
          <w:noProof/>
          <w:sz w:val="14"/>
          <w:szCs w:val="14"/>
          <w:lang w:eastAsia="en-AU"/>
        </w:rPr>
        <w:drawing>
          <wp:inline distT="0" distB="0" distL="0" distR="0">
            <wp:extent cx="209550" cy="209550"/>
            <wp:effectExtent l="0" t="0" r="0" b="0"/>
            <wp:docPr id="263" name="Picture 26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Pr="00A35187">
        <w:rPr>
          <w:noProof/>
          <w:sz w:val="14"/>
          <w:szCs w:val="14"/>
          <w:lang w:eastAsia="en-AU"/>
        </w:rPr>
        <w:drawing>
          <wp:inline distT="0" distB="0" distL="0" distR="0">
            <wp:extent cx="200025" cy="200025"/>
            <wp:effectExtent l="0" t="0" r="0" b="0"/>
            <wp:docPr id="264" name="Picture 26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Pr="00A35187">
        <w:rPr>
          <w:noProof/>
          <w:sz w:val="14"/>
          <w:szCs w:val="14"/>
          <w:lang w:eastAsia="en-AU"/>
        </w:rPr>
        <w:drawing>
          <wp:inline distT="0" distB="0" distL="0" distR="0">
            <wp:extent cx="200025" cy="200025"/>
            <wp:effectExtent l="0" t="0" r="0" b="0"/>
            <wp:docPr id="265" name="Picture 26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 </w:t>
      </w:r>
      <w:r w:rsidRPr="00A35187">
        <w:rPr>
          <w:sz w:val="14"/>
          <w:szCs w:val="14"/>
        </w:rPr>
        <w:br/>
      </w:r>
    </w:p>
    <w:p w:rsidR="00A35187" w:rsidRDefault="00A35187" w:rsidP="003804F4">
      <w:pPr>
        <w:pStyle w:val="ParaIndent"/>
      </w:pPr>
    </w:p>
    <w:p w:rsidR="00A35187" w:rsidRPr="003804F4" w:rsidRDefault="00A35187" w:rsidP="003804F4">
      <w:pPr>
        <w:pStyle w:val="ParaIndent"/>
      </w:pPr>
    </w:p>
    <w:p w:rsidR="00206AAC" w:rsidRPr="00D56C84" w:rsidRDefault="00206AAC">
      <w:pPr>
        <w:spacing w:after="0" w:line="240" w:lineRule="auto"/>
        <w:ind w:left="0"/>
      </w:pPr>
      <w:r w:rsidRPr="00D56C84">
        <w:br w:type="page"/>
      </w:r>
    </w:p>
    <w:p w:rsidR="001D5A8C" w:rsidRPr="00D56C84" w:rsidRDefault="00CF5BE5" w:rsidP="00C77697">
      <w:pPr>
        <w:pStyle w:val="Heading1"/>
      </w:pPr>
      <w:bookmarkStart w:id="60" w:name="_Ref293923522"/>
      <w:bookmarkStart w:id="61" w:name="_Toc307470432"/>
      <w:r w:rsidRPr="00D56C84">
        <w:lastRenderedPageBreak/>
        <w:t>Victoria</w:t>
      </w:r>
      <w:bookmarkEnd w:id="60"/>
      <w:bookmarkEnd w:id="61"/>
    </w:p>
    <w:p w:rsidR="00260024" w:rsidRPr="00D56C84" w:rsidRDefault="004A3CB6" w:rsidP="00D52723">
      <w:pPr>
        <w:pStyle w:val="ParaIndent"/>
        <w:jc w:val="both"/>
      </w:pPr>
      <w:r w:rsidRPr="00D56C84">
        <w:t xml:space="preserve">There are 79 Local Government </w:t>
      </w:r>
      <w:r w:rsidR="00260024" w:rsidRPr="00D56C84">
        <w:t>Areas in the state of Victoria</w:t>
      </w:r>
      <w:r w:rsidR="002A19A8" w:rsidRPr="00D56C84">
        <w:t>, with 30 of these (covering 78% of the state’s population) considered as metropolitan, 34 (22% of the population) considered regional, and 15 (5% of the population) considered remote</w:t>
      </w:r>
      <w:r w:rsidR="00260024" w:rsidRPr="00D56C84">
        <w:t xml:space="preserve">. As outlined in </w:t>
      </w:r>
      <w:fldSimple w:instr=" REF _Ref297117476 \h  \* MERGEFORMAT ">
        <w:r w:rsidR="00166111" w:rsidRPr="00D56C84">
          <w:t xml:space="preserve">Table </w:t>
        </w:r>
        <w:r w:rsidR="00166111">
          <w:rPr>
            <w:noProof/>
          </w:rPr>
          <w:t>4</w:t>
        </w:r>
        <w:r w:rsidR="00166111" w:rsidRPr="00D56C84">
          <w:rPr>
            <w:noProof/>
          </w:rPr>
          <w:t>-</w:t>
        </w:r>
        <w:r w:rsidR="00166111">
          <w:rPr>
            <w:noProof/>
          </w:rPr>
          <w:t>4</w:t>
        </w:r>
      </w:fldSimple>
      <w:r w:rsidR="00260024" w:rsidRPr="00D56C84">
        <w:t xml:space="preserve">, the availability of LGA-specific waste and recycling information is </w:t>
      </w:r>
      <w:r w:rsidR="002A19A8" w:rsidRPr="00D56C84">
        <w:t xml:space="preserve">generally </w:t>
      </w:r>
      <w:r w:rsidR="00260024" w:rsidRPr="00D56C84">
        <w:t>considered to be ‘high’ within this jurisdiction.</w:t>
      </w:r>
    </w:p>
    <w:p w:rsidR="00801138" w:rsidRPr="00D56C84" w:rsidRDefault="00260024" w:rsidP="00D52723">
      <w:pPr>
        <w:pStyle w:val="ParaIndent"/>
        <w:jc w:val="both"/>
      </w:pPr>
      <w:r w:rsidRPr="00D56C84">
        <w:t>This chapter provides an overview of the role of local government in this state in relation to waste management and recycling, as well as explaining the information reporting pathways for relevant information and providing an overview of council performance in terms of service provision, landfill diversion rates, and costs.</w:t>
      </w:r>
    </w:p>
    <w:p w:rsidR="00362E4A" w:rsidRPr="00D56C84" w:rsidRDefault="00362E4A" w:rsidP="00D52723">
      <w:pPr>
        <w:pStyle w:val="Heading2"/>
      </w:pPr>
      <w:bookmarkStart w:id="62" w:name="_Toc307470433"/>
      <w:r w:rsidRPr="00D56C84">
        <w:t>The role of local government</w:t>
      </w:r>
      <w:r w:rsidR="00085D2C">
        <w:t xml:space="preserve"> in Victoria</w:t>
      </w:r>
      <w:bookmarkEnd w:id="62"/>
    </w:p>
    <w:p w:rsidR="0099625B" w:rsidRPr="00D56C84" w:rsidRDefault="00A430A6" w:rsidP="00D52723">
      <w:pPr>
        <w:pStyle w:val="ParaIndent"/>
        <w:keepNext/>
        <w:tabs>
          <w:tab w:val="left" w:pos="7866"/>
        </w:tabs>
        <w:spacing w:after="60"/>
        <w:jc w:val="both"/>
      </w:pPr>
      <w:r w:rsidRPr="00D56C84">
        <w:t xml:space="preserve">The </w:t>
      </w:r>
      <w:r w:rsidR="00825115" w:rsidRPr="00D56C84">
        <w:t xml:space="preserve">only </w:t>
      </w:r>
      <w:r w:rsidRPr="00D56C84">
        <w:t xml:space="preserve">codification of local government’s </w:t>
      </w:r>
      <w:r w:rsidR="00825115" w:rsidRPr="00D56C84">
        <w:t xml:space="preserve">primary </w:t>
      </w:r>
      <w:r w:rsidRPr="00D56C84">
        <w:t xml:space="preserve">responsibilities with respect to waste management </w:t>
      </w:r>
      <w:r w:rsidR="0021790D" w:rsidRPr="00D56C84">
        <w:t xml:space="preserve">in Victoria </w:t>
      </w:r>
      <w:r w:rsidRPr="00D56C84">
        <w:t xml:space="preserve">is contained in the </w:t>
      </w:r>
      <w:r w:rsidR="0099625B" w:rsidRPr="001108C3">
        <w:rPr>
          <w:i/>
        </w:rPr>
        <w:t>Public Health and Wellbeing Act (2008</w:t>
      </w:r>
      <w:r w:rsidRPr="001108C3">
        <w:rPr>
          <w:i/>
        </w:rPr>
        <w:t>)</w:t>
      </w:r>
      <w:r w:rsidRPr="00D56C84">
        <w:t>.</w:t>
      </w:r>
    </w:p>
    <w:p w:rsidR="0099625B" w:rsidRPr="00D56C84" w:rsidRDefault="0099625B" w:rsidP="00D52723">
      <w:pPr>
        <w:pStyle w:val="ParaIndent"/>
        <w:keepNext/>
        <w:keepLines/>
        <w:spacing w:after="60"/>
        <w:ind w:left="1701"/>
        <w:jc w:val="both"/>
        <w:rPr>
          <w:b/>
          <w:sz w:val="18"/>
          <w:szCs w:val="18"/>
        </w:rPr>
      </w:pPr>
      <w:r w:rsidRPr="00D56C84">
        <w:rPr>
          <w:b/>
          <w:sz w:val="18"/>
          <w:szCs w:val="18"/>
        </w:rPr>
        <w:t>Section 24 functions of Councils</w:t>
      </w:r>
    </w:p>
    <w:p w:rsidR="0099625B" w:rsidRPr="00D56C84" w:rsidRDefault="0099625B" w:rsidP="00D52723">
      <w:pPr>
        <w:pStyle w:val="ParaIndent"/>
        <w:keepNext/>
        <w:keepLines/>
        <w:spacing w:after="60"/>
        <w:ind w:left="1701"/>
        <w:jc w:val="both"/>
        <w:rPr>
          <w:sz w:val="18"/>
          <w:szCs w:val="18"/>
        </w:rPr>
      </w:pPr>
      <w:r w:rsidRPr="00D56C84">
        <w:rPr>
          <w:sz w:val="18"/>
          <w:szCs w:val="18"/>
        </w:rPr>
        <w:t>The function of a Council under this Act is to seek to protect, improve and promote public health and wellbeing within the municipal district by-</w:t>
      </w:r>
    </w:p>
    <w:p w:rsidR="0099625B" w:rsidRPr="00D56C84" w:rsidRDefault="0099625B" w:rsidP="00D52723">
      <w:pPr>
        <w:pStyle w:val="ParaIndent"/>
        <w:keepNext/>
        <w:keepLines/>
        <w:spacing w:after="60"/>
        <w:ind w:left="1701"/>
        <w:jc w:val="both"/>
        <w:rPr>
          <w:sz w:val="18"/>
          <w:szCs w:val="18"/>
        </w:rPr>
      </w:pPr>
      <w:r w:rsidRPr="00D56C84">
        <w:rPr>
          <w:sz w:val="18"/>
          <w:szCs w:val="18"/>
        </w:rPr>
        <w:t>( ) ...</w:t>
      </w:r>
    </w:p>
    <w:p w:rsidR="0099625B" w:rsidRPr="00D56C84" w:rsidRDefault="0099625B" w:rsidP="00D52723">
      <w:pPr>
        <w:pStyle w:val="ParaIndent"/>
        <w:keepNext/>
        <w:keepLines/>
        <w:spacing w:after="60"/>
        <w:ind w:left="1701"/>
        <w:jc w:val="both"/>
        <w:rPr>
          <w:sz w:val="18"/>
          <w:szCs w:val="18"/>
        </w:rPr>
      </w:pPr>
      <w:r w:rsidRPr="00D56C84">
        <w:rPr>
          <w:sz w:val="18"/>
          <w:szCs w:val="18"/>
        </w:rPr>
        <w:t xml:space="preserve">(g) </w:t>
      </w:r>
      <w:proofErr w:type="gramStart"/>
      <w:r w:rsidRPr="00D56C84">
        <w:rPr>
          <w:sz w:val="18"/>
          <w:szCs w:val="18"/>
        </w:rPr>
        <w:t>ensuring</w:t>
      </w:r>
      <w:proofErr w:type="gramEnd"/>
      <w:r w:rsidRPr="00D56C84">
        <w:rPr>
          <w:sz w:val="18"/>
          <w:szCs w:val="18"/>
        </w:rPr>
        <w:t xml:space="preserve"> that the municipal district is maintained in a clean and sanitary condition.</w:t>
      </w:r>
    </w:p>
    <w:p w:rsidR="0099625B" w:rsidRPr="00D56C84" w:rsidRDefault="0099625B" w:rsidP="00D52723">
      <w:pPr>
        <w:pStyle w:val="ParaIndent"/>
        <w:keepLines/>
        <w:ind w:left="1701"/>
        <w:jc w:val="both"/>
        <w:rPr>
          <w:sz w:val="18"/>
          <w:szCs w:val="18"/>
        </w:rPr>
      </w:pPr>
      <w:r w:rsidRPr="00D56C84">
        <w:rPr>
          <w:sz w:val="18"/>
          <w:szCs w:val="18"/>
        </w:rPr>
        <w:t>( ) ...</w:t>
      </w:r>
    </w:p>
    <w:p w:rsidR="00A430A6" w:rsidRPr="00D56C84" w:rsidRDefault="00A430A6" w:rsidP="00D52723">
      <w:pPr>
        <w:pStyle w:val="ParaIndent"/>
        <w:keepNext/>
        <w:tabs>
          <w:tab w:val="left" w:pos="7866"/>
        </w:tabs>
        <w:spacing w:after="60"/>
        <w:jc w:val="both"/>
      </w:pPr>
      <w:r w:rsidRPr="00D56C84">
        <w:t>The broader waste management services offered by local government are undertaken un</w:t>
      </w:r>
      <w:r w:rsidR="00825115" w:rsidRPr="00D56C84">
        <w:t>d</w:t>
      </w:r>
      <w:r w:rsidRPr="00D56C84">
        <w:t xml:space="preserve">er the ‘broadly enabling’ </w:t>
      </w:r>
      <w:r w:rsidR="00825115" w:rsidRPr="00D56C84">
        <w:t xml:space="preserve">provisions of the </w:t>
      </w:r>
      <w:r w:rsidRPr="001108C3">
        <w:rPr>
          <w:i/>
        </w:rPr>
        <w:t>Local Government Act (1989)</w:t>
      </w:r>
      <w:r w:rsidRPr="00D56C84">
        <w:t>. The most relevant clause is:</w:t>
      </w:r>
    </w:p>
    <w:p w:rsidR="00A430A6" w:rsidRPr="00D56C84" w:rsidRDefault="00A430A6" w:rsidP="00D52723">
      <w:pPr>
        <w:pStyle w:val="ParaIndent"/>
        <w:keepNext/>
        <w:keepLines/>
        <w:spacing w:after="60"/>
        <w:ind w:left="1701"/>
        <w:jc w:val="both"/>
        <w:rPr>
          <w:b/>
          <w:sz w:val="18"/>
          <w:szCs w:val="18"/>
        </w:rPr>
      </w:pPr>
      <w:r w:rsidRPr="00D56C84">
        <w:rPr>
          <w:b/>
          <w:sz w:val="18"/>
          <w:szCs w:val="18"/>
        </w:rPr>
        <w:t xml:space="preserve">3E </w:t>
      </w:r>
      <w:proofErr w:type="gramStart"/>
      <w:r w:rsidRPr="00D56C84">
        <w:rPr>
          <w:b/>
          <w:sz w:val="18"/>
          <w:szCs w:val="18"/>
        </w:rPr>
        <w:t>What</w:t>
      </w:r>
      <w:proofErr w:type="gramEnd"/>
      <w:r w:rsidRPr="00D56C84">
        <w:rPr>
          <w:b/>
          <w:sz w:val="18"/>
          <w:szCs w:val="18"/>
        </w:rPr>
        <w:t xml:space="preserve"> are the functions of a Council?</w:t>
      </w:r>
    </w:p>
    <w:p w:rsidR="00A430A6" w:rsidRPr="00D56C84" w:rsidRDefault="00A430A6" w:rsidP="00D52723">
      <w:pPr>
        <w:pStyle w:val="ParaIndent"/>
        <w:keepNext/>
        <w:keepLines/>
        <w:spacing w:after="60"/>
        <w:ind w:left="1701"/>
        <w:jc w:val="both"/>
        <w:rPr>
          <w:sz w:val="18"/>
          <w:szCs w:val="18"/>
        </w:rPr>
      </w:pPr>
      <w:r w:rsidRPr="00D56C84">
        <w:rPr>
          <w:sz w:val="18"/>
          <w:szCs w:val="18"/>
        </w:rPr>
        <w:t>(1) The functions of a Council include—</w:t>
      </w:r>
    </w:p>
    <w:p w:rsidR="00A430A6" w:rsidRPr="00D56C84" w:rsidRDefault="00A430A6" w:rsidP="00D52723">
      <w:pPr>
        <w:pStyle w:val="ParaIndent"/>
        <w:keepNext/>
        <w:keepLines/>
        <w:spacing w:after="60"/>
        <w:ind w:left="1701"/>
        <w:jc w:val="both"/>
        <w:rPr>
          <w:sz w:val="18"/>
          <w:szCs w:val="18"/>
        </w:rPr>
      </w:pPr>
      <w:r w:rsidRPr="00D56C84">
        <w:rPr>
          <w:sz w:val="18"/>
          <w:szCs w:val="18"/>
        </w:rPr>
        <w:t>(a</w:t>
      </w:r>
      <w:proofErr w:type="gramStart"/>
      <w:r w:rsidRPr="00D56C84">
        <w:rPr>
          <w:sz w:val="18"/>
          <w:szCs w:val="18"/>
        </w:rPr>
        <w:t>) ...</w:t>
      </w:r>
      <w:proofErr w:type="gramEnd"/>
    </w:p>
    <w:p w:rsidR="00A430A6" w:rsidRPr="00D56C84" w:rsidRDefault="00A430A6" w:rsidP="00D52723">
      <w:pPr>
        <w:pStyle w:val="ParaIndent"/>
        <w:keepNext/>
        <w:keepLines/>
        <w:spacing w:after="60"/>
        <w:ind w:left="1701"/>
        <w:jc w:val="both"/>
        <w:rPr>
          <w:sz w:val="18"/>
          <w:szCs w:val="18"/>
        </w:rPr>
      </w:pPr>
      <w:r w:rsidRPr="00D56C84">
        <w:rPr>
          <w:sz w:val="18"/>
          <w:szCs w:val="18"/>
        </w:rPr>
        <w:t xml:space="preserve">(b) </w:t>
      </w:r>
      <w:proofErr w:type="gramStart"/>
      <w:r w:rsidRPr="00D56C84">
        <w:rPr>
          <w:sz w:val="18"/>
          <w:szCs w:val="18"/>
        </w:rPr>
        <w:t>planning</w:t>
      </w:r>
      <w:proofErr w:type="gramEnd"/>
      <w:r w:rsidRPr="00D56C84">
        <w:rPr>
          <w:sz w:val="18"/>
          <w:szCs w:val="18"/>
        </w:rPr>
        <w:t xml:space="preserve"> for and providing services and facilities for the local community;</w:t>
      </w:r>
    </w:p>
    <w:p w:rsidR="00A430A6" w:rsidRPr="00D56C84" w:rsidRDefault="00A430A6" w:rsidP="00D52723">
      <w:pPr>
        <w:pStyle w:val="ParaIndent"/>
        <w:keepNext/>
        <w:keepLines/>
        <w:spacing w:after="60"/>
        <w:ind w:left="1701"/>
        <w:jc w:val="both"/>
        <w:rPr>
          <w:sz w:val="18"/>
          <w:szCs w:val="18"/>
        </w:rPr>
      </w:pPr>
      <w:r w:rsidRPr="00D56C84">
        <w:rPr>
          <w:sz w:val="18"/>
          <w:szCs w:val="18"/>
        </w:rPr>
        <w:t xml:space="preserve">(c) </w:t>
      </w:r>
      <w:proofErr w:type="gramStart"/>
      <w:r w:rsidRPr="00D56C84">
        <w:rPr>
          <w:sz w:val="18"/>
          <w:szCs w:val="18"/>
        </w:rPr>
        <w:t>providing</w:t>
      </w:r>
      <w:proofErr w:type="gramEnd"/>
      <w:r w:rsidRPr="00D56C84">
        <w:rPr>
          <w:sz w:val="18"/>
          <w:szCs w:val="18"/>
        </w:rPr>
        <w:t xml:space="preserve"> and maintaining community infrastructure in the municipal district;</w:t>
      </w:r>
    </w:p>
    <w:p w:rsidR="00A430A6" w:rsidRPr="00D56C84" w:rsidRDefault="00825115" w:rsidP="00D52723">
      <w:pPr>
        <w:pStyle w:val="ParaIndent"/>
        <w:keepNext/>
        <w:keepLines/>
        <w:spacing w:after="60"/>
        <w:ind w:left="1701"/>
        <w:jc w:val="both"/>
        <w:rPr>
          <w:sz w:val="18"/>
          <w:szCs w:val="18"/>
        </w:rPr>
      </w:pPr>
      <w:r w:rsidRPr="00D56C84">
        <w:rPr>
          <w:sz w:val="18"/>
          <w:szCs w:val="18"/>
        </w:rPr>
        <w:t xml:space="preserve">( </w:t>
      </w:r>
      <w:r w:rsidR="00A430A6" w:rsidRPr="00D56C84">
        <w:rPr>
          <w:sz w:val="18"/>
          <w:szCs w:val="18"/>
        </w:rPr>
        <w:t xml:space="preserve">) </w:t>
      </w:r>
      <w:r w:rsidRPr="00D56C84">
        <w:rPr>
          <w:sz w:val="18"/>
          <w:szCs w:val="18"/>
        </w:rPr>
        <w:t>...</w:t>
      </w:r>
    </w:p>
    <w:p w:rsidR="00A430A6" w:rsidRPr="00D56C84" w:rsidRDefault="00A430A6" w:rsidP="00D52723">
      <w:pPr>
        <w:pStyle w:val="ParaIndent"/>
        <w:keepNext/>
        <w:keepLines/>
        <w:ind w:left="1701"/>
        <w:jc w:val="both"/>
        <w:rPr>
          <w:sz w:val="18"/>
          <w:szCs w:val="18"/>
        </w:rPr>
      </w:pPr>
      <w:r w:rsidRPr="00D56C84">
        <w:rPr>
          <w:sz w:val="18"/>
          <w:szCs w:val="18"/>
        </w:rPr>
        <w:t xml:space="preserve">(h) </w:t>
      </w:r>
      <w:proofErr w:type="gramStart"/>
      <w:r w:rsidRPr="00D56C84">
        <w:rPr>
          <w:sz w:val="18"/>
          <w:szCs w:val="18"/>
        </w:rPr>
        <w:t>any</w:t>
      </w:r>
      <w:proofErr w:type="gramEnd"/>
      <w:r w:rsidRPr="00D56C84">
        <w:rPr>
          <w:sz w:val="18"/>
          <w:szCs w:val="18"/>
        </w:rPr>
        <w:t xml:space="preserve"> other function relating to the peace, order and good government of the municipal district.</w:t>
      </w:r>
    </w:p>
    <w:p w:rsidR="00C17FCA" w:rsidRPr="00D56C84" w:rsidRDefault="00A430A6" w:rsidP="00D52723">
      <w:pPr>
        <w:pStyle w:val="ParaIndent"/>
        <w:keepNext/>
        <w:tabs>
          <w:tab w:val="left" w:pos="7866"/>
        </w:tabs>
        <w:spacing w:after="60"/>
        <w:jc w:val="both"/>
      </w:pPr>
      <w:r w:rsidRPr="00D56C84">
        <w:t xml:space="preserve">However, </w:t>
      </w:r>
      <w:r w:rsidR="00825115" w:rsidRPr="00D56C84">
        <w:t>state government openly advertises the waste management services provided by local government. T</w:t>
      </w:r>
      <w:r w:rsidR="00C17FCA" w:rsidRPr="00D56C84">
        <w:t>he Department of Planning and Community Development’s website states</w:t>
      </w:r>
      <w:r w:rsidR="00D73388">
        <w:rPr>
          <w:rStyle w:val="FootnoteReference"/>
        </w:rPr>
        <w:footnoteReference w:id="8"/>
      </w:r>
      <w:r w:rsidR="00C17FCA" w:rsidRPr="00D56C84">
        <w:t xml:space="preserve">: </w:t>
      </w:r>
    </w:p>
    <w:p w:rsidR="00C17FCA" w:rsidRPr="00D56C84" w:rsidRDefault="00C17FCA" w:rsidP="00D52723">
      <w:pPr>
        <w:pStyle w:val="ParaIndent"/>
        <w:keepLines/>
        <w:spacing w:after="60"/>
        <w:ind w:left="1701"/>
        <w:jc w:val="both"/>
        <w:rPr>
          <w:sz w:val="18"/>
          <w:szCs w:val="18"/>
        </w:rPr>
      </w:pPr>
      <w:r w:rsidRPr="00D56C84">
        <w:rPr>
          <w:sz w:val="18"/>
          <w:szCs w:val="18"/>
        </w:rPr>
        <w:t>Councils provide a range of waste disposal and recycling services for their communities. While some services, such as the collection and disposal of general household garbage are common to all councils, many services vary, depending on the needs and priorities of the relevant communities.</w:t>
      </w:r>
    </w:p>
    <w:p w:rsidR="00C17FCA" w:rsidRPr="00D56C84" w:rsidRDefault="00C17FCA" w:rsidP="00D52723">
      <w:pPr>
        <w:pStyle w:val="ParaIndent"/>
        <w:keepLines/>
        <w:spacing w:after="60"/>
        <w:ind w:left="1701"/>
        <w:jc w:val="both"/>
        <w:rPr>
          <w:sz w:val="18"/>
          <w:szCs w:val="18"/>
        </w:rPr>
      </w:pPr>
      <w:r w:rsidRPr="00D56C84">
        <w:rPr>
          <w:sz w:val="18"/>
          <w:szCs w:val="18"/>
        </w:rPr>
        <w:t>Contact your council to find out about the particular waste disposal and recycling services provided in your area.</w:t>
      </w:r>
    </w:p>
    <w:p w:rsidR="00C17FCA" w:rsidRPr="00D56C84" w:rsidRDefault="00C17FCA" w:rsidP="00D52723">
      <w:pPr>
        <w:pStyle w:val="ParaIndent"/>
        <w:keepNext/>
        <w:keepLines/>
        <w:spacing w:after="60"/>
        <w:ind w:left="1701"/>
        <w:jc w:val="both"/>
        <w:rPr>
          <w:sz w:val="18"/>
          <w:szCs w:val="18"/>
        </w:rPr>
      </w:pPr>
      <w:r w:rsidRPr="00D56C84">
        <w:rPr>
          <w:sz w:val="18"/>
          <w:szCs w:val="18"/>
        </w:rPr>
        <w:lastRenderedPageBreak/>
        <w:t>Specific waste services provided by councils can include:</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Collection and disposal of general household garbage, which usually includes waste that cannot be recycled using the council’s recycling services</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Hard rubbish collections, which provide for the removal of items that cannot be disposed in general household garbage collections</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Recycling services that may include paper, glass, plastic and metal waste products</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Green waste collection services, which are generally connected with a service providing compost and mulch for gardens</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Disposal and/or recycling of other specific types of items such as chemicals, oil, computers or used printer cartridges</w:t>
      </w:r>
    </w:p>
    <w:p w:rsidR="00C17FCA" w:rsidRPr="00D56C84" w:rsidRDefault="00C17FCA" w:rsidP="00D52723">
      <w:pPr>
        <w:pStyle w:val="ParaIndent"/>
        <w:keepNext/>
        <w:keepLines/>
        <w:numPr>
          <w:ilvl w:val="0"/>
          <w:numId w:val="28"/>
        </w:numPr>
        <w:spacing w:after="60"/>
        <w:ind w:left="2127" w:hanging="426"/>
        <w:jc w:val="both"/>
        <w:rPr>
          <w:sz w:val="18"/>
          <w:szCs w:val="18"/>
        </w:rPr>
      </w:pPr>
      <w:r w:rsidRPr="00D56C84">
        <w:rPr>
          <w:sz w:val="18"/>
          <w:szCs w:val="18"/>
        </w:rPr>
        <w:t>Transfer stations and land fill sites for disposal and recycling services</w:t>
      </w:r>
    </w:p>
    <w:p w:rsidR="00C17FCA" w:rsidRPr="00D56C84" w:rsidRDefault="00C17FCA" w:rsidP="00D52723">
      <w:pPr>
        <w:pStyle w:val="ParaIndent"/>
        <w:keepLines/>
        <w:numPr>
          <w:ilvl w:val="0"/>
          <w:numId w:val="28"/>
        </w:numPr>
        <w:spacing w:after="60"/>
        <w:ind w:left="2126" w:hanging="425"/>
        <w:jc w:val="both"/>
        <w:rPr>
          <w:sz w:val="18"/>
          <w:szCs w:val="18"/>
        </w:rPr>
      </w:pPr>
      <w:r w:rsidRPr="00D56C84">
        <w:rPr>
          <w:sz w:val="18"/>
          <w:szCs w:val="18"/>
        </w:rPr>
        <w:t>Commercial waste removal services</w:t>
      </w:r>
      <w:r w:rsidR="00F62472">
        <w:rPr>
          <w:sz w:val="18"/>
          <w:szCs w:val="18"/>
        </w:rPr>
        <w:t>.</w:t>
      </w:r>
    </w:p>
    <w:p w:rsidR="00C17FCA" w:rsidRPr="00D56C84" w:rsidRDefault="00C17FCA" w:rsidP="00D52723">
      <w:pPr>
        <w:pStyle w:val="ParaIndent"/>
        <w:keepLines/>
        <w:spacing w:after="60"/>
        <w:ind w:left="1701"/>
        <w:jc w:val="both"/>
        <w:rPr>
          <w:sz w:val="18"/>
          <w:szCs w:val="18"/>
        </w:rPr>
      </w:pPr>
      <w:r w:rsidRPr="00D56C84">
        <w:rPr>
          <w:sz w:val="18"/>
          <w:szCs w:val="18"/>
        </w:rPr>
        <w:t xml:space="preserve">The </w:t>
      </w:r>
      <w:r w:rsidR="000D223F" w:rsidRPr="00D56C84">
        <w:rPr>
          <w:sz w:val="18"/>
          <w:szCs w:val="18"/>
        </w:rPr>
        <w:t>manner in which</w:t>
      </w:r>
      <w:r w:rsidRPr="00D56C84">
        <w:rPr>
          <w:sz w:val="18"/>
          <w:szCs w:val="18"/>
        </w:rPr>
        <w:t xml:space="preserve"> these services are provided can vary from area to area. While household garbage services most frequently involve the provision and regular emptying of bins, in some areas household waste may be disposed at transfer stations. Similarly, recycling services may be provided through collection from individual household bins or at transfer stations or depots in the municipality.</w:t>
      </w:r>
    </w:p>
    <w:p w:rsidR="00C17FCA" w:rsidRPr="00D56C84" w:rsidRDefault="00C17FCA" w:rsidP="00D52723">
      <w:pPr>
        <w:pStyle w:val="ParaIndent"/>
        <w:keepLines/>
        <w:spacing w:after="60"/>
        <w:ind w:left="1701"/>
        <w:jc w:val="both"/>
        <w:rPr>
          <w:sz w:val="18"/>
          <w:szCs w:val="18"/>
        </w:rPr>
      </w:pPr>
      <w:r w:rsidRPr="00D56C84">
        <w:rPr>
          <w:sz w:val="18"/>
          <w:szCs w:val="18"/>
        </w:rPr>
        <w:t>Many councils levy a garbage charge as part of the rates system. Sometimes the level of the charge varies in relation to the size of bin provided.</w:t>
      </w:r>
    </w:p>
    <w:p w:rsidR="00455AF1" w:rsidRPr="00D56C84" w:rsidRDefault="00455AF1" w:rsidP="008C3594">
      <w:pPr>
        <w:pStyle w:val="Heading3"/>
      </w:pPr>
      <w:r w:rsidRPr="00D56C84">
        <w:t>Landfill levy</w:t>
      </w:r>
    </w:p>
    <w:p w:rsidR="00455AF1" w:rsidRPr="00D56C84" w:rsidRDefault="00455AF1" w:rsidP="00D52723">
      <w:pPr>
        <w:pStyle w:val="ParaIndent"/>
        <w:spacing w:after="60"/>
        <w:jc w:val="both"/>
      </w:pPr>
      <w:r w:rsidRPr="00D56C84">
        <w:t xml:space="preserve">Levies apply to municipal, commercial and industrial and prescribed industrial wastes disposed at licensed facilities in Victoria. The landfill levy structure is designed to reflect the difference in the magnitude of environmental risk posed by the different waste streams, and also seeks to accommodate regional </w:t>
      </w:r>
      <w:r w:rsidR="00D73388" w:rsidRPr="00D56C84">
        <w:t>differen</w:t>
      </w:r>
      <w:r w:rsidR="00D73388">
        <w:t>ces</w:t>
      </w:r>
      <w:r w:rsidRPr="00D56C84">
        <w:t>.</w:t>
      </w:r>
    </w:p>
    <w:p w:rsidR="00455AF1" w:rsidRPr="00D56C84" w:rsidRDefault="00CA0E41" w:rsidP="00CA0E41">
      <w:pPr>
        <w:pStyle w:val="Caption"/>
      </w:pPr>
      <w:r w:rsidRPr="00D56C84">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14</w:t>
      </w:r>
      <w:r w:rsidR="00ED6CA0">
        <w:rPr>
          <w:noProof/>
        </w:rPr>
        <w:fldChar w:fldCharType="end"/>
      </w:r>
      <w:r w:rsidRPr="00D56C84">
        <w:tab/>
        <w:t>Landfill levy rates for municipal waste in Victoria</w:t>
      </w:r>
    </w:p>
    <w:tbl>
      <w:tblPr>
        <w:tblStyle w:val="TableGrid"/>
        <w:tblW w:w="3162" w:type="pct"/>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2268"/>
        <w:gridCol w:w="1797"/>
        <w:gridCol w:w="2031"/>
      </w:tblGrid>
      <w:tr w:rsidR="005E758E" w:rsidRPr="00D56C84" w:rsidTr="005E758E">
        <w:tc>
          <w:tcPr>
            <w:tcW w:w="1860" w:type="pct"/>
            <w:shd w:val="clear" w:color="auto" w:fill="auto"/>
          </w:tcPr>
          <w:p w:rsidR="005E758E" w:rsidRPr="00D56C84" w:rsidRDefault="005E758E" w:rsidP="005E758E">
            <w:pPr>
              <w:pStyle w:val="TableHeading"/>
            </w:pPr>
            <w:r w:rsidRPr="00D56C84">
              <w:t>Year</w:t>
            </w:r>
          </w:p>
        </w:tc>
        <w:tc>
          <w:tcPr>
            <w:tcW w:w="1474" w:type="pct"/>
            <w:shd w:val="clear" w:color="auto" w:fill="auto"/>
          </w:tcPr>
          <w:p w:rsidR="005E758E" w:rsidRPr="00D56C84" w:rsidRDefault="005E758E" w:rsidP="005E758E">
            <w:pPr>
              <w:pStyle w:val="TableHeading"/>
            </w:pPr>
            <w:r w:rsidRPr="00D56C84">
              <w:t>Rural</w:t>
            </w:r>
          </w:p>
        </w:tc>
        <w:tc>
          <w:tcPr>
            <w:tcW w:w="1666" w:type="pct"/>
            <w:shd w:val="clear" w:color="auto" w:fill="auto"/>
          </w:tcPr>
          <w:p w:rsidR="005E758E" w:rsidRPr="00D56C84" w:rsidRDefault="005E758E" w:rsidP="005E758E">
            <w:pPr>
              <w:pStyle w:val="TableHeading"/>
            </w:pPr>
            <w:r w:rsidRPr="00D56C84">
              <w:t>Metro and provincial</w:t>
            </w:r>
          </w:p>
        </w:tc>
      </w:tr>
      <w:tr w:rsidR="005E758E" w:rsidRPr="00D56C84" w:rsidTr="005E758E">
        <w:tc>
          <w:tcPr>
            <w:tcW w:w="1860" w:type="pct"/>
            <w:shd w:val="clear" w:color="auto" w:fill="auto"/>
          </w:tcPr>
          <w:p w:rsidR="005E758E" w:rsidRPr="00D56C84" w:rsidRDefault="005E758E" w:rsidP="005E758E">
            <w:pPr>
              <w:pStyle w:val="TableText"/>
            </w:pPr>
            <w:r w:rsidRPr="00D56C84">
              <w:t>2009-10</w:t>
            </w:r>
          </w:p>
        </w:tc>
        <w:tc>
          <w:tcPr>
            <w:tcW w:w="1474" w:type="pct"/>
            <w:shd w:val="clear" w:color="auto" w:fill="auto"/>
          </w:tcPr>
          <w:p w:rsidR="005E758E" w:rsidRPr="00D56C84" w:rsidRDefault="005E758E" w:rsidP="005E758E">
            <w:pPr>
              <w:pStyle w:val="TableText"/>
            </w:pPr>
            <w:r w:rsidRPr="00D56C84">
              <w:t>$7/t</w:t>
            </w:r>
          </w:p>
        </w:tc>
        <w:tc>
          <w:tcPr>
            <w:tcW w:w="1666" w:type="pct"/>
            <w:shd w:val="clear" w:color="auto" w:fill="auto"/>
          </w:tcPr>
          <w:p w:rsidR="005E758E" w:rsidRPr="00D56C84" w:rsidRDefault="005E758E" w:rsidP="005E758E">
            <w:pPr>
              <w:pStyle w:val="TableText"/>
            </w:pPr>
            <w:r w:rsidRPr="00D56C84">
              <w:t>$9/t</w:t>
            </w:r>
          </w:p>
        </w:tc>
      </w:tr>
      <w:tr w:rsidR="005E758E" w:rsidRPr="00D56C84" w:rsidTr="005E758E">
        <w:tc>
          <w:tcPr>
            <w:tcW w:w="1860" w:type="pct"/>
            <w:shd w:val="clear" w:color="auto" w:fill="auto"/>
          </w:tcPr>
          <w:p w:rsidR="005E758E" w:rsidRPr="00D56C84" w:rsidRDefault="005E758E" w:rsidP="005E758E">
            <w:pPr>
              <w:pStyle w:val="TableText"/>
            </w:pPr>
            <w:r w:rsidRPr="00D56C84">
              <w:t>2010-11</w:t>
            </w:r>
          </w:p>
        </w:tc>
        <w:tc>
          <w:tcPr>
            <w:tcW w:w="1474" w:type="pct"/>
            <w:shd w:val="clear" w:color="auto" w:fill="auto"/>
          </w:tcPr>
          <w:p w:rsidR="005E758E" w:rsidRPr="00D56C84" w:rsidRDefault="005E758E" w:rsidP="005E758E">
            <w:pPr>
              <w:pStyle w:val="TableText"/>
            </w:pPr>
            <w:r w:rsidRPr="00D56C84">
              <w:t>$15/t</w:t>
            </w:r>
          </w:p>
        </w:tc>
        <w:tc>
          <w:tcPr>
            <w:tcW w:w="1666" w:type="pct"/>
            <w:shd w:val="clear" w:color="auto" w:fill="auto"/>
          </w:tcPr>
          <w:p w:rsidR="005E758E" w:rsidRPr="00D56C84" w:rsidRDefault="005E758E" w:rsidP="005E758E">
            <w:pPr>
              <w:pStyle w:val="TableText"/>
            </w:pPr>
            <w:r w:rsidRPr="00D56C84">
              <w:t>$30/t</w:t>
            </w:r>
          </w:p>
        </w:tc>
      </w:tr>
      <w:tr w:rsidR="005E758E" w:rsidRPr="00D56C84" w:rsidTr="005E758E">
        <w:tc>
          <w:tcPr>
            <w:tcW w:w="1860" w:type="pct"/>
            <w:shd w:val="clear" w:color="auto" w:fill="auto"/>
          </w:tcPr>
          <w:p w:rsidR="005E758E" w:rsidRPr="00D56C84" w:rsidRDefault="005E758E" w:rsidP="005E758E">
            <w:pPr>
              <w:pStyle w:val="TableText"/>
            </w:pPr>
            <w:r w:rsidRPr="00D56C84">
              <w:t>2011-12</w:t>
            </w:r>
            <w:r w:rsidRPr="00D56C84">
              <w:rPr>
                <w:rStyle w:val="FootnoteReference"/>
              </w:rPr>
              <w:footnoteReference w:id="9"/>
            </w:r>
          </w:p>
        </w:tc>
        <w:tc>
          <w:tcPr>
            <w:tcW w:w="1474" w:type="pct"/>
            <w:shd w:val="clear" w:color="auto" w:fill="auto"/>
          </w:tcPr>
          <w:p w:rsidR="005E758E" w:rsidRPr="00D56C84" w:rsidRDefault="005E758E" w:rsidP="005E758E">
            <w:pPr>
              <w:pStyle w:val="TableText"/>
            </w:pPr>
            <w:r w:rsidRPr="00D56C84">
              <w:t>$20/t</w:t>
            </w:r>
          </w:p>
        </w:tc>
        <w:tc>
          <w:tcPr>
            <w:tcW w:w="1666" w:type="pct"/>
            <w:shd w:val="clear" w:color="auto" w:fill="auto"/>
          </w:tcPr>
          <w:p w:rsidR="005E758E" w:rsidRPr="00D56C84" w:rsidRDefault="005E758E" w:rsidP="005E758E">
            <w:pPr>
              <w:pStyle w:val="TableText"/>
            </w:pPr>
            <w:r w:rsidRPr="00D56C84">
              <w:t>$40/t</w:t>
            </w:r>
          </w:p>
        </w:tc>
      </w:tr>
    </w:tbl>
    <w:p w:rsidR="00AE087B" w:rsidRPr="00D56C84" w:rsidRDefault="00AE087B" w:rsidP="00AE087B">
      <w:pPr>
        <w:pStyle w:val="Heading2"/>
      </w:pPr>
      <w:bookmarkStart w:id="63" w:name="_Toc307470434"/>
      <w:r w:rsidRPr="00D56C84">
        <w:t>Groupings</w:t>
      </w:r>
      <w:r w:rsidR="00085D2C">
        <w:t xml:space="preserve"> in Victoria</w:t>
      </w:r>
      <w:bookmarkEnd w:id="63"/>
    </w:p>
    <w:p w:rsidR="008C3594" w:rsidRPr="00D56C84" w:rsidRDefault="008C3594" w:rsidP="008C3594">
      <w:pPr>
        <w:pStyle w:val="Heading3"/>
      </w:pPr>
      <w:r w:rsidRPr="00D56C84">
        <w:t>Waste Management Groups</w:t>
      </w:r>
    </w:p>
    <w:p w:rsidR="00E508B6" w:rsidRPr="00D56C84" w:rsidRDefault="00825115" w:rsidP="00D52723">
      <w:pPr>
        <w:pStyle w:val="ParaIndent"/>
        <w:spacing w:after="60"/>
        <w:jc w:val="both"/>
      </w:pPr>
      <w:r w:rsidRPr="00D56C84">
        <w:t xml:space="preserve">One aspect of local government responsibility that is clearly </w:t>
      </w:r>
      <w:r w:rsidR="000D223F" w:rsidRPr="00D56C84">
        <w:t>defined</w:t>
      </w:r>
      <w:r w:rsidRPr="00D56C84">
        <w:t xml:space="preserve"> in Victoria is the</w:t>
      </w:r>
      <w:r w:rsidR="00061189" w:rsidRPr="00D56C84">
        <w:t xml:space="preserve"> establishment of waste management groups,</w:t>
      </w:r>
      <w:r w:rsidR="00206AAC" w:rsidRPr="00D56C84">
        <w:t xml:space="preserve"> as</w:t>
      </w:r>
      <w:r w:rsidR="00061189" w:rsidRPr="00D56C84">
        <w:t xml:space="preserve"> set out in the </w:t>
      </w:r>
      <w:r w:rsidR="00061189" w:rsidRPr="00D73388">
        <w:rPr>
          <w:i/>
        </w:rPr>
        <w:t>Environment Protection Act</w:t>
      </w:r>
      <w:r w:rsidR="00061189" w:rsidRPr="001108C3">
        <w:t xml:space="preserve"> </w:t>
      </w:r>
      <w:r w:rsidR="00061189" w:rsidRPr="00D73388">
        <w:rPr>
          <w:i/>
        </w:rPr>
        <w:t>(1970)</w:t>
      </w:r>
      <w:r w:rsidR="00061189" w:rsidRPr="00D56C84">
        <w:t>. All</w:t>
      </w:r>
      <w:r w:rsidR="00746A9F" w:rsidRPr="00D56C84">
        <w:t xml:space="preserve"> Victorian LGAs</w:t>
      </w:r>
      <w:r w:rsidR="00C57FC9" w:rsidRPr="00D56C84">
        <w:t xml:space="preserve"> </w:t>
      </w:r>
      <w:r w:rsidR="00746A9F" w:rsidRPr="00D56C84">
        <w:t>are either a member of</w:t>
      </w:r>
      <w:r w:rsidR="00CA496D" w:rsidRPr="00D56C84">
        <w:t>:</w:t>
      </w:r>
    </w:p>
    <w:p w:rsidR="00E508B6" w:rsidRPr="00D56C84" w:rsidRDefault="00746A9F" w:rsidP="00D52723">
      <w:pPr>
        <w:pStyle w:val="ParaIndent"/>
        <w:numPr>
          <w:ilvl w:val="0"/>
          <w:numId w:val="25"/>
        </w:numPr>
        <w:spacing w:after="60"/>
        <w:jc w:val="both"/>
      </w:pPr>
      <w:r w:rsidRPr="00D56C84">
        <w:lastRenderedPageBreak/>
        <w:t>The</w:t>
      </w:r>
      <w:r w:rsidR="00E508B6" w:rsidRPr="00D56C84">
        <w:t xml:space="preserve"> Metropolitan Waste Management Group (MWMG) consisting of 30 member councils in the greater Melbourne area</w:t>
      </w:r>
    </w:p>
    <w:p w:rsidR="00E508B6" w:rsidRPr="00D56C84" w:rsidRDefault="00746A9F" w:rsidP="00D52723">
      <w:pPr>
        <w:pStyle w:val="ParaIndent"/>
        <w:numPr>
          <w:ilvl w:val="0"/>
          <w:numId w:val="25"/>
        </w:numPr>
        <w:jc w:val="both"/>
      </w:pPr>
      <w:r w:rsidRPr="00D56C84">
        <w:t>One of t</w:t>
      </w:r>
      <w:r w:rsidR="00CA496D" w:rsidRPr="00D56C84">
        <w:t xml:space="preserve">welve </w:t>
      </w:r>
      <w:r w:rsidR="00E508B6" w:rsidRPr="00D56C84">
        <w:t>Re</w:t>
      </w:r>
      <w:r w:rsidR="00CA496D" w:rsidRPr="00D56C84">
        <w:t xml:space="preserve">gional Waste Management Groups </w:t>
      </w:r>
      <w:r w:rsidR="00FF751E" w:rsidRPr="00D56C84">
        <w:t xml:space="preserve">(RWMGs) </w:t>
      </w:r>
      <w:r w:rsidR="00CA496D" w:rsidRPr="00D56C84">
        <w:t>covering the 49 councils in regional and rural Victoria, including the greater Geelong area.</w:t>
      </w:r>
    </w:p>
    <w:p w:rsidR="00746A9F" w:rsidRPr="00D56C84" w:rsidRDefault="00ED6CA0" w:rsidP="00D52723">
      <w:pPr>
        <w:pStyle w:val="ParaIndent"/>
        <w:tabs>
          <w:tab w:val="left" w:pos="7866"/>
        </w:tabs>
        <w:jc w:val="both"/>
      </w:pPr>
      <w:fldSimple w:instr=" REF _Ref297106154 \h  \* MERGEFORMAT ">
        <w:r w:rsidR="00166111" w:rsidRPr="00D56C84">
          <w:t xml:space="preserve">Table </w:t>
        </w:r>
        <w:r w:rsidR="00166111">
          <w:rPr>
            <w:noProof/>
          </w:rPr>
          <w:t>7</w:t>
        </w:r>
        <w:r w:rsidR="00166111" w:rsidRPr="00D56C84">
          <w:rPr>
            <w:noProof/>
          </w:rPr>
          <w:t>-</w:t>
        </w:r>
        <w:r w:rsidR="00166111">
          <w:rPr>
            <w:noProof/>
          </w:rPr>
          <w:t>15</w:t>
        </w:r>
      </w:fldSimple>
      <w:r w:rsidR="00B5170A" w:rsidRPr="00D56C84">
        <w:t xml:space="preserve"> </w:t>
      </w:r>
      <w:r w:rsidR="006A290C" w:rsidRPr="00D56C84">
        <w:t>lists the</w:t>
      </w:r>
      <w:r w:rsidR="00061189" w:rsidRPr="00D56C84">
        <w:t>se</w:t>
      </w:r>
      <w:r w:rsidR="006A290C" w:rsidRPr="00D56C84">
        <w:t xml:space="preserve"> </w:t>
      </w:r>
      <w:r w:rsidR="00061189" w:rsidRPr="00D56C84">
        <w:t>waste</w:t>
      </w:r>
      <w:r w:rsidR="006A290C" w:rsidRPr="00D56C84">
        <w:t xml:space="preserve"> management groups</w:t>
      </w:r>
      <w:r w:rsidR="00746A9F" w:rsidRPr="00D56C84">
        <w:t xml:space="preserve">, their member LGAs, their population and population </w:t>
      </w:r>
      <w:r w:rsidR="006A290C" w:rsidRPr="00D56C84">
        <w:t>density.</w:t>
      </w:r>
    </w:p>
    <w:p w:rsidR="00B5170A" w:rsidRPr="00D56C84" w:rsidRDefault="00B5170A" w:rsidP="00B5170A">
      <w:pPr>
        <w:pStyle w:val="Caption"/>
      </w:pPr>
      <w:bookmarkStart w:id="64" w:name="_Ref297106154"/>
      <w:r w:rsidRPr="00D56C84">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15</w:t>
      </w:r>
      <w:r w:rsidR="00ED6CA0">
        <w:rPr>
          <w:noProof/>
        </w:rPr>
        <w:fldChar w:fldCharType="end"/>
      </w:r>
      <w:bookmarkEnd w:id="64"/>
      <w:r w:rsidRPr="00D56C84">
        <w:tab/>
        <w:t>Metropolitan and Regional Waste Management Groups in Victoria</w:t>
      </w:r>
    </w:p>
    <w:tbl>
      <w:tblPr>
        <w:tblW w:w="8505" w:type="dxa"/>
        <w:tblInd w:w="1134" w:type="dxa"/>
        <w:tblBorders>
          <w:bottom w:val="single" w:sz="18" w:space="0" w:color="808080"/>
          <w:insideH w:val="single" w:sz="4" w:space="0" w:color="808080"/>
        </w:tblBorders>
        <w:tblLayout w:type="fixed"/>
        <w:tblCellMar>
          <w:left w:w="0" w:type="dxa"/>
          <w:right w:w="0" w:type="dxa"/>
        </w:tblCellMar>
        <w:tblLook w:val="04A0"/>
      </w:tblPr>
      <w:tblGrid>
        <w:gridCol w:w="1418"/>
        <w:gridCol w:w="5103"/>
        <w:gridCol w:w="992"/>
        <w:gridCol w:w="992"/>
      </w:tblGrid>
      <w:tr w:rsidR="006A290C" w:rsidRPr="00D56C84" w:rsidTr="00F255C5">
        <w:trPr>
          <w:trHeight w:val="284"/>
          <w:tblHeader/>
        </w:trPr>
        <w:tc>
          <w:tcPr>
            <w:tcW w:w="1418" w:type="dxa"/>
            <w:tcBorders>
              <w:bottom w:val="single" w:sz="4" w:space="0" w:color="808080"/>
            </w:tcBorders>
            <w:shd w:val="clear" w:color="auto" w:fill="auto"/>
            <w:noWrap/>
            <w:vAlign w:val="center"/>
            <w:hideMark/>
          </w:tcPr>
          <w:p w:rsidR="006A290C" w:rsidRPr="00D56C84" w:rsidRDefault="006A290C" w:rsidP="00455AF1">
            <w:pPr>
              <w:pStyle w:val="TableHeading"/>
              <w:rPr>
                <w:lang w:eastAsia="en-AU"/>
              </w:rPr>
            </w:pPr>
            <w:r w:rsidRPr="00D56C84">
              <w:rPr>
                <w:lang w:eastAsia="en-AU"/>
              </w:rPr>
              <w:t>Waste Management Group</w:t>
            </w:r>
            <w:r w:rsidR="00850FAA" w:rsidRPr="00D56C84">
              <w:rPr>
                <w:lang w:eastAsia="en-AU"/>
              </w:rPr>
              <w:t>s</w:t>
            </w:r>
          </w:p>
        </w:tc>
        <w:tc>
          <w:tcPr>
            <w:tcW w:w="5103" w:type="dxa"/>
            <w:tcBorders>
              <w:bottom w:val="single" w:sz="4" w:space="0" w:color="808080"/>
            </w:tcBorders>
            <w:shd w:val="clear" w:color="auto" w:fill="auto"/>
            <w:noWrap/>
            <w:vAlign w:val="center"/>
            <w:hideMark/>
          </w:tcPr>
          <w:p w:rsidR="006A290C" w:rsidRPr="00D56C84" w:rsidRDefault="006A290C" w:rsidP="0058303C">
            <w:pPr>
              <w:pStyle w:val="TableHeading"/>
              <w:rPr>
                <w:lang w:eastAsia="en-AU"/>
              </w:rPr>
            </w:pPr>
            <w:r w:rsidRPr="00D56C84">
              <w:rPr>
                <w:lang w:eastAsia="en-AU"/>
              </w:rPr>
              <w:t>Member LGAs</w:t>
            </w:r>
          </w:p>
        </w:tc>
        <w:tc>
          <w:tcPr>
            <w:tcW w:w="992" w:type="dxa"/>
            <w:tcBorders>
              <w:bottom w:val="single" w:sz="4" w:space="0" w:color="808080"/>
            </w:tcBorders>
            <w:vAlign w:val="center"/>
          </w:tcPr>
          <w:p w:rsidR="006A290C" w:rsidRPr="00D56C84" w:rsidRDefault="006A290C" w:rsidP="0058303C">
            <w:pPr>
              <w:pStyle w:val="TableHeading"/>
              <w:jc w:val="right"/>
              <w:rPr>
                <w:lang w:eastAsia="en-AU"/>
              </w:rPr>
            </w:pPr>
            <w:r w:rsidRPr="00D56C84">
              <w:rPr>
                <w:lang w:eastAsia="en-AU"/>
              </w:rPr>
              <w:t>Population</w:t>
            </w:r>
          </w:p>
        </w:tc>
        <w:tc>
          <w:tcPr>
            <w:tcW w:w="992" w:type="dxa"/>
            <w:tcBorders>
              <w:bottom w:val="single" w:sz="4" w:space="0" w:color="808080"/>
            </w:tcBorders>
            <w:vAlign w:val="center"/>
          </w:tcPr>
          <w:p w:rsidR="006A290C" w:rsidRPr="00D56C84" w:rsidRDefault="006A290C" w:rsidP="0058303C">
            <w:pPr>
              <w:pStyle w:val="TableHeading"/>
              <w:jc w:val="right"/>
              <w:rPr>
                <w:lang w:eastAsia="en-AU"/>
              </w:rPr>
            </w:pPr>
            <w:r w:rsidRPr="00D56C84">
              <w:rPr>
                <w:lang w:eastAsia="en-AU"/>
              </w:rPr>
              <w:t>Population density (/km</w:t>
            </w:r>
            <w:r w:rsidRPr="00D56C84">
              <w:rPr>
                <w:vertAlign w:val="superscript"/>
                <w:lang w:eastAsia="en-AU"/>
              </w:rPr>
              <w:t>2</w:t>
            </w:r>
            <w:r w:rsidRPr="00D56C84">
              <w:rPr>
                <w:lang w:eastAsia="en-AU"/>
              </w:rPr>
              <w:t>)</w:t>
            </w:r>
          </w:p>
        </w:tc>
      </w:tr>
      <w:tr w:rsidR="006A290C" w:rsidRPr="00D56C84" w:rsidTr="008C054C">
        <w:trPr>
          <w:cantSplit/>
          <w:trHeight w:val="284"/>
        </w:trPr>
        <w:tc>
          <w:tcPr>
            <w:tcW w:w="1418" w:type="dxa"/>
            <w:tcBorders>
              <w:top w:val="single" w:sz="4" w:space="0" w:color="808080"/>
              <w:bottom w:val="single" w:sz="4" w:space="0" w:color="808080"/>
            </w:tcBorders>
            <w:shd w:val="clear" w:color="auto" w:fill="auto"/>
            <w:noWrap/>
            <w:vAlign w:val="center"/>
            <w:hideMark/>
          </w:tcPr>
          <w:p w:rsidR="006A290C" w:rsidRPr="00D56C84" w:rsidRDefault="006A290C" w:rsidP="0058303C">
            <w:pPr>
              <w:pStyle w:val="TableText"/>
              <w:rPr>
                <w:lang w:eastAsia="en-AU"/>
              </w:rPr>
            </w:pPr>
            <w:r w:rsidRPr="00D56C84">
              <w:rPr>
                <w:lang w:eastAsia="en-AU"/>
              </w:rPr>
              <w:t>Metropolitan</w:t>
            </w:r>
          </w:p>
        </w:tc>
        <w:tc>
          <w:tcPr>
            <w:tcW w:w="5103" w:type="dxa"/>
            <w:tcBorders>
              <w:top w:val="single" w:sz="4" w:space="0" w:color="808080"/>
              <w:bottom w:val="single" w:sz="4" w:space="0" w:color="808080"/>
            </w:tcBorders>
            <w:shd w:val="clear" w:color="auto" w:fill="auto"/>
            <w:noWrap/>
            <w:vAlign w:val="center"/>
            <w:hideMark/>
          </w:tcPr>
          <w:p w:rsidR="006A290C" w:rsidRPr="00D56C84" w:rsidRDefault="006A290C" w:rsidP="0058303C">
            <w:pPr>
              <w:pStyle w:val="TableText"/>
              <w:rPr>
                <w:lang w:eastAsia="en-AU"/>
              </w:rPr>
            </w:pPr>
            <w:r w:rsidRPr="00D56C84">
              <w:rPr>
                <w:lang w:eastAsia="en-AU"/>
              </w:rPr>
              <w:t xml:space="preserve">Banyule (C), </w:t>
            </w:r>
            <w:proofErr w:type="spellStart"/>
            <w:r w:rsidRPr="00D56C84">
              <w:rPr>
                <w:lang w:eastAsia="en-AU"/>
              </w:rPr>
              <w:t>Bayside</w:t>
            </w:r>
            <w:proofErr w:type="spellEnd"/>
            <w:r w:rsidRPr="00D56C84">
              <w:rPr>
                <w:lang w:eastAsia="en-AU"/>
              </w:rPr>
              <w:t xml:space="preserve"> (C), </w:t>
            </w:r>
            <w:proofErr w:type="spellStart"/>
            <w:r w:rsidRPr="00D56C84">
              <w:rPr>
                <w:lang w:eastAsia="en-AU"/>
              </w:rPr>
              <w:t>Boroondara</w:t>
            </w:r>
            <w:proofErr w:type="spellEnd"/>
            <w:r w:rsidRPr="00D56C84">
              <w:rPr>
                <w:lang w:eastAsia="en-AU"/>
              </w:rPr>
              <w:t xml:space="preserve"> (C), </w:t>
            </w:r>
            <w:proofErr w:type="spellStart"/>
            <w:r w:rsidRPr="00D56C84">
              <w:rPr>
                <w:lang w:eastAsia="en-AU"/>
              </w:rPr>
              <w:t>Brimbank</w:t>
            </w:r>
            <w:proofErr w:type="spellEnd"/>
            <w:r w:rsidRPr="00D56C84">
              <w:rPr>
                <w:lang w:eastAsia="en-AU"/>
              </w:rPr>
              <w:t xml:space="preserve"> (C), Casey (C), Darebin (C), Frankston (C), Glen </w:t>
            </w:r>
            <w:proofErr w:type="spellStart"/>
            <w:r w:rsidRPr="00D56C84">
              <w:rPr>
                <w:lang w:eastAsia="en-AU"/>
              </w:rPr>
              <w:t>Eira</w:t>
            </w:r>
            <w:proofErr w:type="spellEnd"/>
            <w:r w:rsidRPr="00D56C84">
              <w:rPr>
                <w:lang w:eastAsia="en-AU"/>
              </w:rPr>
              <w:t xml:space="preserve"> (C), Greater Dandenong (C), Greater Geelong (C), </w:t>
            </w:r>
            <w:proofErr w:type="spellStart"/>
            <w:r w:rsidRPr="00D56C84">
              <w:rPr>
                <w:lang w:eastAsia="en-AU"/>
              </w:rPr>
              <w:t>Hobsons</w:t>
            </w:r>
            <w:proofErr w:type="spellEnd"/>
            <w:r w:rsidRPr="00D56C84">
              <w:rPr>
                <w:lang w:eastAsia="en-AU"/>
              </w:rPr>
              <w:t xml:space="preserve"> Bay (C), Hume (C), Kingston (C), Knox (C), Manningham (C), Maribyrnong (C), Maroondah (C), Melbourne (C), Melton (S), Monash (C), Moonee Valley (C), Moreland (C), Nillumbik (S), Port Phillip (C), </w:t>
            </w:r>
            <w:proofErr w:type="spellStart"/>
            <w:r w:rsidRPr="00D56C84">
              <w:rPr>
                <w:lang w:eastAsia="en-AU"/>
              </w:rPr>
              <w:t>Stonnington</w:t>
            </w:r>
            <w:proofErr w:type="spellEnd"/>
            <w:r w:rsidRPr="00D56C84">
              <w:rPr>
                <w:lang w:eastAsia="en-AU"/>
              </w:rPr>
              <w:t xml:space="preserve"> (C), Whitehorse (C), Whittlesea (C), Wyndham (C), Yarra (C)</w:t>
            </w:r>
          </w:p>
        </w:tc>
        <w:tc>
          <w:tcPr>
            <w:tcW w:w="992" w:type="dxa"/>
            <w:tcBorders>
              <w:top w:val="single" w:sz="4" w:space="0" w:color="808080"/>
              <w:bottom w:val="single" w:sz="4" w:space="0" w:color="808080"/>
            </w:tcBorders>
            <w:vAlign w:val="center"/>
          </w:tcPr>
          <w:p w:rsidR="006A290C" w:rsidRPr="00D56C84" w:rsidRDefault="006A290C" w:rsidP="0058303C">
            <w:pPr>
              <w:pStyle w:val="TableText"/>
              <w:jc w:val="right"/>
              <w:rPr>
                <w:lang w:eastAsia="en-AU"/>
              </w:rPr>
            </w:pPr>
            <w:r w:rsidRPr="00D56C84">
              <w:rPr>
                <w:lang w:eastAsia="en-AU"/>
              </w:rPr>
              <w:t>3,846,543</w:t>
            </w:r>
          </w:p>
        </w:tc>
        <w:tc>
          <w:tcPr>
            <w:tcW w:w="992" w:type="dxa"/>
            <w:tcBorders>
              <w:top w:val="single" w:sz="4" w:space="0" w:color="808080"/>
              <w:bottom w:val="single" w:sz="4" w:space="0" w:color="808080"/>
            </w:tcBorders>
            <w:vAlign w:val="center"/>
          </w:tcPr>
          <w:p w:rsidR="006A290C" w:rsidRPr="00D56C84" w:rsidRDefault="008C054C" w:rsidP="008C054C">
            <w:pPr>
              <w:pStyle w:val="TableText"/>
              <w:jc w:val="right"/>
              <w:rPr>
                <w:lang w:eastAsia="en-AU"/>
              </w:rPr>
            </w:pPr>
            <w:r w:rsidRPr="008C054C">
              <w:rPr>
                <w:lang w:eastAsia="en-AU"/>
              </w:rPr>
              <w:t>2.8</w:t>
            </w:r>
          </w:p>
        </w:tc>
      </w:tr>
      <w:tr w:rsidR="008C054C" w:rsidRPr="00D56C84" w:rsidTr="007157AE">
        <w:trPr>
          <w:cantSplit/>
          <w:trHeight w:val="284"/>
        </w:trPr>
        <w:tc>
          <w:tcPr>
            <w:tcW w:w="1418"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Barwon</w:t>
            </w:r>
          </w:p>
        </w:tc>
        <w:tc>
          <w:tcPr>
            <w:tcW w:w="5103"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 xml:space="preserve">Colac-Otway (S), </w:t>
            </w:r>
            <w:proofErr w:type="spellStart"/>
            <w:r w:rsidRPr="00D56C84">
              <w:rPr>
                <w:lang w:eastAsia="en-AU"/>
              </w:rPr>
              <w:t>Queenscliffe</w:t>
            </w:r>
            <w:proofErr w:type="spellEnd"/>
            <w:r w:rsidRPr="00D56C84">
              <w:rPr>
                <w:lang w:eastAsia="en-AU"/>
              </w:rPr>
              <w:t xml:space="preserve"> (B), Surf Coast (S)</w:t>
            </w:r>
          </w:p>
        </w:tc>
        <w:tc>
          <w:tcPr>
            <w:tcW w:w="992" w:type="dxa"/>
            <w:tcBorders>
              <w:top w:val="single" w:sz="4" w:space="0" w:color="808080"/>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50,593</w:t>
            </w:r>
          </w:p>
        </w:tc>
        <w:tc>
          <w:tcPr>
            <w:tcW w:w="992" w:type="dxa"/>
            <w:tcBorders>
              <w:top w:val="single" w:sz="4" w:space="0" w:color="808080"/>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0.4</w:t>
            </w:r>
          </w:p>
        </w:tc>
      </w:tr>
      <w:tr w:rsidR="008C054C" w:rsidRPr="00D56C84" w:rsidTr="007157AE">
        <w:trPr>
          <w:cantSplit/>
          <w:trHeight w:val="284"/>
        </w:trPr>
        <w:tc>
          <w:tcPr>
            <w:tcW w:w="1418"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Calder</w:t>
            </w:r>
          </w:p>
        </w:tc>
        <w:tc>
          <w:tcPr>
            <w:tcW w:w="5103"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Greater Bendigo (C), Macedon Ranges (S), Mount Alexander (S)</w:t>
            </w:r>
          </w:p>
        </w:tc>
        <w:tc>
          <w:tcPr>
            <w:tcW w:w="992" w:type="dxa"/>
            <w:tcBorders>
              <w:top w:val="single" w:sz="4" w:space="0" w:color="808080"/>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162,681</w:t>
            </w:r>
          </w:p>
        </w:tc>
        <w:tc>
          <w:tcPr>
            <w:tcW w:w="992" w:type="dxa"/>
            <w:tcBorders>
              <w:top w:val="single" w:sz="4" w:space="0" w:color="808080"/>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1.5</w:t>
            </w:r>
          </w:p>
        </w:tc>
      </w:tr>
      <w:tr w:rsidR="008C054C" w:rsidRPr="00D56C84" w:rsidTr="007157AE">
        <w:trPr>
          <w:cantSplit/>
          <w:trHeight w:val="284"/>
        </w:trPr>
        <w:tc>
          <w:tcPr>
            <w:tcW w:w="1418" w:type="dxa"/>
            <w:tcBorders>
              <w:top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Central Murray</w:t>
            </w:r>
          </w:p>
        </w:tc>
        <w:tc>
          <w:tcPr>
            <w:tcW w:w="5103" w:type="dxa"/>
            <w:tcBorders>
              <w:top w:val="single" w:sz="4" w:space="0" w:color="808080"/>
            </w:tcBorders>
            <w:shd w:val="clear" w:color="auto" w:fill="auto"/>
            <w:noWrap/>
            <w:vAlign w:val="center"/>
            <w:hideMark/>
          </w:tcPr>
          <w:p w:rsidR="008C054C" w:rsidRPr="00D56C84" w:rsidRDefault="008C054C" w:rsidP="0058303C">
            <w:pPr>
              <w:pStyle w:val="TableText"/>
              <w:rPr>
                <w:lang w:eastAsia="en-AU"/>
              </w:rPr>
            </w:pPr>
            <w:proofErr w:type="spellStart"/>
            <w:r w:rsidRPr="00D56C84">
              <w:rPr>
                <w:lang w:eastAsia="en-AU"/>
              </w:rPr>
              <w:t>Buloke</w:t>
            </w:r>
            <w:proofErr w:type="spellEnd"/>
            <w:r w:rsidRPr="00D56C84">
              <w:rPr>
                <w:lang w:eastAsia="en-AU"/>
              </w:rPr>
              <w:t xml:space="preserve"> (S), </w:t>
            </w:r>
            <w:proofErr w:type="spellStart"/>
            <w:r w:rsidRPr="00D56C84">
              <w:rPr>
                <w:lang w:eastAsia="en-AU"/>
              </w:rPr>
              <w:t>Gannawarra</w:t>
            </w:r>
            <w:proofErr w:type="spellEnd"/>
            <w:r w:rsidRPr="00D56C84">
              <w:rPr>
                <w:lang w:eastAsia="en-AU"/>
              </w:rPr>
              <w:t xml:space="preserve"> (S), Loddon (S), Swan Hill (RC)</w:t>
            </w:r>
          </w:p>
        </w:tc>
        <w:tc>
          <w:tcPr>
            <w:tcW w:w="992" w:type="dxa"/>
            <w:tcBorders>
              <w:top w:val="single" w:sz="4" w:space="0" w:color="808080"/>
            </w:tcBorders>
            <w:vAlign w:val="center"/>
          </w:tcPr>
          <w:p w:rsidR="008C054C" w:rsidRPr="00D56C84" w:rsidRDefault="008C054C" w:rsidP="0058303C">
            <w:pPr>
              <w:pStyle w:val="TableText"/>
              <w:jc w:val="right"/>
              <w:rPr>
                <w:lang w:eastAsia="en-AU"/>
              </w:rPr>
            </w:pPr>
            <w:r w:rsidRPr="00D56C84">
              <w:rPr>
                <w:lang w:eastAsia="en-AU"/>
              </w:rPr>
              <w:t>48,938</w:t>
            </w:r>
          </w:p>
        </w:tc>
        <w:tc>
          <w:tcPr>
            <w:tcW w:w="992" w:type="dxa"/>
            <w:tcBorders>
              <w:top w:val="single" w:sz="4" w:space="0" w:color="808080"/>
            </w:tcBorders>
            <w:vAlign w:val="center"/>
          </w:tcPr>
          <w:p w:rsidR="008C054C" w:rsidRPr="008C054C" w:rsidRDefault="008C054C" w:rsidP="007157AE">
            <w:pPr>
              <w:pStyle w:val="TableText"/>
              <w:jc w:val="right"/>
              <w:rPr>
                <w:lang w:eastAsia="en-AU"/>
              </w:rPr>
            </w:pPr>
            <w:r w:rsidRPr="008C054C">
              <w:rPr>
                <w:lang w:eastAsia="en-AU"/>
              </w:rPr>
              <w:t>0.4</w:t>
            </w:r>
          </w:p>
        </w:tc>
      </w:tr>
      <w:tr w:rsidR="008C054C" w:rsidRPr="00D56C84" w:rsidTr="007157AE">
        <w:trPr>
          <w:cantSplit/>
          <w:trHeight w:val="284"/>
        </w:trPr>
        <w:tc>
          <w:tcPr>
            <w:tcW w:w="1418" w:type="dxa"/>
            <w:shd w:val="clear" w:color="auto" w:fill="auto"/>
            <w:noWrap/>
            <w:vAlign w:val="center"/>
            <w:hideMark/>
          </w:tcPr>
          <w:p w:rsidR="008C054C" w:rsidRPr="00D56C84" w:rsidRDefault="008C054C" w:rsidP="0058303C">
            <w:pPr>
              <w:pStyle w:val="TableText"/>
              <w:rPr>
                <w:lang w:eastAsia="en-AU"/>
              </w:rPr>
            </w:pPr>
            <w:r w:rsidRPr="00D56C84">
              <w:rPr>
                <w:lang w:eastAsia="en-AU"/>
              </w:rPr>
              <w:t>Desert Fringe</w:t>
            </w:r>
          </w:p>
        </w:tc>
        <w:tc>
          <w:tcPr>
            <w:tcW w:w="5103" w:type="dxa"/>
            <w:shd w:val="clear" w:color="auto" w:fill="auto"/>
            <w:noWrap/>
            <w:vAlign w:val="center"/>
            <w:hideMark/>
          </w:tcPr>
          <w:p w:rsidR="008C054C" w:rsidRPr="00D56C84" w:rsidRDefault="008C054C" w:rsidP="0058303C">
            <w:pPr>
              <w:pStyle w:val="TableText"/>
              <w:rPr>
                <w:lang w:eastAsia="en-AU"/>
              </w:rPr>
            </w:pPr>
            <w:r w:rsidRPr="00D56C84">
              <w:rPr>
                <w:lang w:eastAsia="en-AU"/>
              </w:rPr>
              <w:t>Hindmarsh (S), West Wimmera (S)</w:t>
            </w:r>
          </w:p>
        </w:tc>
        <w:tc>
          <w:tcPr>
            <w:tcW w:w="992" w:type="dxa"/>
            <w:vAlign w:val="center"/>
          </w:tcPr>
          <w:p w:rsidR="008C054C" w:rsidRPr="00D56C84" w:rsidRDefault="008C054C" w:rsidP="0058303C">
            <w:pPr>
              <w:pStyle w:val="TableText"/>
              <w:jc w:val="right"/>
              <w:rPr>
                <w:lang w:eastAsia="en-AU"/>
              </w:rPr>
            </w:pPr>
            <w:r w:rsidRPr="00D56C84">
              <w:rPr>
                <w:lang w:eastAsia="en-AU"/>
              </w:rPr>
              <w:t>10,815</w:t>
            </w:r>
          </w:p>
        </w:tc>
        <w:tc>
          <w:tcPr>
            <w:tcW w:w="992" w:type="dxa"/>
            <w:vAlign w:val="center"/>
          </w:tcPr>
          <w:p w:rsidR="008C054C" w:rsidRPr="008C054C" w:rsidRDefault="008C054C" w:rsidP="007157AE">
            <w:pPr>
              <w:pStyle w:val="TableText"/>
              <w:jc w:val="right"/>
              <w:rPr>
                <w:lang w:eastAsia="en-AU"/>
              </w:rPr>
            </w:pPr>
            <w:r w:rsidRPr="008C054C">
              <w:rPr>
                <w:lang w:eastAsia="en-AU"/>
              </w:rPr>
              <w:t>0.1</w:t>
            </w:r>
          </w:p>
        </w:tc>
      </w:tr>
      <w:tr w:rsidR="008C054C" w:rsidRPr="00D56C84" w:rsidTr="007157AE">
        <w:trPr>
          <w:cantSplit/>
          <w:trHeight w:val="284"/>
        </w:trPr>
        <w:tc>
          <w:tcPr>
            <w:tcW w:w="1418" w:type="dxa"/>
            <w:shd w:val="clear" w:color="auto" w:fill="auto"/>
            <w:noWrap/>
            <w:vAlign w:val="center"/>
            <w:hideMark/>
          </w:tcPr>
          <w:p w:rsidR="008C054C" w:rsidRPr="00D56C84" w:rsidRDefault="008C054C" w:rsidP="0058303C">
            <w:pPr>
              <w:pStyle w:val="TableText"/>
              <w:rPr>
                <w:lang w:eastAsia="en-AU"/>
              </w:rPr>
            </w:pPr>
            <w:r w:rsidRPr="00D56C84">
              <w:rPr>
                <w:lang w:eastAsia="en-AU"/>
              </w:rPr>
              <w:t>Gippsland</w:t>
            </w:r>
          </w:p>
        </w:tc>
        <w:tc>
          <w:tcPr>
            <w:tcW w:w="5103" w:type="dxa"/>
            <w:shd w:val="clear" w:color="auto" w:fill="auto"/>
            <w:noWrap/>
            <w:vAlign w:val="center"/>
            <w:hideMark/>
          </w:tcPr>
          <w:p w:rsidR="008C054C" w:rsidRPr="00D56C84" w:rsidRDefault="008C054C" w:rsidP="0058303C">
            <w:pPr>
              <w:pStyle w:val="TableText"/>
              <w:rPr>
                <w:lang w:eastAsia="en-AU"/>
              </w:rPr>
            </w:pPr>
            <w:r w:rsidRPr="00D56C84">
              <w:rPr>
                <w:lang w:eastAsia="en-AU"/>
              </w:rPr>
              <w:t xml:space="preserve">Bass Coast (S), Baw </w:t>
            </w:r>
            <w:proofErr w:type="spellStart"/>
            <w:r w:rsidRPr="00D56C84">
              <w:rPr>
                <w:lang w:eastAsia="en-AU"/>
              </w:rPr>
              <w:t>Baw</w:t>
            </w:r>
            <w:proofErr w:type="spellEnd"/>
            <w:r w:rsidRPr="00D56C84">
              <w:rPr>
                <w:lang w:eastAsia="en-AU"/>
              </w:rPr>
              <w:t xml:space="preserve"> (S), East Gippsland (S), Latrobe (C), South Gippsland (S), Wellington (S)</w:t>
            </w:r>
          </w:p>
        </w:tc>
        <w:tc>
          <w:tcPr>
            <w:tcW w:w="992" w:type="dxa"/>
            <w:vAlign w:val="center"/>
          </w:tcPr>
          <w:p w:rsidR="008C054C" w:rsidRPr="00D56C84" w:rsidRDefault="008C054C" w:rsidP="0058303C">
            <w:pPr>
              <w:pStyle w:val="TableText"/>
              <w:jc w:val="right"/>
              <w:rPr>
                <w:lang w:eastAsia="en-AU"/>
              </w:rPr>
            </w:pPr>
            <w:r w:rsidRPr="00D56C84">
              <w:rPr>
                <w:lang w:eastAsia="en-AU"/>
              </w:rPr>
              <w:t>260,756</w:t>
            </w:r>
          </w:p>
        </w:tc>
        <w:tc>
          <w:tcPr>
            <w:tcW w:w="992" w:type="dxa"/>
            <w:vAlign w:val="center"/>
          </w:tcPr>
          <w:p w:rsidR="008C054C" w:rsidRPr="008C054C" w:rsidRDefault="008C054C" w:rsidP="007157AE">
            <w:pPr>
              <w:pStyle w:val="TableText"/>
              <w:jc w:val="right"/>
              <w:rPr>
                <w:lang w:eastAsia="en-AU"/>
              </w:rPr>
            </w:pPr>
            <w:r w:rsidRPr="008C054C">
              <w:rPr>
                <w:lang w:eastAsia="en-AU"/>
              </w:rPr>
              <w:t>1.2</w:t>
            </w:r>
          </w:p>
        </w:tc>
      </w:tr>
      <w:tr w:rsidR="008C054C" w:rsidRPr="00D56C84" w:rsidTr="007157AE">
        <w:trPr>
          <w:cantSplit/>
          <w:trHeight w:val="284"/>
        </w:trPr>
        <w:tc>
          <w:tcPr>
            <w:tcW w:w="1418" w:type="dxa"/>
            <w:tcBorders>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Goulburn Valley</w:t>
            </w:r>
          </w:p>
        </w:tc>
        <w:tc>
          <w:tcPr>
            <w:tcW w:w="5103" w:type="dxa"/>
            <w:tcBorders>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Campaspe (S), Cardinia (S), Greater Shepparton (C), Mitchell (S), Moira (S), Murrindindi (S), Strathbogie (S)</w:t>
            </w:r>
          </w:p>
        </w:tc>
        <w:tc>
          <w:tcPr>
            <w:tcW w:w="992" w:type="dxa"/>
            <w:tcBorders>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256,396</w:t>
            </w:r>
          </w:p>
        </w:tc>
        <w:tc>
          <w:tcPr>
            <w:tcW w:w="992" w:type="dxa"/>
            <w:tcBorders>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1.1</w:t>
            </w:r>
          </w:p>
        </w:tc>
      </w:tr>
      <w:tr w:rsidR="008C054C" w:rsidRPr="00D56C84" w:rsidTr="007157AE">
        <w:trPr>
          <w:cantSplit/>
          <w:trHeight w:val="284"/>
        </w:trPr>
        <w:tc>
          <w:tcPr>
            <w:tcW w:w="1418"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Grampians</w:t>
            </w:r>
          </w:p>
        </w:tc>
        <w:tc>
          <w:tcPr>
            <w:tcW w:w="5103"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 xml:space="preserve">Ararat (RC), Horsham (RC), Northern Grampians (S), </w:t>
            </w:r>
            <w:proofErr w:type="spellStart"/>
            <w:r w:rsidRPr="00D56C84">
              <w:rPr>
                <w:lang w:eastAsia="en-AU"/>
              </w:rPr>
              <w:t>Yarriambiack</w:t>
            </w:r>
            <w:proofErr w:type="spellEnd"/>
            <w:r w:rsidRPr="00D56C84">
              <w:rPr>
                <w:lang w:eastAsia="en-AU"/>
              </w:rPr>
              <w:t xml:space="preserve"> (S)</w:t>
            </w:r>
          </w:p>
        </w:tc>
        <w:tc>
          <w:tcPr>
            <w:tcW w:w="992" w:type="dxa"/>
            <w:tcBorders>
              <w:top w:val="single" w:sz="4" w:space="0" w:color="808080"/>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51,976</w:t>
            </w:r>
          </w:p>
        </w:tc>
        <w:tc>
          <w:tcPr>
            <w:tcW w:w="992" w:type="dxa"/>
            <w:tcBorders>
              <w:top w:val="single" w:sz="4" w:space="0" w:color="808080"/>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0.4</w:t>
            </w:r>
          </w:p>
        </w:tc>
      </w:tr>
      <w:tr w:rsidR="008C054C" w:rsidRPr="00D56C84" w:rsidTr="007157AE">
        <w:trPr>
          <w:cantSplit/>
          <w:trHeight w:val="284"/>
        </w:trPr>
        <w:tc>
          <w:tcPr>
            <w:tcW w:w="1418"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Highlands</w:t>
            </w:r>
          </w:p>
        </w:tc>
        <w:tc>
          <w:tcPr>
            <w:tcW w:w="5103"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 xml:space="preserve">Ballarat (C), Central Goldfields (S), Golden Plains (S), Hepburn (S), </w:t>
            </w:r>
            <w:proofErr w:type="spellStart"/>
            <w:r w:rsidRPr="00D56C84">
              <w:rPr>
                <w:lang w:eastAsia="en-AU"/>
              </w:rPr>
              <w:t>Moorabool</w:t>
            </w:r>
            <w:proofErr w:type="spellEnd"/>
            <w:r w:rsidRPr="00D56C84">
              <w:rPr>
                <w:lang w:eastAsia="en-AU"/>
              </w:rPr>
              <w:t xml:space="preserve"> (S), Pyrenees (S)</w:t>
            </w:r>
          </w:p>
        </w:tc>
        <w:tc>
          <w:tcPr>
            <w:tcW w:w="992" w:type="dxa"/>
            <w:tcBorders>
              <w:top w:val="single" w:sz="4" w:space="0" w:color="808080"/>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174,744</w:t>
            </w:r>
          </w:p>
        </w:tc>
        <w:tc>
          <w:tcPr>
            <w:tcW w:w="992" w:type="dxa"/>
            <w:tcBorders>
              <w:top w:val="single" w:sz="4" w:space="0" w:color="808080"/>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0.8</w:t>
            </w:r>
          </w:p>
        </w:tc>
      </w:tr>
      <w:tr w:rsidR="008C054C" w:rsidRPr="00D56C84" w:rsidTr="007157AE">
        <w:trPr>
          <w:cantSplit/>
          <w:trHeight w:val="284"/>
        </w:trPr>
        <w:tc>
          <w:tcPr>
            <w:tcW w:w="1418" w:type="dxa"/>
            <w:tcBorders>
              <w:top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Mildura</w:t>
            </w:r>
          </w:p>
        </w:tc>
        <w:tc>
          <w:tcPr>
            <w:tcW w:w="5103" w:type="dxa"/>
            <w:tcBorders>
              <w:top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Mildura (RC)</w:t>
            </w:r>
          </w:p>
        </w:tc>
        <w:tc>
          <w:tcPr>
            <w:tcW w:w="992" w:type="dxa"/>
            <w:tcBorders>
              <w:top w:val="single" w:sz="4" w:space="0" w:color="808080"/>
            </w:tcBorders>
            <w:vAlign w:val="center"/>
          </w:tcPr>
          <w:p w:rsidR="008C054C" w:rsidRPr="00D56C84" w:rsidRDefault="008C054C" w:rsidP="0058303C">
            <w:pPr>
              <w:pStyle w:val="TableText"/>
              <w:jc w:val="right"/>
              <w:rPr>
                <w:lang w:eastAsia="en-AU"/>
              </w:rPr>
            </w:pPr>
            <w:r w:rsidRPr="00D56C84">
              <w:rPr>
                <w:lang w:eastAsia="en-AU"/>
              </w:rPr>
              <w:t>53,877</w:t>
            </w:r>
          </w:p>
        </w:tc>
        <w:tc>
          <w:tcPr>
            <w:tcW w:w="992" w:type="dxa"/>
            <w:tcBorders>
              <w:top w:val="single" w:sz="4" w:space="0" w:color="808080"/>
            </w:tcBorders>
            <w:vAlign w:val="center"/>
          </w:tcPr>
          <w:p w:rsidR="008C054C" w:rsidRPr="008C054C" w:rsidRDefault="008C054C" w:rsidP="007157AE">
            <w:pPr>
              <w:pStyle w:val="TableText"/>
              <w:jc w:val="right"/>
              <w:rPr>
                <w:lang w:eastAsia="en-AU"/>
              </w:rPr>
            </w:pPr>
            <w:r w:rsidRPr="008C054C">
              <w:rPr>
                <w:lang w:eastAsia="en-AU"/>
              </w:rPr>
              <w:t>1.6</w:t>
            </w:r>
          </w:p>
        </w:tc>
      </w:tr>
      <w:tr w:rsidR="008C054C" w:rsidRPr="00D56C84" w:rsidTr="007157AE">
        <w:trPr>
          <w:cantSplit/>
          <w:trHeight w:val="284"/>
        </w:trPr>
        <w:tc>
          <w:tcPr>
            <w:tcW w:w="1418" w:type="dxa"/>
            <w:shd w:val="clear" w:color="auto" w:fill="auto"/>
            <w:noWrap/>
            <w:vAlign w:val="center"/>
            <w:hideMark/>
          </w:tcPr>
          <w:p w:rsidR="008C054C" w:rsidRPr="00D56C84" w:rsidRDefault="008C054C" w:rsidP="0058303C">
            <w:pPr>
              <w:pStyle w:val="TableText"/>
              <w:rPr>
                <w:lang w:eastAsia="en-AU"/>
              </w:rPr>
            </w:pPr>
            <w:r w:rsidRPr="00D56C84">
              <w:rPr>
                <w:lang w:eastAsia="en-AU"/>
              </w:rPr>
              <w:t>Mornington</w:t>
            </w:r>
          </w:p>
        </w:tc>
        <w:tc>
          <w:tcPr>
            <w:tcW w:w="5103" w:type="dxa"/>
            <w:shd w:val="clear" w:color="auto" w:fill="auto"/>
            <w:noWrap/>
            <w:vAlign w:val="center"/>
            <w:hideMark/>
          </w:tcPr>
          <w:p w:rsidR="008C054C" w:rsidRPr="00D56C84" w:rsidRDefault="008C054C" w:rsidP="0058303C">
            <w:pPr>
              <w:pStyle w:val="TableText"/>
              <w:rPr>
                <w:lang w:eastAsia="en-AU"/>
              </w:rPr>
            </w:pPr>
            <w:r w:rsidRPr="00D56C84">
              <w:rPr>
                <w:lang w:eastAsia="en-AU"/>
              </w:rPr>
              <w:t>Mornington Peninsula (S)</w:t>
            </w:r>
          </w:p>
        </w:tc>
        <w:tc>
          <w:tcPr>
            <w:tcW w:w="992" w:type="dxa"/>
            <w:vAlign w:val="center"/>
          </w:tcPr>
          <w:p w:rsidR="008C054C" w:rsidRPr="00D56C84" w:rsidRDefault="008C054C" w:rsidP="0058303C">
            <w:pPr>
              <w:pStyle w:val="TableText"/>
              <w:jc w:val="right"/>
              <w:rPr>
                <w:lang w:eastAsia="en-AU"/>
              </w:rPr>
            </w:pPr>
            <w:r w:rsidRPr="00D56C84">
              <w:rPr>
                <w:lang w:eastAsia="en-AU"/>
              </w:rPr>
              <w:t>148,394</w:t>
            </w:r>
          </w:p>
        </w:tc>
        <w:tc>
          <w:tcPr>
            <w:tcW w:w="992" w:type="dxa"/>
            <w:vAlign w:val="center"/>
          </w:tcPr>
          <w:p w:rsidR="008C054C" w:rsidRPr="008C054C" w:rsidRDefault="008C054C" w:rsidP="007157AE">
            <w:pPr>
              <w:pStyle w:val="TableText"/>
              <w:jc w:val="right"/>
              <w:rPr>
                <w:lang w:eastAsia="en-AU"/>
              </w:rPr>
            </w:pPr>
            <w:r w:rsidRPr="008C054C">
              <w:rPr>
                <w:lang w:eastAsia="en-AU"/>
              </w:rPr>
              <w:t>3.6</w:t>
            </w:r>
          </w:p>
        </w:tc>
      </w:tr>
      <w:tr w:rsidR="008C054C" w:rsidRPr="00D56C84" w:rsidTr="007157AE">
        <w:trPr>
          <w:cantSplit/>
          <w:trHeight w:val="284"/>
        </w:trPr>
        <w:tc>
          <w:tcPr>
            <w:tcW w:w="1418" w:type="dxa"/>
            <w:tcBorders>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North east</w:t>
            </w:r>
          </w:p>
        </w:tc>
        <w:tc>
          <w:tcPr>
            <w:tcW w:w="5103" w:type="dxa"/>
            <w:tcBorders>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Alpine (S), Benalla (RC), Indigo (S), Mansfield (S), Towong (S), Wangaratta (RC), Wodonga (RC), Yarra Ranges (S)</w:t>
            </w:r>
          </w:p>
        </w:tc>
        <w:tc>
          <w:tcPr>
            <w:tcW w:w="992" w:type="dxa"/>
            <w:tcBorders>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270,477</w:t>
            </w:r>
          </w:p>
        </w:tc>
        <w:tc>
          <w:tcPr>
            <w:tcW w:w="992" w:type="dxa"/>
            <w:tcBorders>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1.0</w:t>
            </w:r>
          </w:p>
        </w:tc>
      </w:tr>
      <w:tr w:rsidR="008C054C" w:rsidRPr="00D56C84" w:rsidTr="007157AE">
        <w:trPr>
          <w:cantSplit/>
          <w:trHeight w:val="284"/>
        </w:trPr>
        <w:tc>
          <w:tcPr>
            <w:tcW w:w="1418"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South West</w:t>
            </w:r>
          </w:p>
        </w:tc>
        <w:tc>
          <w:tcPr>
            <w:tcW w:w="5103" w:type="dxa"/>
            <w:tcBorders>
              <w:top w:val="single" w:sz="4" w:space="0" w:color="808080"/>
              <w:bottom w:val="single" w:sz="4" w:space="0" w:color="808080"/>
            </w:tcBorders>
            <w:shd w:val="clear" w:color="auto" w:fill="auto"/>
            <w:noWrap/>
            <w:vAlign w:val="center"/>
            <w:hideMark/>
          </w:tcPr>
          <w:p w:rsidR="008C054C" w:rsidRPr="00D56C84" w:rsidRDefault="008C054C" w:rsidP="0058303C">
            <w:pPr>
              <w:pStyle w:val="TableText"/>
              <w:rPr>
                <w:lang w:eastAsia="en-AU"/>
              </w:rPr>
            </w:pPr>
            <w:r w:rsidRPr="00D56C84">
              <w:rPr>
                <w:lang w:eastAsia="en-AU"/>
              </w:rPr>
              <w:t>Corangamite (S), Glenelg (S), Moyne (S), Southern Grampians (S), Warrnambool (C)</w:t>
            </w:r>
          </w:p>
        </w:tc>
        <w:tc>
          <w:tcPr>
            <w:tcW w:w="992" w:type="dxa"/>
            <w:tcBorders>
              <w:top w:val="single" w:sz="4" w:space="0" w:color="808080"/>
              <w:bottom w:val="single" w:sz="4" w:space="0" w:color="808080"/>
            </w:tcBorders>
            <w:vAlign w:val="center"/>
          </w:tcPr>
          <w:p w:rsidR="008C054C" w:rsidRPr="00D56C84" w:rsidRDefault="008C054C" w:rsidP="0058303C">
            <w:pPr>
              <w:pStyle w:val="TableText"/>
              <w:jc w:val="right"/>
              <w:rPr>
                <w:lang w:eastAsia="en-AU"/>
              </w:rPr>
            </w:pPr>
            <w:r w:rsidRPr="00D56C84">
              <w:rPr>
                <w:lang w:eastAsia="en-AU"/>
              </w:rPr>
              <w:t>106,268</w:t>
            </w:r>
          </w:p>
        </w:tc>
        <w:tc>
          <w:tcPr>
            <w:tcW w:w="992" w:type="dxa"/>
            <w:tcBorders>
              <w:top w:val="single" w:sz="4" w:space="0" w:color="808080"/>
              <w:bottom w:val="single" w:sz="4" w:space="0" w:color="808080"/>
            </w:tcBorders>
            <w:vAlign w:val="center"/>
          </w:tcPr>
          <w:p w:rsidR="008C054C" w:rsidRPr="008C054C" w:rsidRDefault="008C054C" w:rsidP="007157AE">
            <w:pPr>
              <w:pStyle w:val="TableText"/>
              <w:jc w:val="right"/>
              <w:rPr>
                <w:lang w:eastAsia="en-AU"/>
              </w:rPr>
            </w:pPr>
            <w:r w:rsidRPr="008C054C">
              <w:rPr>
                <w:lang w:eastAsia="en-AU"/>
              </w:rPr>
              <w:t>0.6</w:t>
            </w:r>
          </w:p>
        </w:tc>
      </w:tr>
    </w:tbl>
    <w:p w:rsidR="00C57FC9" w:rsidRPr="00D56C84" w:rsidRDefault="00C57FC9" w:rsidP="00D52723">
      <w:pPr>
        <w:pStyle w:val="Heading40"/>
        <w:jc w:val="both"/>
      </w:pPr>
      <w:r w:rsidRPr="00D56C84">
        <w:lastRenderedPageBreak/>
        <w:t>Metropolitan Waste Management Group</w:t>
      </w:r>
      <w:r w:rsidR="00746A9F" w:rsidRPr="00D56C84">
        <w:t xml:space="preserve"> (MWMG)</w:t>
      </w:r>
    </w:p>
    <w:p w:rsidR="00E508B6" w:rsidRPr="00D56C84" w:rsidRDefault="00C57FC9" w:rsidP="00D52723">
      <w:pPr>
        <w:pStyle w:val="ParaIndent"/>
        <w:keepNext/>
        <w:spacing w:after="60"/>
        <w:jc w:val="both"/>
      </w:pPr>
      <w:r w:rsidRPr="00D56C84">
        <w:t xml:space="preserve">With respect to the MWMG, the </w:t>
      </w:r>
      <w:r w:rsidR="006A290C" w:rsidRPr="001108C3">
        <w:rPr>
          <w:i/>
        </w:rPr>
        <w:t>Environment Protection Act (1970)</w:t>
      </w:r>
      <w:r w:rsidR="006A290C" w:rsidRPr="00D56C84">
        <w:t xml:space="preserve"> </w:t>
      </w:r>
      <w:r w:rsidRPr="00D56C84">
        <w:t>states:</w:t>
      </w:r>
    </w:p>
    <w:p w:rsidR="00C57FC9" w:rsidRPr="00D56C84" w:rsidRDefault="00C57FC9" w:rsidP="00D52723">
      <w:pPr>
        <w:pStyle w:val="ParaIndent"/>
        <w:keepNext/>
        <w:spacing w:after="60"/>
        <w:ind w:left="1701"/>
        <w:jc w:val="both"/>
        <w:rPr>
          <w:b/>
          <w:sz w:val="18"/>
          <w:szCs w:val="18"/>
        </w:rPr>
      </w:pPr>
      <w:r w:rsidRPr="00D56C84">
        <w:rPr>
          <w:b/>
          <w:sz w:val="18"/>
          <w:szCs w:val="18"/>
        </w:rPr>
        <w:t>50AC Objectives</w:t>
      </w:r>
    </w:p>
    <w:p w:rsidR="00CA496D" w:rsidRPr="00D56C84" w:rsidRDefault="00CA496D" w:rsidP="00D52723">
      <w:pPr>
        <w:pStyle w:val="ParaIndent"/>
        <w:keepNext/>
        <w:spacing w:after="60"/>
        <w:ind w:left="1701"/>
        <w:jc w:val="both"/>
        <w:rPr>
          <w:sz w:val="18"/>
          <w:szCs w:val="18"/>
        </w:rPr>
      </w:pPr>
      <w:r w:rsidRPr="00D56C84">
        <w:rPr>
          <w:sz w:val="18"/>
          <w:szCs w:val="18"/>
        </w:rPr>
        <w:t>(1) The objectives of the Metropolitan Waste Management Group are to—</w:t>
      </w:r>
    </w:p>
    <w:p w:rsidR="00CA496D" w:rsidRPr="00D56C84" w:rsidRDefault="00CA496D"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plan</w:t>
      </w:r>
      <w:proofErr w:type="gramEnd"/>
      <w:r w:rsidRPr="00D56C84">
        <w:rPr>
          <w:sz w:val="18"/>
          <w:szCs w:val="18"/>
        </w:rPr>
        <w:t>, coordinate and facilitate metropolitan councils' procurement of waste management and resource recovery services; and</w:t>
      </w:r>
    </w:p>
    <w:p w:rsidR="00CA496D" w:rsidRPr="00D56C84" w:rsidRDefault="00CA496D"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assist</w:t>
      </w:r>
      <w:proofErr w:type="gramEnd"/>
      <w:r w:rsidRPr="00D56C84">
        <w:rPr>
          <w:sz w:val="18"/>
          <w:szCs w:val="18"/>
        </w:rPr>
        <w:t xml:space="preserve"> metropolitan councils to undertake collective and joint efforts to—</w:t>
      </w:r>
    </w:p>
    <w:p w:rsidR="00CA496D" w:rsidRPr="00D56C84" w:rsidRDefault="00CA496D" w:rsidP="00D52723">
      <w:pPr>
        <w:pStyle w:val="ParaIndent"/>
        <w:keepNext/>
        <w:spacing w:after="60"/>
        <w:ind w:left="2268"/>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reduce</w:t>
      </w:r>
      <w:proofErr w:type="gramEnd"/>
      <w:r w:rsidRPr="00D56C84">
        <w:rPr>
          <w:sz w:val="18"/>
          <w:szCs w:val="18"/>
        </w:rPr>
        <w:t xml:space="preserve"> the generation of waste; and</w:t>
      </w:r>
    </w:p>
    <w:p w:rsidR="00CA496D" w:rsidRPr="00D56C84" w:rsidRDefault="00CA496D" w:rsidP="00D52723">
      <w:pPr>
        <w:pStyle w:val="ParaIndent"/>
        <w:keepNext/>
        <w:spacing w:after="60"/>
        <w:ind w:left="2268"/>
        <w:jc w:val="both"/>
        <w:rPr>
          <w:sz w:val="18"/>
          <w:szCs w:val="18"/>
        </w:rPr>
      </w:pPr>
      <w:r w:rsidRPr="00D56C84">
        <w:rPr>
          <w:sz w:val="18"/>
          <w:szCs w:val="18"/>
        </w:rPr>
        <w:t xml:space="preserve">(ii) </w:t>
      </w:r>
      <w:proofErr w:type="gramStart"/>
      <w:r w:rsidRPr="00D56C84">
        <w:rPr>
          <w:sz w:val="18"/>
          <w:szCs w:val="18"/>
        </w:rPr>
        <w:t>maximise</w:t>
      </w:r>
      <w:proofErr w:type="gramEnd"/>
      <w:r w:rsidRPr="00D56C84">
        <w:rPr>
          <w:sz w:val="18"/>
          <w:szCs w:val="18"/>
        </w:rPr>
        <w:t xml:space="preserve"> the sustainable recovery of materials from waste for reuse, recycling and reprocessing and energy recovery; and</w:t>
      </w:r>
    </w:p>
    <w:p w:rsidR="00CA496D" w:rsidRPr="00D56C84" w:rsidRDefault="00CA496D" w:rsidP="00D52723">
      <w:pPr>
        <w:pStyle w:val="ParaIndent"/>
        <w:ind w:left="2268"/>
        <w:jc w:val="both"/>
        <w:rPr>
          <w:sz w:val="18"/>
          <w:szCs w:val="18"/>
        </w:rPr>
      </w:pPr>
      <w:r w:rsidRPr="00D56C84">
        <w:rPr>
          <w:sz w:val="18"/>
          <w:szCs w:val="18"/>
        </w:rPr>
        <w:t xml:space="preserve">(iii) </w:t>
      </w:r>
      <w:proofErr w:type="gramStart"/>
      <w:r w:rsidRPr="00D56C84">
        <w:rPr>
          <w:sz w:val="18"/>
          <w:szCs w:val="18"/>
        </w:rPr>
        <w:t>minimise</w:t>
      </w:r>
      <w:proofErr w:type="gramEnd"/>
      <w:r w:rsidRPr="00D56C84">
        <w:rPr>
          <w:sz w:val="18"/>
          <w:szCs w:val="18"/>
        </w:rPr>
        <w:t xml:space="preserve"> the damage to the environment caused by waste disposal.</w:t>
      </w:r>
    </w:p>
    <w:p w:rsidR="00CA496D" w:rsidRPr="00D56C84" w:rsidRDefault="00CA496D" w:rsidP="00D52723">
      <w:pPr>
        <w:pStyle w:val="ParaIndent"/>
        <w:spacing w:after="60"/>
        <w:ind w:left="1701"/>
        <w:jc w:val="both"/>
        <w:rPr>
          <w:sz w:val="18"/>
          <w:szCs w:val="18"/>
        </w:rPr>
      </w:pPr>
      <w:r w:rsidRPr="00D56C84">
        <w:rPr>
          <w:sz w:val="18"/>
          <w:szCs w:val="18"/>
        </w:rPr>
        <w:t>(2) In seeking to achieve its objectives, the Metropolitan Waste Management Group must collaborate with metropolitan councils,</w:t>
      </w:r>
      <w:r w:rsidR="00C57FC9" w:rsidRPr="00D56C84">
        <w:rPr>
          <w:sz w:val="18"/>
          <w:szCs w:val="18"/>
        </w:rPr>
        <w:t xml:space="preserve"> </w:t>
      </w:r>
      <w:r w:rsidRPr="00D56C84">
        <w:rPr>
          <w:sz w:val="18"/>
          <w:szCs w:val="18"/>
        </w:rPr>
        <w:t>Sustainability Victoria, the Authority, industry,</w:t>
      </w:r>
      <w:r w:rsidR="00C57FC9" w:rsidRPr="00D56C84">
        <w:rPr>
          <w:sz w:val="18"/>
          <w:szCs w:val="18"/>
        </w:rPr>
        <w:t xml:space="preserve"> </w:t>
      </w:r>
      <w:r w:rsidRPr="00D56C84">
        <w:rPr>
          <w:sz w:val="18"/>
          <w:szCs w:val="18"/>
        </w:rPr>
        <w:t>business and the community.</w:t>
      </w:r>
    </w:p>
    <w:p w:rsidR="00CA496D" w:rsidRPr="00D56C84" w:rsidRDefault="00C57FC9" w:rsidP="00D52723">
      <w:pPr>
        <w:pStyle w:val="ParaIndent"/>
        <w:keepNext/>
        <w:spacing w:after="60"/>
        <w:ind w:left="1701"/>
        <w:jc w:val="both"/>
        <w:rPr>
          <w:b/>
          <w:sz w:val="18"/>
          <w:szCs w:val="18"/>
        </w:rPr>
      </w:pPr>
      <w:r w:rsidRPr="00D56C84">
        <w:rPr>
          <w:b/>
          <w:sz w:val="18"/>
          <w:szCs w:val="18"/>
        </w:rPr>
        <w:t>50AD Functions</w:t>
      </w:r>
    </w:p>
    <w:p w:rsidR="00CA496D" w:rsidRPr="00D56C84" w:rsidRDefault="00CA496D" w:rsidP="00D52723">
      <w:pPr>
        <w:pStyle w:val="ParaIndent"/>
        <w:keepNext/>
        <w:spacing w:after="60"/>
        <w:ind w:left="1701"/>
        <w:jc w:val="both"/>
        <w:rPr>
          <w:sz w:val="18"/>
          <w:szCs w:val="18"/>
        </w:rPr>
      </w:pPr>
      <w:r w:rsidRPr="00D56C84">
        <w:rPr>
          <w:sz w:val="18"/>
          <w:szCs w:val="18"/>
        </w:rPr>
        <w:t>The functions of the Metropolitan Waste</w:t>
      </w:r>
      <w:r w:rsidR="00C57FC9" w:rsidRPr="00D56C84">
        <w:rPr>
          <w:sz w:val="18"/>
          <w:szCs w:val="18"/>
        </w:rPr>
        <w:t xml:space="preserve"> </w:t>
      </w:r>
      <w:r w:rsidRPr="00D56C84">
        <w:rPr>
          <w:sz w:val="18"/>
          <w:szCs w:val="18"/>
        </w:rPr>
        <w:t>Management Group are to—</w:t>
      </w:r>
    </w:p>
    <w:p w:rsidR="00CA496D" w:rsidRPr="00D56C84" w:rsidRDefault="00CA496D"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facilitate</w:t>
      </w:r>
      <w:proofErr w:type="gramEnd"/>
      <w:r w:rsidRPr="00D56C84">
        <w:rPr>
          <w:sz w:val="18"/>
          <w:szCs w:val="18"/>
        </w:rPr>
        <w:t xml:space="preserve"> the provision of waste management</w:t>
      </w:r>
      <w:r w:rsidR="00C57FC9" w:rsidRPr="00D56C84">
        <w:rPr>
          <w:sz w:val="18"/>
          <w:szCs w:val="18"/>
        </w:rPr>
        <w:t xml:space="preserve"> </w:t>
      </w:r>
      <w:r w:rsidRPr="00D56C84">
        <w:rPr>
          <w:sz w:val="18"/>
          <w:szCs w:val="18"/>
        </w:rPr>
        <w:t>services and facilities by metropolitan</w:t>
      </w:r>
      <w:r w:rsidR="00C57FC9" w:rsidRPr="00D56C84">
        <w:rPr>
          <w:sz w:val="18"/>
          <w:szCs w:val="18"/>
        </w:rPr>
        <w:t xml:space="preserve"> </w:t>
      </w:r>
      <w:r w:rsidRPr="00D56C84">
        <w:rPr>
          <w:sz w:val="18"/>
          <w:szCs w:val="18"/>
        </w:rPr>
        <w:t>councils;</w:t>
      </w:r>
    </w:p>
    <w:p w:rsidR="00CA496D" w:rsidRPr="00D56C84" w:rsidRDefault="00CA496D" w:rsidP="00D52723">
      <w:pPr>
        <w:pStyle w:val="ParaIndent"/>
        <w:spacing w:after="60"/>
        <w:ind w:left="1985"/>
        <w:jc w:val="both"/>
        <w:rPr>
          <w:sz w:val="18"/>
          <w:szCs w:val="18"/>
        </w:rPr>
      </w:pPr>
      <w:r w:rsidRPr="00D56C84">
        <w:rPr>
          <w:sz w:val="18"/>
          <w:szCs w:val="18"/>
        </w:rPr>
        <w:t xml:space="preserve">(b) </w:t>
      </w:r>
      <w:proofErr w:type="gramStart"/>
      <w:r w:rsidRPr="00D56C84">
        <w:rPr>
          <w:sz w:val="18"/>
          <w:szCs w:val="18"/>
        </w:rPr>
        <w:t>enter</w:t>
      </w:r>
      <w:proofErr w:type="gramEnd"/>
      <w:r w:rsidRPr="00D56C84">
        <w:rPr>
          <w:sz w:val="18"/>
          <w:szCs w:val="18"/>
        </w:rPr>
        <w:t xml:space="preserve"> into contracts and arrangements to</w:t>
      </w:r>
      <w:r w:rsidR="00C57FC9" w:rsidRPr="00D56C84">
        <w:rPr>
          <w:sz w:val="18"/>
          <w:szCs w:val="18"/>
        </w:rPr>
        <w:t xml:space="preserve"> </w:t>
      </w:r>
      <w:r w:rsidRPr="00D56C84">
        <w:rPr>
          <w:sz w:val="18"/>
          <w:szCs w:val="18"/>
        </w:rPr>
        <w:t>develop and facilitate waste management</w:t>
      </w:r>
      <w:r w:rsidR="00C57FC9" w:rsidRPr="00D56C84">
        <w:rPr>
          <w:sz w:val="18"/>
          <w:szCs w:val="18"/>
        </w:rPr>
        <w:t xml:space="preserve"> </w:t>
      </w:r>
      <w:r w:rsidRPr="00D56C84">
        <w:rPr>
          <w:sz w:val="18"/>
          <w:szCs w:val="18"/>
        </w:rPr>
        <w:t>services and facilities contracts for</w:t>
      </w:r>
      <w:r w:rsidR="00C57FC9" w:rsidRPr="00D56C84">
        <w:rPr>
          <w:sz w:val="18"/>
          <w:szCs w:val="18"/>
        </w:rPr>
        <w:t xml:space="preserve"> </w:t>
      </w:r>
      <w:r w:rsidRPr="00D56C84">
        <w:rPr>
          <w:sz w:val="18"/>
          <w:szCs w:val="18"/>
        </w:rPr>
        <w:t>metropolitan councils;</w:t>
      </w:r>
    </w:p>
    <w:p w:rsidR="00CA496D" w:rsidRPr="00D56C84" w:rsidRDefault="00CA496D" w:rsidP="00D52723">
      <w:pPr>
        <w:pStyle w:val="ParaIndent"/>
        <w:spacing w:after="60"/>
        <w:ind w:left="1985"/>
        <w:jc w:val="both"/>
        <w:rPr>
          <w:sz w:val="18"/>
          <w:szCs w:val="18"/>
        </w:rPr>
      </w:pPr>
      <w:r w:rsidRPr="00D56C84">
        <w:rPr>
          <w:sz w:val="18"/>
          <w:szCs w:val="18"/>
        </w:rPr>
        <w:t xml:space="preserve">(c) </w:t>
      </w:r>
      <w:proofErr w:type="gramStart"/>
      <w:r w:rsidRPr="00D56C84">
        <w:rPr>
          <w:sz w:val="18"/>
          <w:szCs w:val="18"/>
        </w:rPr>
        <w:t>manage</w:t>
      </w:r>
      <w:proofErr w:type="gramEnd"/>
      <w:r w:rsidRPr="00D56C84">
        <w:rPr>
          <w:sz w:val="18"/>
          <w:szCs w:val="18"/>
        </w:rPr>
        <w:t xml:space="preserve"> contracts and arrangements between</w:t>
      </w:r>
      <w:r w:rsidR="00C57FC9" w:rsidRPr="00D56C84">
        <w:rPr>
          <w:sz w:val="18"/>
          <w:szCs w:val="18"/>
        </w:rPr>
        <w:t xml:space="preserve"> </w:t>
      </w:r>
      <w:r w:rsidRPr="00D56C84">
        <w:rPr>
          <w:sz w:val="18"/>
          <w:szCs w:val="18"/>
        </w:rPr>
        <w:t>metropolitan councils and the providers of</w:t>
      </w:r>
      <w:r w:rsidR="00C57FC9" w:rsidRPr="00D56C84">
        <w:rPr>
          <w:sz w:val="18"/>
          <w:szCs w:val="18"/>
        </w:rPr>
        <w:t xml:space="preserve"> </w:t>
      </w:r>
      <w:r w:rsidRPr="00D56C84">
        <w:rPr>
          <w:sz w:val="18"/>
          <w:szCs w:val="18"/>
        </w:rPr>
        <w:t>waste management services and facilities to</w:t>
      </w:r>
      <w:r w:rsidR="00C57FC9" w:rsidRPr="00D56C84">
        <w:rPr>
          <w:sz w:val="18"/>
          <w:szCs w:val="18"/>
        </w:rPr>
        <w:t xml:space="preserve"> </w:t>
      </w:r>
      <w:r w:rsidRPr="00D56C84">
        <w:rPr>
          <w:sz w:val="18"/>
          <w:szCs w:val="18"/>
        </w:rPr>
        <w:t>those metropolitan councils;</w:t>
      </w:r>
    </w:p>
    <w:p w:rsidR="00CA496D" w:rsidRPr="00D56C84" w:rsidRDefault="00CA496D" w:rsidP="00D52723">
      <w:pPr>
        <w:pStyle w:val="ParaIndent"/>
        <w:spacing w:after="60"/>
        <w:ind w:left="1985"/>
        <w:jc w:val="both"/>
        <w:rPr>
          <w:sz w:val="18"/>
          <w:szCs w:val="18"/>
        </w:rPr>
      </w:pPr>
      <w:r w:rsidRPr="00D56C84">
        <w:rPr>
          <w:sz w:val="18"/>
          <w:szCs w:val="18"/>
        </w:rPr>
        <w:t xml:space="preserve">(d) </w:t>
      </w:r>
      <w:proofErr w:type="gramStart"/>
      <w:r w:rsidRPr="00D56C84">
        <w:rPr>
          <w:sz w:val="18"/>
          <w:szCs w:val="18"/>
        </w:rPr>
        <w:t>promote</w:t>
      </w:r>
      <w:proofErr w:type="gramEnd"/>
      <w:r w:rsidRPr="00D56C84">
        <w:rPr>
          <w:sz w:val="18"/>
          <w:szCs w:val="18"/>
        </w:rPr>
        <w:t>, commission and undertake research</w:t>
      </w:r>
      <w:r w:rsidR="00C57FC9" w:rsidRPr="00D56C84">
        <w:rPr>
          <w:sz w:val="18"/>
          <w:szCs w:val="18"/>
        </w:rPr>
        <w:t xml:space="preserve"> </w:t>
      </w:r>
      <w:r w:rsidRPr="00D56C84">
        <w:rPr>
          <w:sz w:val="18"/>
          <w:szCs w:val="18"/>
        </w:rPr>
        <w:t>into municipal waste management and</w:t>
      </w:r>
      <w:r w:rsidR="00C57FC9" w:rsidRPr="00D56C84">
        <w:rPr>
          <w:sz w:val="18"/>
          <w:szCs w:val="18"/>
        </w:rPr>
        <w:t xml:space="preserve"> </w:t>
      </w:r>
      <w:r w:rsidRPr="00D56C84">
        <w:rPr>
          <w:sz w:val="18"/>
          <w:szCs w:val="18"/>
        </w:rPr>
        <w:t>resource efficiency on behalf of metropolitan</w:t>
      </w:r>
      <w:r w:rsidR="00C57FC9" w:rsidRPr="00D56C84">
        <w:rPr>
          <w:sz w:val="18"/>
          <w:szCs w:val="18"/>
        </w:rPr>
        <w:t xml:space="preserve"> </w:t>
      </w:r>
      <w:r w:rsidRPr="00D56C84">
        <w:rPr>
          <w:sz w:val="18"/>
          <w:szCs w:val="18"/>
        </w:rPr>
        <w:t>councils;</w:t>
      </w:r>
    </w:p>
    <w:p w:rsidR="00CA496D" w:rsidRPr="00D56C84" w:rsidRDefault="00CA496D" w:rsidP="00D52723">
      <w:pPr>
        <w:pStyle w:val="ParaIndent"/>
        <w:spacing w:after="60"/>
        <w:ind w:left="1985"/>
        <w:jc w:val="both"/>
        <w:rPr>
          <w:sz w:val="18"/>
          <w:szCs w:val="18"/>
        </w:rPr>
      </w:pPr>
      <w:r w:rsidRPr="00D56C84">
        <w:rPr>
          <w:sz w:val="18"/>
          <w:szCs w:val="18"/>
        </w:rPr>
        <w:t xml:space="preserve">(e) </w:t>
      </w:r>
      <w:proofErr w:type="gramStart"/>
      <w:r w:rsidRPr="00D56C84">
        <w:rPr>
          <w:sz w:val="18"/>
          <w:szCs w:val="18"/>
        </w:rPr>
        <w:t>advise</w:t>
      </w:r>
      <w:proofErr w:type="gramEnd"/>
      <w:r w:rsidRPr="00D56C84">
        <w:rPr>
          <w:sz w:val="18"/>
          <w:szCs w:val="18"/>
        </w:rPr>
        <w:t xml:space="preserve"> metropolitan councils on best</w:t>
      </w:r>
      <w:r w:rsidR="00C57FC9" w:rsidRPr="00D56C84">
        <w:rPr>
          <w:sz w:val="18"/>
          <w:szCs w:val="18"/>
        </w:rPr>
        <w:t xml:space="preserve"> </w:t>
      </w:r>
      <w:r w:rsidRPr="00D56C84">
        <w:rPr>
          <w:sz w:val="18"/>
          <w:szCs w:val="18"/>
        </w:rPr>
        <w:t>practices in municipal waste management</w:t>
      </w:r>
      <w:r w:rsidR="00C57FC9" w:rsidRPr="00D56C84">
        <w:rPr>
          <w:sz w:val="18"/>
          <w:szCs w:val="18"/>
        </w:rPr>
        <w:t xml:space="preserve"> </w:t>
      </w:r>
      <w:r w:rsidRPr="00D56C84">
        <w:rPr>
          <w:sz w:val="18"/>
          <w:szCs w:val="18"/>
        </w:rPr>
        <w:t>and resource efficiency;</w:t>
      </w:r>
    </w:p>
    <w:p w:rsidR="00CA496D" w:rsidRPr="00D56C84" w:rsidRDefault="00CA496D" w:rsidP="00D52723">
      <w:pPr>
        <w:pStyle w:val="ParaIndent"/>
        <w:spacing w:after="60"/>
        <w:ind w:left="1418" w:firstLine="567"/>
        <w:jc w:val="both"/>
        <w:rPr>
          <w:sz w:val="18"/>
          <w:szCs w:val="18"/>
        </w:rPr>
      </w:pPr>
      <w:r w:rsidRPr="00D56C84">
        <w:rPr>
          <w:sz w:val="18"/>
          <w:szCs w:val="18"/>
        </w:rPr>
        <w:t xml:space="preserve">(f) </w:t>
      </w:r>
      <w:proofErr w:type="gramStart"/>
      <w:r w:rsidRPr="00D56C84">
        <w:rPr>
          <w:sz w:val="18"/>
          <w:szCs w:val="18"/>
        </w:rPr>
        <w:t>promote</w:t>
      </w:r>
      <w:proofErr w:type="gramEnd"/>
      <w:r w:rsidRPr="00D56C84">
        <w:rPr>
          <w:sz w:val="18"/>
          <w:szCs w:val="18"/>
        </w:rPr>
        <w:t xml:space="preserve"> improved waste management and</w:t>
      </w:r>
      <w:r w:rsidR="00C57FC9" w:rsidRPr="00D56C84">
        <w:rPr>
          <w:sz w:val="18"/>
          <w:szCs w:val="18"/>
        </w:rPr>
        <w:t xml:space="preserve"> </w:t>
      </w:r>
      <w:r w:rsidRPr="00D56C84">
        <w:rPr>
          <w:sz w:val="18"/>
          <w:szCs w:val="18"/>
        </w:rPr>
        <w:t>resource efficiency technologies;</w:t>
      </w:r>
    </w:p>
    <w:p w:rsidR="00CA496D" w:rsidRPr="00D56C84" w:rsidRDefault="00CA496D" w:rsidP="00D52723">
      <w:pPr>
        <w:pStyle w:val="ParaIndent"/>
        <w:spacing w:after="60"/>
        <w:ind w:left="1985"/>
        <w:jc w:val="both"/>
        <w:rPr>
          <w:sz w:val="18"/>
          <w:szCs w:val="18"/>
        </w:rPr>
      </w:pPr>
      <w:r w:rsidRPr="00D56C84">
        <w:rPr>
          <w:sz w:val="18"/>
          <w:szCs w:val="18"/>
        </w:rPr>
        <w:t xml:space="preserve">(g) </w:t>
      </w:r>
      <w:proofErr w:type="gramStart"/>
      <w:r w:rsidRPr="00D56C84">
        <w:rPr>
          <w:sz w:val="18"/>
          <w:szCs w:val="18"/>
        </w:rPr>
        <w:t>coordinate</w:t>
      </w:r>
      <w:proofErr w:type="gramEnd"/>
      <w:r w:rsidRPr="00D56C84">
        <w:rPr>
          <w:sz w:val="18"/>
          <w:szCs w:val="18"/>
        </w:rPr>
        <w:t xml:space="preserve"> and support community education</w:t>
      </w:r>
      <w:r w:rsidR="00C57FC9" w:rsidRPr="00D56C84">
        <w:rPr>
          <w:sz w:val="18"/>
          <w:szCs w:val="18"/>
        </w:rPr>
        <w:t xml:space="preserve"> </w:t>
      </w:r>
      <w:r w:rsidRPr="00D56C84">
        <w:rPr>
          <w:sz w:val="18"/>
          <w:szCs w:val="18"/>
        </w:rPr>
        <w:t>programs relating to waste management and</w:t>
      </w:r>
      <w:r w:rsidR="00C57FC9" w:rsidRPr="00D56C84">
        <w:rPr>
          <w:sz w:val="18"/>
          <w:szCs w:val="18"/>
        </w:rPr>
        <w:t xml:space="preserve"> </w:t>
      </w:r>
      <w:r w:rsidRPr="00D56C84">
        <w:rPr>
          <w:sz w:val="18"/>
          <w:szCs w:val="18"/>
        </w:rPr>
        <w:t>avoidance in metropolitan Melbourne;</w:t>
      </w:r>
    </w:p>
    <w:p w:rsidR="00CA496D" w:rsidRPr="00D56C84" w:rsidRDefault="00CA496D" w:rsidP="00D52723">
      <w:pPr>
        <w:pStyle w:val="ParaIndent"/>
        <w:keepNext/>
        <w:spacing w:after="60"/>
        <w:ind w:left="1985"/>
        <w:jc w:val="both"/>
        <w:rPr>
          <w:sz w:val="18"/>
          <w:szCs w:val="18"/>
        </w:rPr>
      </w:pPr>
      <w:r w:rsidRPr="00D56C84">
        <w:rPr>
          <w:sz w:val="18"/>
          <w:szCs w:val="18"/>
        </w:rPr>
        <w:t xml:space="preserve">(h) </w:t>
      </w:r>
      <w:proofErr w:type="gramStart"/>
      <w:r w:rsidRPr="00D56C84">
        <w:rPr>
          <w:sz w:val="18"/>
          <w:szCs w:val="18"/>
        </w:rPr>
        <w:t>assess</w:t>
      </w:r>
      <w:proofErr w:type="gramEnd"/>
      <w:r w:rsidRPr="00D56C84">
        <w:rPr>
          <w:sz w:val="18"/>
          <w:szCs w:val="18"/>
        </w:rPr>
        <w:t xml:space="preserve"> the need for, and plan for, municipal</w:t>
      </w:r>
      <w:r w:rsidR="00C57FC9" w:rsidRPr="00D56C84">
        <w:rPr>
          <w:sz w:val="18"/>
          <w:szCs w:val="18"/>
        </w:rPr>
        <w:t xml:space="preserve"> </w:t>
      </w:r>
      <w:r w:rsidRPr="00D56C84">
        <w:rPr>
          <w:sz w:val="18"/>
          <w:szCs w:val="18"/>
        </w:rPr>
        <w:t>waste management infrastructure and</w:t>
      </w:r>
      <w:r w:rsidR="00C57FC9" w:rsidRPr="00D56C84">
        <w:rPr>
          <w:sz w:val="18"/>
          <w:szCs w:val="18"/>
        </w:rPr>
        <w:t xml:space="preserve"> </w:t>
      </w:r>
      <w:r w:rsidRPr="00D56C84">
        <w:rPr>
          <w:sz w:val="18"/>
          <w:szCs w:val="18"/>
        </w:rPr>
        <w:t>landfills in metropolitan Melbourne;</w:t>
      </w:r>
    </w:p>
    <w:p w:rsidR="00CA496D" w:rsidRPr="00D56C84" w:rsidRDefault="00CA496D" w:rsidP="00D52723">
      <w:pPr>
        <w:pStyle w:val="ParaIndent"/>
        <w:ind w:left="1985"/>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generally</w:t>
      </w:r>
      <w:proofErr w:type="gramEnd"/>
      <w:r w:rsidRPr="00D56C84">
        <w:rPr>
          <w:sz w:val="18"/>
          <w:szCs w:val="18"/>
        </w:rPr>
        <w:t xml:space="preserve"> provide support to the</w:t>
      </w:r>
      <w:r w:rsidR="00C57FC9" w:rsidRPr="00D56C84">
        <w:rPr>
          <w:sz w:val="18"/>
          <w:szCs w:val="18"/>
        </w:rPr>
        <w:t xml:space="preserve"> </w:t>
      </w:r>
      <w:r w:rsidRPr="00D56C84">
        <w:rPr>
          <w:sz w:val="18"/>
          <w:szCs w:val="18"/>
        </w:rPr>
        <w:t>Metropolitan Waste Management Forum to</w:t>
      </w:r>
      <w:r w:rsidR="00C57FC9" w:rsidRPr="00D56C84">
        <w:rPr>
          <w:sz w:val="18"/>
          <w:szCs w:val="18"/>
        </w:rPr>
        <w:t xml:space="preserve"> </w:t>
      </w:r>
      <w:r w:rsidRPr="00D56C84">
        <w:rPr>
          <w:sz w:val="18"/>
          <w:szCs w:val="18"/>
        </w:rPr>
        <w:t>enable it to perform its functions.</w:t>
      </w:r>
    </w:p>
    <w:p w:rsidR="00AC62CB" w:rsidRPr="00D56C84" w:rsidRDefault="00AC62CB" w:rsidP="00D52723">
      <w:pPr>
        <w:pStyle w:val="ParaIndent"/>
        <w:keepNext/>
        <w:spacing w:after="60"/>
        <w:jc w:val="both"/>
      </w:pPr>
      <w:r w:rsidRPr="00D56C84">
        <w:t>The</w:t>
      </w:r>
      <w:r w:rsidR="009C1F4C" w:rsidRPr="00D56C84">
        <w:t xml:space="preserve"> Act also states that the</w:t>
      </w:r>
      <w:r w:rsidRPr="00D56C84">
        <w:t xml:space="preserve"> MWMG is required to produce a Metropolitan Waste and Resource Recovery</w:t>
      </w:r>
      <w:r w:rsidR="009C1F4C" w:rsidRPr="00D56C84">
        <w:t xml:space="preserve"> </w:t>
      </w:r>
      <w:r w:rsidRPr="00D56C84">
        <w:t>Strategic Plan</w:t>
      </w:r>
      <w:r w:rsidR="00987A08" w:rsidRPr="00D56C84">
        <w:t xml:space="preserve"> (MWRRSP) </w:t>
      </w:r>
      <w:r w:rsidR="009C1F4C" w:rsidRPr="00D56C84">
        <w:t>the objective of which is to</w:t>
      </w:r>
      <w:r w:rsidR="00F97A6D" w:rsidRPr="00D56C84">
        <w:t>:</w:t>
      </w:r>
    </w:p>
    <w:p w:rsidR="00AC62CB" w:rsidRPr="00D56C84" w:rsidRDefault="00AC62CB" w:rsidP="00D52723">
      <w:pPr>
        <w:pStyle w:val="ParaIndent"/>
        <w:keepNext/>
        <w:spacing w:after="60"/>
        <w:ind w:left="1701"/>
        <w:jc w:val="both"/>
        <w:rPr>
          <w:sz w:val="18"/>
          <w:szCs w:val="18"/>
        </w:rPr>
      </w:pPr>
      <w:r w:rsidRPr="00D56C84">
        <w:rPr>
          <w:sz w:val="18"/>
          <w:szCs w:val="18"/>
        </w:rPr>
        <w:t xml:space="preserve">(a) </w:t>
      </w:r>
      <w:proofErr w:type="gramStart"/>
      <w:r w:rsidRPr="00D56C84">
        <w:rPr>
          <w:sz w:val="18"/>
          <w:szCs w:val="18"/>
        </w:rPr>
        <w:t>provide</w:t>
      </w:r>
      <w:proofErr w:type="gramEnd"/>
      <w:r w:rsidRPr="00D56C84">
        <w:rPr>
          <w:sz w:val="18"/>
          <w:szCs w:val="18"/>
        </w:rPr>
        <w:t xml:space="preserve"> a long term vision for the</w:t>
      </w:r>
      <w:r w:rsidR="009C1F4C" w:rsidRPr="00D56C84">
        <w:rPr>
          <w:sz w:val="18"/>
          <w:szCs w:val="18"/>
        </w:rPr>
        <w:t xml:space="preserve"> </w:t>
      </w:r>
      <w:r w:rsidRPr="00D56C84">
        <w:rPr>
          <w:sz w:val="18"/>
          <w:szCs w:val="18"/>
        </w:rPr>
        <w:t>management and reduction of waste in</w:t>
      </w:r>
      <w:r w:rsidR="009C1F4C" w:rsidRPr="00D56C84">
        <w:rPr>
          <w:sz w:val="18"/>
          <w:szCs w:val="18"/>
        </w:rPr>
        <w:t xml:space="preserve"> </w:t>
      </w:r>
      <w:r w:rsidRPr="00D56C84">
        <w:rPr>
          <w:sz w:val="18"/>
          <w:szCs w:val="18"/>
        </w:rPr>
        <w:t>metropolitan Melbourne; and</w:t>
      </w:r>
    </w:p>
    <w:p w:rsidR="00AC62CB" w:rsidRPr="00D56C84" w:rsidRDefault="00AC62CB" w:rsidP="00D52723">
      <w:pPr>
        <w:pStyle w:val="ParaIndent"/>
        <w:ind w:left="1701"/>
        <w:jc w:val="both"/>
        <w:rPr>
          <w:sz w:val="18"/>
          <w:szCs w:val="18"/>
        </w:rPr>
      </w:pPr>
      <w:r w:rsidRPr="00D56C84">
        <w:rPr>
          <w:sz w:val="18"/>
          <w:szCs w:val="18"/>
        </w:rPr>
        <w:t xml:space="preserve">(b) </w:t>
      </w:r>
      <w:proofErr w:type="gramStart"/>
      <w:r w:rsidRPr="00D56C84">
        <w:rPr>
          <w:sz w:val="18"/>
          <w:szCs w:val="18"/>
        </w:rPr>
        <w:t>identify</w:t>
      </w:r>
      <w:proofErr w:type="gramEnd"/>
      <w:r w:rsidRPr="00D56C84">
        <w:rPr>
          <w:sz w:val="18"/>
          <w:szCs w:val="18"/>
        </w:rPr>
        <w:t xml:space="preserve"> short term and long term waste</w:t>
      </w:r>
      <w:r w:rsidR="009C1F4C" w:rsidRPr="00D56C84">
        <w:rPr>
          <w:sz w:val="18"/>
          <w:szCs w:val="18"/>
        </w:rPr>
        <w:t xml:space="preserve"> </w:t>
      </w:r>
      <w:r w:rsidRPr="00D56C84">
        <w:rPr>
          <w:sz w:val="18"/>
          <w:szCs w:val="18"/>
        </w:rPr>
        <w:t>infrastructure needs and schedule the</w:t>
      </w:r>
      <w:r w:rsidR="009C1F4C" w:rsidRPr="00D56C84">
        <w:rPr>
          <w:sz w:val="18"/>
          <w:szCs w:val="18"/>
        </w:rPr>
        <w:t xml:space="preserve"> </w:t>
      </w:r>
      <w:r w:rsidRPr="00D56C84">
        <w:rPr>
          <w:sz w:val="18"/>
          <w:szCs w:val="18"/>
        </w:rPr>
        <w:t>development of landfill sites.</w:t>
      </w:r>
    </w:p>
    <w:p w:rsidR="0091336E" w:rsidRPr="00D56C84" w:rsidRDefault="00987A08" w:rsidP="00D52723">
      <w:pPr>
        <w:pStyle w:val="ParaIndent"/>
        <w:jc w:val="both"/>
      </w:pPr>
      <w:r w:rsidRPr="00D56C84">
        <w:t xml:space="preserve">The </w:t>
      </w:r>
      <w:r w:rsidR="0091336E" w:rsidRPr="00D56C84">
        <w:t xml:space="preserve">Act states that the </w:t>
      </w:r>
      <w:r w:rsidRPr="00D56C84">
        <w:t xml:space="preserve">MWRRSP is to include a detailed Municipal Solid Waste Infrastructure Schedule and a </w:t>
      </w:r>
      <w:r w:rsidR="0091336E" w:rsidRPr="00D56C84">
        <w:t>Metropolitan Landfill Schedule.</w:t>
      </w:r>
    </w:p>
    <w:p w:rsidR="00987A08" w:rsidRPr="00D56C84" w:rsidRDefault="00987A08" w:rsidP="00D52723">
      <w:pPr>
        <w:pStyle w:val="ParaIndent"/>
        <w:jc w:val="both"/>
      </w:pPr>
      <w:proofErr w:type="gramStart"/>
      <w:r w:rsidRPr="00D56C84">
        <w:t>The 2009 MWRRSP</w:t>
      </w:r>
      <w:r w:rsidR="00D73388">
        <w:t xml:space="preserve"> </w:t>
      </w:r>
      <w:r w:rsidRPr="00D56C84">
        <w:t>—</w:t>
      </w:r>
      <w:r w:rsidR="00D73388">
        <w:t xml:space="preserve"> </w:t>
      </w:r>
      <w:r w:rsidRPr="00D56C84">
        <w:t xml:space="preserve">which is to be reviewed four years </w:t>
      </w:r>
      <w:r w:rsidR="00403509" w:rsidRPr="00D56C84">
        <w:t>after</w:t>
      </w:r>
      <w:r w:rsidRPr="00D56C84">
        <w:t xml:space="preserve"> completion</w:t>
      </w:r>
      <w:r w:rsidR="00D73388">
        <w:t xml:space="preserve"> </w:t>
      </w:r>
      <w:r w:rsidRPr="00D56C84">
        <w:t>—</w:t>
      </w:r>
      <w:r w:rsidR="00D73388">
        <w:t xml:space="preserve"> </w:t>
      </w:r>
      <w:r w:rsidR="00AF0951" w:rsidRPr="00D56C84">
        <w:t>includes details on the location of materials recovery facilities</w:t>
      </w:r>
      <w:r w:rsidR="0091336E" w:rsidRPr="00D56C84">
        <w:t>, organic waste treatment facilities</w:t>
      </w:r>
      <w:r w:rsidR="00AF0951" w:rsidRPr="00D56C84">
        <w:t xml:space="preserve"> and transfer stations in metropolitan Melbourne.</w:t>
      </w:r>
      <w:proofErr w:type="gramEnd"/>
      <w:r w:rsidR="00AF0951" w:rsidRPr="00D56C84">
        <w:t xml:space="preserve"> The 2009 MWRRSP </w:t>
      </w:r>
      <w:r w:rsidRPr="00D56C84">
        <w:t xml:space="preserve">also includes </w:t>
      </w:r>
      <w:r w:rsidR="00AF0951" w:rsidRPr="00D56C84">
        <w:t>data on waste disposal and resource recovery</w:t>
      </w:r>
      <w:r w:rsidR="0091336E" w:rsidRPr="00D56C84">
        <w:t xml:space="preserve"> </w:t>
      </w:r>
      <w:r w:rsidR="00825115" w:rsidRPr="00D56C84">
        <w:t>aggregated into</w:t>
      </w:r>
      <w:r w:rsidR="00AF0951" w:rsidRPr="00D56C84">
        <w:t xml:space="preserve"> four </w:t>
      </w:r>
      <w:r w:rsidR="00825115" w:rsidRPr="00D56C84">
        <w:t>groupings of metropolitan LGAs</w:t>
      </w:r>
      <w:r w:rsidR="00AF0951" w:rsidRPr="00D56C84">
        <w:t xml:space="preserve"> that align with the boundaries of the former metropolitan regional waste management groups.</w:t>
      </w:r>
    </w:p>
    <w:p w:rsidR="00793935" w:rsidRPr="00D56C84" w:rsidRDefault="00793935" w:rsidP="00D52723">
      <w:pPr>
        <w:pStyle w:val="Heading40"/>
        <w:jc w:val="both"/>
      </w:pPr>
      <w:r w:rsidRPr="00D56C84">
        <w:lastRenderedPageBreak/>
        <w:t>Regional Waste Management Groups</w:t>
      </w:r>
      <w:r w:rsidR="00746A9F" w:rsidRPr="00D56C84">
        <w:t xml:space="preserve"> (RWMGs)</w:t>
      </w:r>
    </w:p>
    <w:p w:rsidR="00C57FC9" w:rsidRPr="00D56C84" w:rsidRDefault="00C57FC9" w:rsidP="00D52723">
      <w:pPr>
        <w:pStyle w:val="ParaIndent"/>
        <w:keepNext/>
        <w:spacing w:after="60"/>
        <w:jc w:val="both"/>
      </w:pPr>
      <w:r w:rsidRPr="00D56C84">
        <w:t xml:space="preserve">With respect to regional waste management groups, the </w:t>
      </w:r>
      <w:r w:rsidR="00825115" w:rsidRPr="001108C3">
        <w:rPr>
          <w:i/>
        </w:rPr>
        <w:t xml:space="preserve">Environment Protection </w:t>
      </w:r>
      <w:r w:rsidRPr="001108C3">
        <w:rPr>
          <w:i/>
        </w:rPr>
        <w:t>Act</w:t>
      </w:r>
      <w:r w:rsidR="00825115" w:rsidRPr="001108C3">
        <w:rPr>
          <w:i/>
        </w:rPr>
        <w:t xml:space="preserve"> (1970)</w:t>
      </w:r>
      <w:r w:rsidRPr="00D56C84">
        <w:t xml:space="preserve"> states:</w:t>
      </w:r>
    </w:p>
    <w:p w:rsidR="00793935" w:rsidRPr="00D56C84" w:rsidRDefault="00793935" w:rsidP="00D52723">
      <w:pPr>
        <w:pStyle w:val="ParaIndent"/>
        <w:keepNext/>
        <w:spacing w:after="60"/>
        <w:ind w:left="1701"/>
        <w:jc w:val="both"/>
        <w:rPr>
          <w:b/>
          <w:sz w:val="18"/>
          <w:szCs w:val="18"/>
        </w:rPr>
      </w:pPr>
      <w:r w:rsidRPr="00D56C84">
        <w:rPr>
          <w:b/>
          <w:sz w:val="18"/>
          <w:szCs w:val="18"/>
        </w:rPr>
        <w:t>50H Functions and powers of a regional waste management group</w:t>
      </w:r>
    </w:p>
    <w:p w:rsidR="00793935" w:rsidRPr="00D56C84" w:rsidRDefault="00793935" w:rsidP="00D52723">
      <w:pPr>
        <w:pStyle w:val="ParaIndent"/>
        <w:keepNext/>
        <w:spacing w:after="60"/>
        <w:ind w:left="1701"/>
        <w:jc w:val="both"/>
        <w:rPr>
          <w:sz w:val="18"/>
          <w:szCs w:val="18"/>
        </w:rPr>
      </w:pPr>
      <w:r w:rsidRPr="00D56C84">
        <w:rPr>
          <w:sz w:val="18"/>
          <w:szCs w:val="18"/>
        </w:rPr>
        <w:t>(1) The functions of a regional waste management group are—</w:t>
      </w:r>
    </w:p>
    <w:p w:rsidR="00793935" w:rsidRPr="00D56C84" w:rsidRDefault="00793935"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to</w:t>
      </w:r>
      <w:proofErr w:type="gramEnd"/>
      <w:r w:rsidRPr="00D56C84">
        <w:rPr>
          <w:sz w:val="18"/>
          <w:szCs w:val="18"/>
        </w:rPr>
        <w:t xml:space="preserve"> plan for the management of municipal waste in its region, working in partnership with the councils in its region; and</w:t>
      </w:r>
    </w:p>
    <w:p w:rsidR="00793935" w:rsidRPr="00D56C84" w:rsidRDefault="00793935"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to</w:t>
      </w:r>
      <w:proofErr w:type="gramEnd"/>
      <w:r w:rsidRPr="00D56C84">
        <w:rPr>
          <w:sz w:val="18"/>
          <w:szCs w:val="18"/>
        </w:rPr>
        <w:t xml:space="preserve"> co-ordinate the activities of its members in its region to give effect in its region to State policies, strategies and programs relating to waste; and</w:t>
      </w:r>
    </w:p>
    <w:p w:rsidR="00793935" w:rsidRPr="00D56C84" w:rsidRDefault="00793935" w:rsidP="00D52723">
      <w:pPr>
        <w:pStyle w:val="ParaIndent"/>
        <w:spacing w:after="60"/>
        <w:ind w:left="1701" w:firstLine="284"/>
        <w:jc w:val="both"/>
        <w:rPr>
          <w:sz w:val="18"/>
          <w:szCs w:val="18"/>
        </w:rPr>
      </w:pPr>
      <w:r w:rsidRPr="00D56C84">
        <w:rPr>
          <w:sz w:val="18"/>
          <w:szCs w:val="18"/>
        </w:rPr>
        <w:t xml:space="preserve">(c) </w:t>
      </w:r>
      <w:proofErr w:type="gramStart"/>
      <w:r w:rsidRPr="00D56C84">
        <w:rPr>
          <w:sz w:val="18"/>
          <w:szCs w:val="18"/>
        </w:rPr>
        <w:t>to</w:t>
      </w:r>
      <w:proofErr w:type="gramEnd"/>
      <w:r w:rsidRPr="00D56C84">
        <w:rPr>
          <w:sz w:val="18"/>
          <w:szCs w:val="18"/>
        </w:rPr>
        <w:t xml:space="preserve"> facilitate and foster best practices in waste management.</w:t>
      </w:r>
    </w:p>
    <w:p w:rsidR="00793935" w:rsidRPr="00D56C84" w:rsidRDefault="00793935" w:rsidP="00D52723">
      <w:pPr>
        <w:pStyle w:val="ParaIndent"/>
        <w:keepNext/>
        <w:spacing w:after="60"/>
        <w:ind w:left="1701"/>
        <w:jc w:val="both"/>
        <w:rPr>
          <w:sz w:val="18"/>
          <w:szCs w:val="18"/>
        </w:rPr>
      </w:pPr>
      <w:r w:rsidRPr="00D56C84">
        <w:rPr>
          <w:sz w:val="18"/>
          <w:szCs w:val="18"/>
        </w:rPr>
        <w:t xml:space="preserve">(1A) </w:t>
      </w:r>
      <w:proofErr w:type="gramStart"/>
      <w:r w:rsidRPr="00D56C84">
        <w:rPr>
          <w:sz w:val="18"/>
          <w:szCs w:val="18"/>
        </w:rPr>
        <w:t>In</w:t>
      </w:r>
      <w:proofErr w:type="gramEnd"/>
      <w:r w:rsidRPr="00D56C84">
        <w:rPr>
          <w:sz w:val="18"/>
          <w:szCs w:val="18"/>
        </w:rPr>
        <w:t xml:space="preserve"> carrying out its functions a regional waste management group is—</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(a) </w:t>
      </w:r>
      <w:proofErr w:type="gramStart"/>
      <w:r w:rsidRPr="00D56C84">
        <w:rPr>
          <w:sz w:val="18"/>
          <w:szCs w:val="18"/>
        </w:rPr>
        <w:t>to</w:t>
      </w:r>
      <w:proofErr w:type="gramEnd"/>
      <w:r w:rsidRPr="00D56C84">
        <w:rPr>
          <w:sz w:val="18"/>
          <w:szCs w:val="18"/>
        </w:rPr>
        <w:t xml:space="preserve"> plan for municipal waste management in its region including—</w:t>
      </w:r>
    </w:p>
    <w:p w:rsidR="00793935" w:rsidRPr="00D56C84" w:rsidRDefault="00793935" w:rsidP="00D52723">
      <w:pPr>
        <w:pStyle w:val="ParaIndent"/>
        <w:keepNext/>
        <w:spacing w:after="60"/>
        <w:ind w:left="1701" w:firstLine="567"/>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preparing</w:t>
      </w:r>
      <w:proofErr w:type="gramEnd"/>
      <w:r w:rsidRPr="00D56C84">
        <w:rPr>
          <w:sz w:val="18"/>
          <w:szCs w:val="18"/>
        </w:rPr>
        <w:t xml:space="preserve"> and keeping up to date a regional waste management plan;</w:t>
      </w:r>
    </w:p>
    <w:p w:rsidR="00793935" w:rsidRPr="00D56C84" w:rsidRDefault="00793935" w:rsidP="00D52723">
      <w:pPr>
        <w:pStyle w:val="ParaIndent"/>
        <w:keepNext/>
        <w:spacing w:after="60"/>
        <w:ind w:left="1701" w:firstLine="567"/>
        <w:jc w:val="both"/>
        <w:rPr>
          <w:sz w:val="18"/>
          <w:szCs w:val="18"/>
        </w:rPr>
      </w:pPr>
      <w:r w:rsidRPr="00D56C84">
        <w:rPr>
          <w:sz w:val="18"/>
          <w:szCs w:val="18"/>
        </w:rPr>
        <w:t xml:space="preserve">(ii) </w:t>
      </w:r>
      <w:proofErr w:type="gramStart"/>
      <w:r w:rsidRPr="00D56C84">
        <w:rPr>
          <w:sz w:val="18"/>
          <w:szCs w:val="18"/>
        </w:rPr>
        <w:t>implementing</w:t>
      </w:r>
      <w:proofErr w:type="gramEnd"/>
      <w:r w:rsidRPr="00D56C84">
        <w:rPr>
          <w:sz w:val="18"/>
          <w:szCs w:val="18"/>
        </w:rPr>
        <w:t xml:space="preserve"> and promoting the plan;</w:t>
      </w:r>
    </w:p>
    <w:p w:rsidR="00793935" w:rsidRPr="00D56C84" w:rsidRDefault="00793935" w:rsidP="00D52723">
      <w:pPr>
        <w:pStyle w:val="ParaIndent"/>
        <w:keepNext/>
        <w:spacing w:after="60"/>
        <w:ind w:left="1701" w:firstLine="567"/>
        <w:jc w:val="both"/>
        <w:rPr>
          <w:sz w:val="18"/>
          <w:szCs w:val="18"/>
        </w:rPr>
      </w:pPr>
      <w:r w:rsidRPr="00D56C84">
        <w:rPr>
          <w:sz w:val="18"/>
          <w:szCs w:val="18"/>
        </w:rPr>
        <w:t xml:space="preserve">(iii) </w:t>
      </w:r>
      <w:proofErr w:type="gramStart"/>
      <w:r w:rsidRPr="00D56C84">
        <w:rPr>
          <w:sz w:val="18"/>
          <w:szCs w:val="18"/>
        </w:rPr>
        <w:t>setting</w:t>
      </w:r>
      <w:proofErr w:type="gramEnd"/>
      <w:r w:rsidRPr="00D56C84">
        <w:rPr>
          <w:sz w:val="18"/>
          <w:szCs w:val="18"/>
        </w:rPr>
        <w:t xml:space="preserve"> performance targets for municipal waste reduction programs;</w:t>
      </w:r>
    </w:p>
    <w:p w:rsidR="00793935" w:rsidRPr="00D56C84" w:rsidRDefault="00793935" w:rsidP="00D52723">
      <w:pPr>
        <w:pStyle w:val="ParaIndent"/>
        <w:spacing w:after="60"/>
        <w:ind w:left="2268"/>
        <w:jc w:val="both"/>
        <w:rPr>
          <w:sz w:val="18"/>
          <w:szCs w:val="18"/>
        </w:rPr>
      </w:pPr>
      <w:r w:rsidRPr="00D56C84">
        <w:rPr>
          <w:sz w:val="18"/>
          <w:szCs w:val="18"/>
        </w:rPr>
        <w:t xml:space="preserve">(iv) </w:t>
      </w:r>
      <w:proofErr w:type="gramStart"/>
      <w:r w:rsidRPr="00D56C84">
        <w:rPr>
          <w:sz w:val="18"/>
          <w:szCs w:val="18"/>
        </w:rPr>
        <w:t>developing</w:t>
      </w:r>
      <w:proofErr w:type="gramEnd"/>
      <w:r w:rsidRPr="00D56C84">
        <w:rPr>
          <w:sz w:val="18"/>
          <w:szCs w:val="18"/>
        </w:rPr>
        <w:t>, implementing, supporting and promoting municipal waste reduction and recycling programs;</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(b) </w:t>
      </w:r>
      <w:proofErr w:type="gramStart"/>
      <w:r w:rsidRPr="00D56C84">
        <w:rPr>
          <w:sz w:val="18"/>
          <w:szCs w:val="18"/>
        </w:rPr>
        <w:t>to</w:t>
      </w:r>
      <w:proofErr w:type="gramEnd"/>
      <w:r w:rsidRPr="00D56C84">
        <w:rPr>
          <w:sz w:val="18"/>
          <w:szCs w:val="18"/>
        </w:rPr>
        <w:t xml:space="preserve"> co-ordinate the waste management activities of its members including—</w:t>
      </w:r>
    </w:p>
    <w:p w:rsidR="00793935" w:rsidRPr="00D56C84" w:rsidRDefault="00793935" w:rsidP="00D52723">
      <w:pPr>
        <w:pStyle w:val="ParaIndent"/>
        <w:keepNext/>
        <w:spacing w:after="60"/>
        <w:ind w:left="2268"/>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introducing</w:t>
      </w:r>
      <w:proofErr w:type="gramEnd"/>
      <w:r w:rsidRPr="00D56C84">
        <w:rPr>
          <w:sz w:val="18"/>
          <w:szCs w:val="18"/>
        </w:rPr>
        <w:t xml:space="preserve"> measures that lead to conformity of standards for waste reduction, waste management and litter prevention and control between its members;</w:t>
      </w:r>
    </w:p>
    <w:p w:rsidR="00793935" w:rsidRPr="00D56C84" w:rsidRDefault="00793935" w:rsidP="00D52723">
      <w:pPr>
        <w:pStyle w:val="ParaIndent"/>
        <w:keepNext/>
        <w:spacing w:after="60"/>
        <w:ind w:left="1701" w:firstLine="567"/>
        <w:jc w:val="both"/>
        <w:rPr>
          <w:sz w:val="18"/>
          <w:szCs w:val="18"/>
        </w:rPr>
      </w:pPr>
      <w:r w:rsidRPr="00D56C84">
        <w:rPr>
          <w:sz w:val="18"/>
          <w:szCs w:val="18"/>
        </w:rPr>
        <w:t xml:space="preserve">(ii) </w:t>
      </w:r>
      <w:proofErr w:type="gramStart"/>
      <w:r w:rsidRPr="00D56C84">
        <w:rPr>
          <w:sz w:val="18"/>
          <w:szCs w:val="18"/>
        </w:rPr>
        <w:t>investigating</w:t>
      </w:r>
      <w:proofErr w:type="gramEnd"/>
      <w:r w:rsidRPr="00D56C84">
        <w:rPr>
          <w:sz w:val="18"/>
          <w:szCs w:val="18"/>
        </w:rPr>
        <w:t xml:space="preserve"> and advising on landfill disposal costs and charges in the region;</w:t>
      </w:r>
    </w:p>
    <w:p w:rsidR="00793935" w:rsidRPr="00D56C84" w:rsidRDefault="00793935" w:rsidP="00D52723">
      <w:pPr>
        <w:pStyle w:val="ParaIndent"/>
        <w:keepNext/>
        <w:spacing w:after="60"/>
        <w:ind w:left="1701" w:firstLine="567"/>
        <w:jc w:val="both"/>
        <w:rPr>
          <w:sz w:val="18"/>
          <w:szCs w:val="18"/>
        </w:rPr>
      </w:pPr>
      <w:r w:rsidRPr="00D56C84">
        <w:rPr>
          <w:sz w:val="18"/>
          <w:szCs w:val="18"/>
        </w:rPr>
        <w:t xml:space="preserve">(iii) </w:t>
      </w:r>
      <w:proofErr w:type="gramStart"/>
      <w:r w:rsidRPr="00D56C84">
        <w:rPr>
          <w:sz w:val="18"/>
          <w:szCs w:val="18"/>
        </w:rPr>
        <w:t>encouraging</w:t>
      </w:r>
      <w:proofErr w:type="gramEnd"/>
      <w:r w:rsidRPr="00D56C84">
        <w:rPr>
          <w:sz w:val="18"/>
          <w:szCs w:val="18"/>
        </w:rPr>
        <w:t xml:space="preserve"> the training of staff involved in municipal waste management;</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(c) </w:t>
      </w:r>
      <w:proofErr w:type="gramStart"/>
      <w:r w:rsidRPr="00D56C84">
        <w:rPr>
          <w:sz w:val="18"/>
          <w:szCs w:val="18"/>
        </w:rPr>
        <w:t>to</w:t>
      </w:r>
      <w:proofErr w:type="gramEnd"/>
      <w:r w:rsidRPr="00D56C84">
        <w:rPr>
          <w:sz w:val="18"/>
          <w:szCs w:val="18"/>
        </w:rPr>
        <w:t xml:space="preserve"> promote, commission and undertake research into waste management;</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(d) </w:t>
      </w:r>
      <w:proofErr w:type="gramStart"/>
      <w:r w:rsidRPr="00D56C84">
        <w:rPr>
          <w:sz w:val="18"/>
          <w:szCs w:val="18"/>
        </w:rPr>
        <w:t>to</w:t>
      </w:r>
      <w:proofErr w:type="gramEnd"/>
      <w:r w:rsidRPr="00D56C84">
        <w:rPr>
          <w:sz w:val="18"/>
          <w:szCs w:val="18"/>
        </w:rPr>
        <w:t xml:space="preserve"> advise its members on best practices in municipal waste management;</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(e) </w:t>
      </w:r>
      <w:proofErr w:type="gramStart"/>
      <w:r w:rsidRPr="00D56C84">
        <w:rPr>
          <w:sz w:val="18"/>
          <w:szCs w:val="18"/>
        </w:rPr>
        <w:t>to</w:t>
      </w:r>
      <w:proofErr w:type="gramEnd"/>
      <w:r w:rsidRPr="00D56C84">
        <w:rPr>
          <w:sz w:val="18"/>
          <w:szCs w:val="18"/>
        </w:rPr>
        <w:t xml:space="preserve"> promote improved waste management technologies;</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(f) </w:t>
      </w:r>
      <w:proofErr w:type="gramStart"/>
      <w:r w:rsidRPr="00D56C84">
        <w:rPr>
          <w:sz w:val="18"/>
          <w:szCs w:val="18"/>
        </w:rPr>
        <w:t>to</w:t>
      </w:r>
      <w:proofErr w:type="gramEnd"/>
      <w:r w:rsidRPr="00D56C84">
        <w:rPr>
          <w:sz w:val="18"/>
          <w:szCs w:val="18"/>
        </w:rPr>
        <w:t xml:space="preserve"> promote and co-ordinate relevant community education in its region;</w:t>
      </w:r>
    </w:p>
    <w:p w:rsidR="00793935" w:rsidRPr="00D56C84" w:rsidRDefault="00793935" w:rsidP="00D52723">
      <w:pPr>
        <w:pStyle w:val="ParaIndent"/>
        <w:keepNext/>
        <w:spacing w:after="60"/>
        <w:ind w:left="1701" w:firstLine="284"/>
        <w:jc w:val="both"/>
        <w:rPr>
          <w:sz w:val="18"/>
          <w:szCs w:val="18"/>
        </w:rPr>
      </w:pPr>
      <w:r w:rsidRPr="00D56C84">
        <w:rPr>
          <w:sz w:val="18"/>
          <w:szCs w:val="18"/>
        </w:rPr>
        <w:t xml:space="preserve">(g) </w:t>
      </w:r>
      <w:proofErr w:type="gramStart"/>
      <w:r w:rsidRPr="00D56C84">
        <w:rPr>
          <w:sz w:val="18"/>
          <w:szCs w:val="18"/>
        </w:rPr>
        <w:t>to</w:t>
      </w:r>
      <w:proofErr w:type="gramEnd"/>
      <w:r w:rsidRPr="00D56C84">
        <w:rPr>
          <w:sz w:val="18"/>
          <w:szCs w:val="18"/>
        </w:rPr>
        <w:t xml:space="preserve"> mediate disputes between its members.</w:t>
      </w:r>
    </w:p>
    <w:p w:rsidR="00C57FC9" w:rsidRPr="00D56C84" w:rsidRDefault="00793935" w:rsidP="00D52723">
      <w:pPr>
        <w:pStyle w:val="ParaIndent"/>
        <w:ind w:left="1701"/>
        <w:jc w:val="both"/>
        <w:rPr>
          <w:sz w:val="18"/>
          <w:szCs w:val="18"/>
        </w:rPr>
      </w:pPr>
      <w:r w:rsidRPr="00D56C84">
        <w:rPr>
          <w:sz w:val="18"/>
          <w:szCs w:val="18"/>
        </w:rPr>
        <w:t xml:space="preserve">(2) A regional waste management group may do </w:t>
      </w:r>
      <w:r w:rsidR="00D73388" w:rsidRPr="00D56C84">
        <w:rPr>
          <w:sz w:val="18"/>
          <w:szCs w:val="18"/>
        </w:rPr>
        <w:t>anything</w:t>
      </w:r>
      <w:r w:rsidRPr="00D56C84">
        <w:rPr>
          <w:sz w:val="18"/>
          <w:szCs w:val="18"/>
        </w:rPr>
        <w:t xml:space="preserve"> that is necessary or convenient to enable it to perform its functions.</w:t>
      </w:r>
    </w:p>
    <w:p w:rsidR="009C1F4C" w:rsidRPr="00D56C84" w:rsidRDefault="009C1F4C" w:rsidP="00D52723">
      <w:pPr>
        <w:pStyle w:val="ParaIndent"/>
        <w:keepNext/>
        <w:spacing w:after="60"/>
        <w:jc w:val="both"/>
      </w:pPr>
      <w:r w:rsidRPr="00D56C84">
        <w:t>Regional waste management groups are required to prepare a draft regional waste ma</w:t>
      </w:r>
      <w:r w:rsidR="00F97A6D" w:rsidRPr="00D56C84">
        <w:t>nagement plan</w:t>
      </w:r>
      <w:r w:rsidR="00D73388">
        <w:t xml:space="preserve"> </w:t>
      </w:r>
      <w:r w:rsidR="00A8616A" w:rsidRPr="00D56C84">
        <w:t>—</w:t>
      </w:r>
      <w:r w:rsidR="00D73388">
        <w:t xml:space="preserve"> </w:t>
      </w:r>
      <w:r w:rsidR="00A8616A" w:rsidRPr="00D56C84">
        <w:t>which is to be reviewed within five years</w:t>
      </w:r>
      <w:r w:rsidR="00D73388">
        <w:t xml:space="preserve"> </w:t>
      </w:r>
      <w:r w:rsidR="00A8616A" w:rsidRPr="00D56C84">
        <w:t>—</w:t>
      </w:r>
      <w:r w:rsidR="00D73388">
        <w:t xml:space="preserve"> </w:t>
      </w:r>
      <w:r w:rsidR="00F97A6D" w:rsidRPr="00D56C84">
        <w:t>that sets out the</w:t>
      </w:r>
    </w:p>
    <w:p w:rsidR="009C1F4C" w:rsidRPr="00D56C84" w:rsidRDefault="009C1F4C" w:rsidP="00D52723">
      <w:pPr>
        <w:pStyle w:val="ParaIndent"/>
        <w:ind w:left="1701"/>
        <w:jc w:val="both"/>
        <w:rPr>
          <w:sz w:val="18"/>
          <w:szCs w:val="18"/>
        </w:rPr>
      </w:pPr>
      <w:r w:rsidRPr="00D56C84">
        <w:rPr>
          <w:sz w:val="18"/>
          <w:szCs w:val="18"/>
        </w:rPr>
        <w:t xml:space="preserve">... </w:t>
      </w:r>
      <w:proofErr w:type="gramStart"/>
      <w:r w:rsidRPr="00D56C84">
        <w:rPr>
          <w:sz w:val="18"/>
          <w:szCs w:val="18"/>
        </w:rPr>
        <w:t>objectives</w:t>
      </w:r>
      <w:proofErr w:type="gramEnd"/>
      <w:r w:rsidRPr="00D56C84">
        <w:rPr>
          <w:sz w:val="18"/>
          <w:szCs w:val="18"/>
        </w:rPr>
        <w:t xml:space="preserve"> and priorities of the group for the management of municipal waste generated or disposed of within the group's waste management region, and must provide a clear direction for future municipal waste management in the region.</w:t>
      </w:r>
    </w:p>
    <w:p w:rsidR="009C1F4C" w:rsidRPr="00D56C84" w:rsidRDefault="009C1F4C" w:rsidP="00D52723">
      <w:pPr>
        <w:pStyle w:val="ParaIndent"/>
        <w:jc w:val="both"/>
      </w:pPr>
      <w:r w:rsidRPr="00D56C84">
        <w:t>The draft plan must include</w:t>
      </w:r>
      <w:r w:rsidR="00FF751E" w:rsidRPr="00D56C84">
        <w:t>, inter alia,</w:t>
      </w:r>
      <w:r w:rsidRPr="00D56C84">
        <w:t xml:space="preserve"> an economic assessment of waste management options, municipal waste management strategy, </w:t>
      </w:r>
      <w:r w:rsidR="00FF751E" w:rsidRPr="00D56C84">
        <w:t>a municipal waste minimisation and resource recovery program, and measures for li</w:t>
      </w:r>
      <w:r w:rsidR="00F97A6D" w:rsidRPr="00D56C84">
        <w:t>tter</w:t>
      </w:r>
      <w:r w:rsidR="00FF751E" w:rsidRPr="00D56C84">
        <w:t xml:space="preserve"> control.</w:t>
      </w:r>
    </w:p>
    <w:p w:rsidR="00532EF8" w:rsidRPr="00D56C84" w:rsidRDefault="00532EF8" w:rsidP="00D52723">
      <w:pPr>
        <w:pStyle w:val="ParaIndent"/>
        <w:spacing w:after="60"/>
        <w:jc w:val="both"/>
        <w:rPr>
          <w:rFonts w:ascii="Times New Roman" w:hAnsi="Times New Roman"/>
          <w:b/>
          <w:bCs/>
          <w:sz w:val="24"/>
          <w:szCs w:val="24"/>
          <w:lang w:eastAsia="en-AU"/>
        </w:rPr>
      </w:pPr>
      <w:r w:rsidRPr="00D56C84">
        <w:t xml:space="preserve">The Act </w:t>
      </w:r>
      <w:r w:rsidR="00362E4A" w:rsidRPr="00D56C84">
        <w:t xml:space="preserve">also </w:t>
      </w:r>
      <w:r w:rsidRPr="00D56C84">
        <w:t>states that</w:t>
      </w:r>
    </w:p>
    <w:p w:rsidR="00532EF8" w:rsidRPr="00D56C84" w:rsidRDefault="00532EF8" w:rsidP="00D52723">
      <w:pPr>
        <w:pStyle w:val="ParaIndent"/>
        <w:keepNext/>
        <w:spacing w:after="60"/>
        <w:ind w:left="1701"/>
        <w:jc w:val="both"/>
        <w:rPr>
          <w:b/>
          <w:sz w:val="18"/>
          <w:szCs w:val="18"/>
        </w:rPr>
      </w:pPr>
      <w:r w:rsidRPr="00D56C84">
        <w:rPr>
          <w:b/>
          <w:sz w:val="18"/>
          <w:szCs w:val="18"/>
        </w:rPr>
        <w:t xml:space="preserve">50RA </w:t>
      </w:r>
      <w:proofErr w:type="gramStart"/>
      <w:r w:rsidRPr="00D56C84">
        <w:rPr>
          <w:b/>
          <w:sz w:val="18"/>
          <w:szCs w:val="18"/>
        </w:rPr>
        <w:t>Who</w:t>
      </w:r>
      <w:proofErr w:type="gramEnd"/>
      <w:r w:rsidRPr="00D56C84">
        <w:rPr>
          <w:b/>
          <w:sz w:val="18"/>
          <w:szCs w:val="18"/>
        </w:rPr>
        <w:t xml:space="preserve"> must comply with plans</w:t>
      </w:r>
    </w:p>
    <w:p w:rsidR="00532EF8" w:rsidRPr="00D56C84" w:rsidRDefault="00532EF8" w:rsidP="00D52723">
      <w:pPr>
        <w:pStyle w:val="ParaIndent"/>
        <w:ind w:left="1701"/>
        <w:jc w:val="both"/>
        <w:rPr>
          <w:sz w:val="18"/>
          <w:szCs w:val="18"/>
        </w:rPr>
      </w:pPr>
      <w:r w:rsidRPr="00D56C84">
        <w:rPr>
          <w:sz w:val="18"/>
          <w:szCs w:val="18"/>
        </w:rPr>
        <w:t>(1) A council whose municipal district is in the waste management region of a regional waste management group must comply with the group's regional waste management plan.</w:t>
      </w:r>
    </w:p>
    <w:p w:rsidR="006A290C" w:rsidRPr="00D56C84" w:rsidRDefault="006A290C" w:rsidP="00D52723">
      <w:pPr>
        <w:pStyle w:val="ParaIndent"/>
        <w:jc w:val="both"/>
      </w:pPr>
      <w:r w:rsidRPr="00D56C84">
        <w:t>There also exists the Association for Victorian Regional Waste Management Groups (AVRWMG), which is a non-statutory body for RWMGs to share information and discuss infrastructure and programs.</w:t>
      </w:r>
    </w:p>
    <w:p w:rsidR="00762976" w:rsidRPr="00D56C84" w:rsidRDefault="00762976" w:rsidP="00D52723">
      <w:pPr>
        <w:pStyle w:val="ParaIndent"/>
        <w:jc w:val="both"/>
      </w:pPr>
      <w:r w:rsidRPr="00D56C84">
        <w:lastRenderedPageBreak/>
        <w:t>Regional waste management groups are required to prepare an Annual Business Plan under the Act.</w:t>
      </w:r>
    </w:p>
    <w:p w:rsidR="00762976" w:rsidRPr="00D56C84" w:rsidRDefault="00762976" w:rsidP="00D52723">
      <w:pPr>
        <w:pStyle w:val="ParaIndent"/>
        <w:jc w:val="both"/>
      </w:pPr>
      <w:r w:rsidRPr="00D56C84">
        <w:t>Those regions with active websites, being Barwon, Central Murray, Gippsland, Highlands and North East, publish both their Annual Report and Annual Business Plans. These documents contain consolidated data on disposal to landfill and resource recovery in the regions.</w:t>
      </w:r>
    </w:p>
    <w:p w:rsidR="00AA2499" w:rsidRPr="00D56C84" w:rsidRDefault="00AA2499" w:rsidP="00D52723">
      <w:pPr>
        <w:pStyle w:val="ParaIndent"/>
        <w:jc w:val="both"/>
      </w:pPr>
      <w:r w:rsidRPr="00D56C84">
        <w:t xml:space="preserve">Barwon RWMG </w:t>
      </w:r>
      <w:r w:rsidR="00762976" w:rsidRPr="00D56C84">
        <w:t xml:space="preserve">also </w:t>
      </w:r>
      <w:r w:rsidRPr="00D56C84">
        <w:t xml:space="preserve">undertakes an annual survey that collects data on </w:t>
      </w:r>
      <w:r w:rsidR="00762976" w:rsidRPr="00D56C84">
        <w:t xml:space="preserve">the </w:t>
      </w:r>
      <w:r w:rsidRPr="00D56C84">
        <w:t>amount and cost of disposal to landfill and resource recovery in each member council by material type.</w:t>
      </w:r>
    </w:p>
    <w:p w:rsidR="00AE087B" w:rsidRPr="00D56C84" w:rsidRDefault="00AE087B" w:rsidP="00AE087B">
      <w:pPr>
        <w:pStyle w:val="Heading2"/>
      </w:pPr>
      <w:bookmarkStart w:id="65" w:name="_Toc307470435"/>
      <w:r w:rsidRPr="00D56C84">
        <w:t>Information pathways</w:t>
      </w:r>
      <w:r w:rsidR="00085D2C">
        <w:t xml:space="preserve"> in Victoria</w:t>
      </w:r>
      <w:bookmarkEnd w:id="65"/>
    </w:p>
    <w:p w:rsidR="00097E0D" w:rsidRPr="00D56C84" w:rsidRDefault="00097E0D" w:rsidP="00097E0D">
      <w:pPr>
        <w:pStyle w:val="Heading3"/>
      </w:pPr>
      <w:r w:rsidRPr="00D56C84">
        <w:t>Victorian Local Government Annual Survey</w:t>
      </w:r>
    </w:p>
    <w:p w:rsidR="007C0C37" w:rsidRDefault="00FD516C" w:rsidP="00D52723">
      <w:pPr>
        <w:pStyle w:val="ParaIndent"/>
        <w:spacing w:after="60"/>
        <w:jc w:val="both"/>
      </w:pPr>
      <w:r w:rsidRPr="00D56C84">
        <w:t>Sustainability Victoria conducts a survey of all Victorian councils each financial year. Data is gathered using an online survey tool. Screenshots of the latest survey are appended to this report.</w:t>
      </w:r>
      <w:r w:rsidR="007C0C37" w:rsidRPr="007C0C37">
        <w:t xml:space="preserve"> </w:t>
      </w:r>
    </w:p>
    <w:p w:rsidR="007C0C37" w:rsidRPr="0048219A" w:rsidRDefault="00D90E7A" w:rsidP="00D52723">
      <w:pPr>
        <w:pStyle w:val="ParaIndent"/>
        <w:spacing w:after="60"/>
        <w:jc w:val="both"/>
      </w:pPr>
      <w:r w:rsidRPr="00D90E7A">
        <w:t>Sustainability Victoria verifies information provided in data collection returns by confirming data with individual local governments, regional waste management group executive officers and regional education officers. The 2008</w:t>
      </w:r>
      <w:r w:rsidR="005B171E">
        <w:t>–</w:t>
      </w:r>
      <w:r w:rsidRPr="00D90E7A">
        <w:t>09 report states:</w:t>
      </w:r>
    </w:p>
    <w:p w:rsidR="007C0C37" w:rsidRPr="0048219A" w:rsidRDefault="00D90E7A" w:rsidP="00D52723">
      <w:pPr>
        <w:pStyle w:val="ParaIndent"/>
        <w:ind w:left="1701"/>
        <w:jc w:val="both"/>
        <w:rPr>
          <w:i/>
          <w:sz w:val="18"/>
        </w:rPr>
      </w:pPr>
      <w:r w:rsidRPr="00D90E7A">
        <w:rPr>
          <w:i/>
          <w:sz w:val="18"/>
        </w:rPr>
        <w:t xml:space="preserve">Sustainability Victoria has sought to verify information provided in data collection returns through rigorous follow-up with individual local governments to validate data entries. In addition, Sustainability Victoria circulated extracts containing individual local government returns to regional waste management group executive officers and regional education officers to verify data. Through these steps and extensive data analysis, Sustainability Victoria has identified and corrected a significant number of anomalies. </w:t>
      </w:r>
    </w:p>
    <w:p w:rsidR="00FD516C" w:rsidRPr="0048219A" w:rsidRDefault="00D90E7A" w:rsidP="00D52723">
      <w:pPr>
        <w:pStyle w:val="ParaIndent"/>
        <w:ind w:left="1701"/>
        <w:jc w:val="both"/>
        <w:rPr>
          <w:i/>
          <w:sz w:val="18"/>
        </w:rPr>
      </w:pPr>
      <w:r w:rsidRPr="00D90E7A">
        <w:rPr>
          <w:i/>
          <w:sz w:val="18"/>
        </w:rPr>
        <w:t>However, Sustainability Victoria is not in a position to validate underlying data in the report. Findings in this report are therefore subject to the accuracy of data provided by individual local governments.</w:t>
      </w:r>
    </w:p>
    <w:p w:rsidR="00224FB0" w:rsidRPr="00D56C84" w:rsidRDefault="00097E0D" w:rsidP="00D52723">
      <w:pPr>
        <w:pStyle w:val="ParaIndent"/>
        <w:spacing w:after="60"/>
        <w:jc w:val="both"/>
      </w:pPr>
      <w:r w:rsidRPr="00D56C84">
        <w:t xml:space="preserve">Sustainability Victoria </w:t>
      </w:r>
      <w:r w:rsidR="00224FB0" w:rsidRPr="00D56C84">
        <w:t xml:space="preserve">reports annually the result of </w:t>
      </w:r>
      <w:r w:rsidR="00825115" w:rsidRPr="00D56C84">
        <w:t xml:space="preserve">a </w:t>
      </w:r>
      <w:r w:rsidR="00224FB0" w:rsidRPr="00D56C84">
        <w:t xml:space="preserve">survey of local government. </w:t>
      </w:r>
      <w:r w:rsidR="00DD0EB7" w:rsidRPr="00D56C84">
        <w:t>The data contained within this report consists of that which is:</w:t>
      </w:r>
    </w:p>
    <w:p w:rsidR="00224FB0" w:rsidRPr="00D56C84" w:rsidRDefault="00DD0EB7" w:rsidP="00D52723">
      <w:pPr>
        <w:pStyle w:val="ParaIndent"/>
        <w:numPr>
          <w:ilvl w:val="0"/>
          <w:numId w:val="26"/>
        </w:numPr>
        <w:spacing w:after="60"/>
        <w:ind w:left="1418" w:hanging="284"/>
        <w:jc w:val="both"/>
      </w:pPr>
      <w:r w:rsidRPr="00D56C84">
        <w:t>Mandatory for local government to provide under the requirements of the National Packaging Covenant, namely ker</w:t>
      </w:r>
      <w:r w:rsidR="00224FB0" w:rsidRPr="00D56C84">
        <w:t>bside recycling</w:t>
      </w:r>
      <w:r w:rsidR="0014336A" w:rsidRPr="00D56C84">
        <w:t xml:space="preserve"> performance.</w:t>
      </w:r>
    </w:p>
    <w:p w:rsidR="00224FB0" w:rsidRPr="00D56C84" w:rsidRDefault="00DD0EB7" w:rsidP="00D52723">
      <w:pPr>
        <w:pStyle w:val="ParaIndent"/>
        <w:keepNext/>
        <w:numPr>
          <w:ilvl w:val="0"/>
          <w:numId w:val="26"/>
        </w:numPr>
        <w:spacing w:after="60"/>
        <w:ind w:left="1418" w:hanging="284"/>
        <w:jc w:val="both"/>
      </w:pPr>
      <w:r w:rsidRPr="00D56C84">
        <w:t>Voluntarily provided by local government, including</w:t>
      </w:r>
      <w:r w:rsidR="00D73388">
        <w:t>:</w:t>
      </w:r>
    </w:p>
    <w:p w:rsidR="00E10083" w:rsidRPr="00D56C84" w:rsidRDefault="00E10083" w:rsidP="00D52723">
      <w:pPr>
        <w:pStyle w:val="ParaIndent"/>
        <w:keepNext/>
        <w:numPr>
          <w:ilvl w:val="0"/>
          <w:numId w:val="30"/>
        </w:numPr>
        <w:spacing w:after="60"/>
        <w:ind w:left="1985" w:hanging="284"/>
        <w:jc w:val="both"/>
        <w:rPr>
          <w:sz w:val="18"/>
          <w:szCs w:val="18"/>
        </w:rPr>
      </w:pPr>
      <w:r w:rsidRPr="00D56C84">
        <w:rPr>
          <w:sz w:val="18"/>
          <w:szCs w:val="18"/>
        </w:rPr>
        <w:t xml:space="preserve">household garbage collection and disposal </w:t>
      </w:r>
    </w:p>
    <w:p w:rsidR="00E10083" w:rsidRPr="00D56C84" w:rsidRDefault="00E10083" w:rsidP="00D52723">
      <w:pPr>
        <w:pStyle w:val="ParaIndent"/>
        <w:keepNext/>
        <w:numPr>
          <w:ilvl w:val="0"/>
          <w:numId w:val="30"/>
        </w:numPr>
        <w:spacing w:after="60"/>
        <w:ind w:left="1985" w:hanging="284"/>
        <w:jc w:val="both"/>
        <w:rPr>
          <w:sz w:val="18"/>
          <w:szCs w:val="18"/>
        </w:rPr>
      </w:pPr>
      <w:r w:rsidRPr="00D56C84">
        <w:rPr>
          <w:sz w:val="18"/>
          <w:szCs w:val="18"/>
        </w:rPr>
        <w:t xml:space="preserve">household recyclables collection and sorting including material collected from drop-off facilities / transfer stations </w:t>
      </w:r>
    </w:p>
    <w:p w:rsidR="00E10083" w:rsidRPr="00D56C84" w:rsidRDefault="00E10083" w:rsidP="00D52723">
      <w:pPr>
        <w:pStyle w:val="ParaIndent"/>
        <w:numPr>
          <w:ilvl w:val="0"/>
          <w:numId w:val="30"/>
        </w:numPr>
        <w:spacing w:after="60"/>
        <w:ind w:left="1985" w:hanging="284"/>
        <w:jc w:val="both"/>
        <w:rPr>
          <w:sz w:val="18"/>
          <w:szCs w:val="18"/>
        </w:rPr>
      </w:pPr>
      <w:r w:rsidRPr="00D56C84">
        <w:rPr>
          <w:sz w:val="18"/>
          <w:szCs w:val="18"/>
        </w:rPr>
        <w:t xml:space="preserve">household green organics collection and processing </w:t>
      </w:r>
    </w:p>
    <w:p w:rsidR="00E10083" w:rsidRPr="00D56C84" w:rsidRDefault="00E10083" w:rsidP="00D52723">
      <w:pPr>
        <w:pStyle w:val="ParaIndent"/>
        <w:numPr>
          <w:ilvl w:val="0"/>
          <w:numId w:val="30"/>
        </w:numPr>
        <w:spacing w:after="60"/>
        <w:ind w:left="1985" w:hanging="284"/>
        <w:jc w:val="both"/>
        <w:rPr>
          <w:sz w:val="18"/>
          <w:szCs w:val="18"/>
        </w:rPr>
      </w:pPr>
      <w:r w:rsidRPr="00D56C84">
        <w:rPr>
          <w:sz w:val="18"/>
          <w:szCs w:val="18"/>
        </w:rPr>
        <w:t xml:space="preserve">litter bin and litter trap collection and disposal </w:t>
      </w:r>
    </w:p>
    <w:p w:rsidR="00E10083" w:rsidRPr="00D56C84" w:rsidRDefault="00E10083" w:rsidP="00D52723">
      <w:pPr>
        <w:pStyle w:val="ParaIndent"/>
        <w:numPr>
          <w:ilvl w:val="0"/>
          <w:numId w:val="30"/>
        </w:numPr>
        <w:spacing w:after="60"/>
        <w:ind w:left="1985" w:hanging="284"/>
        <w:jc w:val="both"/>
        <w:rPr>
          <w:sz w:val="18"/>
          <w:szCs w:val="18"/>
        </w:rPr>
      </w:pPr>
      <w:r w:rsidRPr="00D56C84">
        <w:rPr>
          <w:sz w:val="18"/>
          <w:szCs w:val="18"/>
        </w:rPr>
        <w:t xml:space="preserve">litter clean-up services </w:t>
      </w:r>
    </w:p>
    <w:p w:rsidR="00E10083" w:rsidRPr="00D56C84" w:rsidRDefault="00E10083" w:rsidP="00D52723">
      <w:pPr>
        <w:pStyle w:val="ParaIndent"/>
        <w:numPr>
          <w:ilvl w:val="0"/>
          <w:numId w:val="30"/>
        </w:numPr>
        <w:spacing w:after="60"/>
        <w:ind w:left="1985" w:hanging="284"/>
        <w:jc w:val="both"/>
        <w:rPr>
          <w:sz w:val="18"/>
          <w:szCs w:val="18"/>
        </w:rPr>
      </w:pPr>
      <w:r w:rsidRPr="00D56C84">
        <w:rPr>
          <w:sz w:val="18"/>
          <w:szCs w:val="18"/>
        </w:rPr>
        <w:t xml:space="preserve">street sweeping </w:t>
      </w:r>
    </w:p>
    <w:p w:rsidR="00E10083" w:rsidRPr="00D56C84" w:rsidRDefault="00E10083" w:rsidP="00D52723">
      <w:pPr>
        <w:pStyle w:val="ParaIndent"/>
        <w:numPr>
          <w:ilvl w:val="0"/>
          <w:numId w:val="30"/>
        </w:numPr>
        <w:spacing w:after="60"/>
        <w:ind w:left="1985" w:hanging="284"/>
        <w:jc w:val="both"/>
        <w:rPr>
          <w:sz w:val="18"/>
          <w:szCs w:val="18"/>
        </w:rPr>
      </w:pPr>
      <w:r w:rsidRPr="00D56C84">
        <w:rPr>
          <w:sz w:val="18"/>
          <w:szCs w:val="18"/>
        </w:rPr>
        <w:t xml:space="preserve">hard waste collection </w:t>
      </w:r>
    </w:p>
    <w:p w:rsidR="00E10083" w:rsidRPr="00D56C84" w:rsidRDefault="00E10083" w:rsidP="00D52723">
      <w:pPr>
        <w:pStyle w:val="ParaIndent"/>
        <w:keepNext/>
        <w:numPr>
          <w:ilvl w:val="0"/>
          <w:numId w:val="30"/>
        </w:numPr>
        <w:spacing w:after="60"/>
        <w:ind w:left="1985" w:hanging="284"/>
        <w:jc w:val="both"/>
        <w:rPr>
          <w:sz w:val="18"/>
          <w:szCs w:val="18"/>
        </w:rPr>
      </w:pPr>
      <w:r w:rsidRPr="00D56C84">
        <w:rPr>
          <w:sz w:val="18"/>
          <w:szCs w:val="18"/>
        </w:rPr>
        <w:t xml:space="preserve">commercial and industrial recyclables services </w:t>
      </w:r>
    </w:p>
    <w:p w:rsidR="00C14957" w:rsidRPr="00D56C84" w:rsidRDefault="00E10083" w:rsidP="00D52723">
      <w:pPr>
        <w:pStyle w:val="ParaIndent"/>
        <w:keepNext/>
        <w:numPr>
          <w:ilvl w:val="0"/>
          <w:numId w:val="30"/>
        </w:numPr>
        <w:spacing w:after="60"/>
        <w:ind w:left="1985" w:hanging="284"/>
        <w:jc w:val="both"/>
        <w:rPr>
          <w:sz w:val="18"/>
          <w:szCs w:val="18"/>
        </w:rPr>
      </w:pPr>
      <w:r w:rsidRPr="00D56C84">
        <w:rPr>
          <w:sz w:val="18"/>
          <w:szCs w:val="18"/>
        </w:rPr>
        <w:t>landfill and transfer station operations</w:t>
      </w:r>
    </w:p>
    <w:p w:rsidR="00C14957" w:rsidRPr="00D56C84" w:rsidRDefault="00C14957" w:rsidP="00D52723">
      <w:pPr>
        <w:pStyle w:val="ParaIndent"/>
        <w:keepNext/>
        <w:numPr>
          <w:ilvl w:val="0"/>
          <w:numId w:val="30"/>
        </w:numPr>
        <w:spacing w:after="60"/>
        <w:ind w:left="1985" w:hanging="284"/>
        <w:jc w:val="both"/>
        <w:rPr>
          <w:sz w:val="18"/>
          <w:szCs w:val="18"/>
        </w:rPr>
      </w:pPr>
      <w:r w:rsidRPr="00D56C84">
        <w:rPr>
          <w:sz w:val="18"/>
          <w:szCs w:val="18"/>
        </w:rPr>
        <w:t>waste management costs and charges</w:t>
      </w:r>
    </w:p>
    <w:p w:rsidR="00E10083" w:rsidRPr="00D56C84" w:rsidRDefault="00C14957" w:rsidP="00D52723">
      <w:pPr>
        <w:pStyle w:val="ParaIndent"/>
        <w:keepNext/>
        <w:numPr>
          <w:ilvl w:val="0"/>
          <w:numId w:val="30"/>
        </w:numPr>
        <w:spacing w:after="60"/>
        <w:ind w:left="1985" w:hanging="284"/>
        <w:jc w:val="both"/>
        <w:rPr>
          <w:sz w:val="18"/>
          <w:szCs w:val="18"/>
        </w:rPr>
      </w:pPr>
      <w:proofErr w:type="gramStart"/>
      <w:r w:rsidRPr="00D56C84">
        <w:rPr>
          <w:sz w:val="18"/>
          <w:szCs w:val="18"/>
        </w:rPr>
        <w:t>participation</w:t>
      </w:r>
      <w:proofErr w:type="gramEnd"/>
      <w:r w:rsidRPr="00D56C84">
        <w:rPr>
          <w:sz w:val="18"/>
          <w:szCs w:val="18"/>
        </w:rPr>
        <w:t xml:space="preserve"> rates.</w:t>
      </w:r>
      <w:r w:rsidR="00E10083" w:rsidRPr="00D56C84">
        <w:rPr>
          <w:sz w:val="18"/>
          <w:szCs w:val="18"/>
        </w:rPr>
        <w:t xml:space="preserve"> </w:t>
      </w:r>
    </w:p>
    <w:p w:rsidR="00E10083" w:rsidRPr="00D56C84" w:rsidRDefault="00224FB0" w:rsidP="00D52723">
      <w:pPr>
        <w:pStyle w:val="ParaIndent"/>
        <w:jc w:val="both"/>
      </w:pPr>
      <w:r w:rsidRPr="00D56C84">
        <w:t xml:space="preserve">Sustainability Victoria, and </w:t>
      </w:r>
      <w:r w:rsidR="00825115" w:rsidRPr="00D56C84">
        <w:t>preceding</w:t>
      </w:r>
      <w:r w:rsidRPr="00D56C84">
        <w:t xml:space="preserve"> agencies, have published nine </w:t>
      </w:r>
      <w:r w:rsidR="00DD0EB7" w:rsidRPr="00D56C84">
        <w:t xml:space="preserve">consecutive </w:t>
      </w:r>
      <w:r w:rsidRPr="00D56C84">
        <w:t>version</w:t>
      </w:r>
      <w:r w:rsidR="00DD0EB7" w:rsidRPr="00D56C84">
        <w:t>s</w:t>
      </w:r>
      <w:r w:rsidRPr="00D56C84">
        <w:t xml:space="preserve"> of this survey, and have </w:t>
      </w:r>
      <w:r w:rsidR="00825115" w:rsidRPr="00D56C84">
        <w:t xml:space="preserve">obtained </w:t>
      </w:r>
      <w:r w:rsidRPr="00D56C84">
        <w:t>full participation from all 79 LGAs.</w:t>
      </w:r>
      <w:r w:rsidR="00C14957" w:rsidRPr="00D56C84">
        <w:t xml:space="preserve"> Data is presented mainly in </w:t>
      </w:r>
      <w:r w:rsidR="00C14957" w:rsidRPr="00D56C84">
        <w:lastRenderedPageBreak/>
        <w:t xml:space="preserve">aggregated format, although selected council specific data is published, including diversion rates, services offered, and waste and recycling yield per household. </w:t>
      </w:r>
    </w:p>
    <w:p w:rsidR="00386248" w:rsidRDefault="0000730D" w:rsidP="00D52723">
      <w:pPr>
        <w:pStyle w:val="ParaIndent"/>
        <w:jc w:val="both"/>
      </w:pPr>
      <w:r>
        <w:t>It should be noted that information on the number of households per LGA is</w:t>
      </w:r>
      <w:r w:rsidR="00386248">
        <w:t xml:space="preserve"> drawn from a variety of sources, with some LGAs using 2006 Census Data, and others basing hous</w:t>
      </w:r>
      <w:r w:rsidR="001108C3">
        <w:t>ehold</w:t>
      </w:r>
      <w:r w:rsidR="00386248">
        <w:t xml:space="preserve"> data o</w:t>
      </w:r>
      <w:r w:rsidR="00D52723">
        <w:t>n</w:t>
      </w:r>
      <w:r w:rsidR="00386248">
        <w:t xml:space="preserve"> rates information. </w:t>
      </w:r>
    </w:p>
    <w:p w:rsidR="00BF4A26" w:rsidRDefault="00386248" w:rsidP="00D52723">
      <w:pPr>
        <w:pStyle w:val="ParaIndent"/>
        <w:jc w:val="both"/>
      </w:pPr>
      <w:r>
        <w:t xml:space="preserve">For potential users of the information, population </w:t>
      </w:r>
      <w:r w:rsidR="001108C3">
        <w:t xml:space="preserve">or housing </w:t>
      </w:r>
      <w:r>
        <w:t>data is</w:t>
      </w:r>
      <w:r w:rsidR="0000730D">
        <w:t xml:space="preserve"> not always readily available</w:t>
      </w:r>
      <w:r w:rsidR="00BF4A26">
        <w:t xml:space="preserve"> for the reference year in question. T</w:t>
      </w:r>
      <w:r w:rsidR="0000730D">
        <w:t>his</w:t>
      </w:r>
      <w:r w:rsidR="00BF4A26">
        <w:t xml:space="preserve"> often </w:t>
      </w:r>
      <w:r w:rsidR="0000730D">
        <w:t>present</w:t>
      </w:r>
      <w:r w:rsidR="00BF4A26">
        <w:t>s</w:t>
      </w:r>
      <w:r w:rsidR="0000730D">
        <w:t xml:space="preserve"> a barrier to </w:t>
      </w:r>
      <w:r w:rsidR="00BF4A26">
        <w:t>working with the waste and recycling information available, especially in terms of standardising information for comparison between other</w:t>
      </w:r>
      <w:r>
        <w:t xml:space="preserve"> LGAs or other</w:t>
      </w:r>
      <w:r w:rsidR="00BF4A26">
        <w:t xml:space="preserve"> jurisdictions, or in determining total tonnes of material requiring management within the state. </w:t>
      </w:r>
    </w:p>
    <w:p w:rsidR="0000730D" w:rsidRDefault="00BF4A26" w:rsidP="00D52723">
      <w:pPr>
        <w:pStyle w:val="ParaIndent"/>
        <w:jc w:val="both"/>
      </w:pPr>
      <w:r>
        <w:t xml:space="preserve">Some jurisdictions report total tonnes of material per LGA, while </w:t>
      </w:r>
      <w:r w:rsidR="00D52723">
        <w:t>some</w:t>
      </w:r>
      <w:r>
        <w:t xml:space="preserve"> provide information on a per capita basis (which presents the same issues as per household data, in terms of difficulties in matching data with population information for the relevant reference year)</w:t>
      </w:r>
      <w:r w:rsidR="00386248">
        <w:t xml:space="preserve"> and others report indicators per household or per dwelling</w:t>
      </w:r>
      <w:r>
        <w:t>.</w:t>
      </w:r>
    </w:p>
    <w:p w:rsidR="00994358" w:rsidRPr="00D56C84" w:rsidRDefault="00994358" w:rsidP="00D52723">
      <w:pPr>
        <w:pStyle w:val="ParaIndent"/>
        <w:jc w:val="both"/>
      </w:pPr>
      <w:r w:rsidRPr="00D56C84">
        <w:t xml:space="preserve">The amount of municipal waste recycled and landfilled is contained in the annual </w:t>
      </w:r>
      <w:r w:rsidRPr="003264BE">
        <w:rPr>
          <w:i/>
        </w:rPr>
        <w:t>Towards Zero Waste Strategy Progress Report</w:t>
      </w:r>
      <w:r w:rsidRPr="00D56C84">
        <w:t>.</w:t>
      </w:r>
    </w:p>
    <w:p w:rsidR="001F4F2D" w:rsidRPr="00D56C84" w:rsidRDefault="001F4F2D" w:rsidP="001F4F2D">
      <w:pPr>
        <w:pStyle w:val="Heading3"/>
      </w:pPr>
      <w:r w:rsidRPr="00D56C84">
        <w:t>Victorian Grants Commission</w:t>
      </w:r>
    </w:p>
    <w:p w:rsidR="001F4F2D" w:rsidRPr="00D56C84" w:rsidRDefault="001F4F2D" w:rsidP="00D52723">
      <w:pPr>
        <w:pStyle w:val="ParaIndent"/>
        <w:jc w:val="both"/>
      </w:pPr>
      <w:r w:rsidRPr="00D56C84">
        <w:t xml:space="preserve">The Victorian Grants Commission (VGC) </w:t>
      </w:r>
      <w:r w:rsidRPr="00386248">
        <w:rPr>
          <w:i/>
        </w:rPr>
        <w:t xml:space="preserve">Annual Report 2009–2010 </w:t>
      </w:r>
      <w:r w:rsidRPr="00D56C84">
        <w:t xml:space="preserve">outlines the methodology for allocating general purpose grants under the </w:t>
      </w:r>
      <w:r w:rsidRPr="001108C3">
        <w:rPr>
          <w:i/>
        </w:rPr>
        <w:t>Federal Local Government (Financial Assistance) Act 1995</w:t>
      </w:r>
      <w:r w:rsidRPr="00D56C84">
        <w:t xml:space="preserve">. It takes into account each </w:t>
      </w:r>
      <w:r w:rsidR="003264BE">
        <w:t>c</w:t>
      </w:r>
      <w:r w:rsidRPr="00D56C84">
        <w:t>ouncil’s relative expenditure needs and capacity to raise revenue based on a standardised calculation.</w:t>
      </w:r>
    </w:p>
    <w:p w:rsidR="001F4F2D" w:rsidRPr="00D56C84" w:rsidRDefault="001F4F2D" w:rsidP="00D52723">
      <w:pPr>
        <w:pStyle w:val="ParaIndent"/>
        <w:jc w:val="both"/>
      </w:pPr>
      <w:r w:rsidRPr="00D56C84">
        <w:t>In respect to the determination of standardised expenditure, eight expenditure functions (excluding local roads and bridges) are included in the VGC’s model which seeks to match the standardised calculat</w:t>
      </w:r>
      <w:r w:rsidR="003264BE">
        <w:t>ion with the pattern of actual c</w:t>
      </w:r>
      <w:r w:rsidRPr="00D56C84">
        <w:t xml:space="preserve">ouncil expenditure. Included in these eight functions is ‘waste management’. </w:t>
      </w:r>
    </w:p>
    <w:p w:rsidR="001F4F2D" w:rsidRPr="00D56C84" w:rsidRDefault="001F4F2D" w:rsidP="00D52723">
      <w:pPr>
        <w:pStyle w:val="ParaIndent"/>
        <w:jc w:val="both"/>
      </w:pPr>
      <w:r w:rsidRPr="00D56C84">
        <w:t>Each expenditure function has a ‘major cost driver’ which is considered by the VGC to be the most significant determinant of a Council’s expenditure need on that particular function. For waste management the ‘major cost driver’ is considered to b</w:t>
      </w:r>
      <w:r w:rsidR="003264BE">
        <w:t>e the number of dwellings in a c</w:t>
      </w:r>
      <w:r w:rsidRPr="00D56C84">
        <w:t xml:space="preserve">ouncil. Additionally there are other cost adjusters applied to each expenditure function beyond the ‘major cost driver’ that has been identified. For waste management, weighting is also given to population density (20%), population dispersion (50%), and scale (30%). </w:t>
      </w:r>
    </w:p>
    <w:p w:rsidR="001F4F2D" w:rsidRPr="00D56C84" w:rsidRDefault="001F4F2D" w:rsidP="00D52723">
      <w:pPr>
        <w:pStyle w:val="ParaIndent"/>
        <w:jc w:val="both"/>
      </w:pPr>
      <w:r w:rsidRPr="00D56C84">
        <w:t xml:space="preserve">The VGC </w:t>
      </w:r>
      <w:r w:rsidRPr="001108C3">
        <w:rPr>
          <w:i/>
        </w:rPr>
        <w:t>Annual Report 2009–2010</w:t>
      </w:r>
      <w:r w:rsidRPr="00D56C84">
        <w:t xml:space="preserve"> calculated average expenditure for waste management and grant revenue is shown in </w:t>
      </w:r>
      <w:fldSimple w:instr=" REF _Ref297115988 \h  \* MERGEFORMAT ">
        <w:r w:rsidR="00166111" w:rsidRPr="00D56C84">
          <w:t xml:space="preserve">Table </w:t>
        </w:r>
        <w:r w:rsidR="00166111">
          <w:rPr>
            <w:noProof/>
          </w:rPr>
          <w:t>7</w:t>
        </w:r>
        <w:r w:rsidR="00166111" w:rsidRPr="00D56C84">
          <w:rPr>
            <w:noProof/>
          </w:rPr>
          <w:t>-</w:t>
        </w:r>
        <w:r w:rsidR="00166111">
          <w:rPr>
            <w:noProof/>
          </w:rPr>
          <w:t>16</w:t>
        </w:r>
      </w:fldSimple>
      <w:r w:rsidRPr="00D56C84">
        <w:t>.</w:t>
      </w:r>
    </w:p>
    <w:p w:rsidR="001F4F2D" w:rsidRPr="00D56C84" w:rsidRDefault="001F4F2D" w:rsidP="001F4F2D">
      <w:pPr>
        <w:pStyle w:val="Caption"/>
      </w:pPr>
      <w:bookmarkStart w:id="66" w:name="_Ref297115988"/>
      <w:r w:rsidRPr="00D56C84">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16</w:t>
      </w:r>
      <w:r w:rsidR="00ED6CA0">
        <w:rPr>
          <w:noProof/>
        </w:rPr>
        <w:fldChar w:fldCharType="end"/>
      </w:r>
      <w:bookmarkEnd w:id="66"/>
      <w:r w:rsidRPr="00D56C84">
        <w:tab/>
      </w:r>
      <w:r w:rsidRPr="00D56C84">
        <w:rPr>
          <w:rFonts w:cs="Arial"/>
        </w:rPr>
        <w:t>VGC 2009–10 calculations for waste management</w:t>
      </w:r>
    </w:p>
    <w:tbl>
      <w:tblPr>
        <w:tblStyle w:val="TableGrid"/>
        <w:tblW w:w="8505" w:type="dxa"/>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1384"/>
        <w:gridCol w:w="1186"/>
        <w:gridCol w:w="1187"/>
        <w:gridCol w:w="1187"/>
        <w:gridCol w:w="1187"/>
        <w:gridCol w:w="1187"/>
        <w:gridCol w:w="1187"/>
      </w:tblGrid>
      <w:tr w:rsidR="001F4F2D" w:rsidRPr="00D56C84" w:rsidTr="00FF7720">
        <w:tc>
          <w:tcPr>
            <w:tcW w:w="1384" w:type="dxa"/>
            <w:vMerge w:val="restart"/>
            <w:shd w:val="clear" w:color="auto" w:fill="auto"/>
          </w:tcPr>
          <w:p w:rsidR="001F4F2D" w:rsidRPr="00D56C84" w:rsidRDefault="001F4F2D" w:rsidP="00FF7720">
            <w:pPr>
              <w:pStyle w:val="TableHeading"/>
            </w:pPr>
          </w:p>
          <w:p w:rsidR="001F4F2D" w:rsidRPr="00D56C84" w:rsidRDefault="001F4F2D" w:rsidP="00FF7720">
            <w:pPr>
              <w:pStyle w:val="TableHeading"/>
            </w:pPr>
            <w:r w:rsidRPr="00D56C84">
              <w:t>Function</w:t>
            </w:r>
          </w:p>
        </w:tc>
        <w:tc>
          <w:tcPr>
            <w:tcW w:w="4747" w:type="dxa"/>
            <w:gridSpan w:val="4"/>
            <w:shd w:val="clear" w:color="auto" w:fill="auto"/>
          </w:tcPr>
          <w:p w:rsidR="001F4F2D" w:rsidRPr="00D56C84" w:rsidRDefault="001F4F2D" w:rsidP="00FF7720">
            <w:pPr>
              <w:pStyle w:val="TableHeading"/>
            </w:pPr>
            <w:r w:rsidRPr="00D56C84">
              <w:t>Expenditure</w:t>
            </w:r>
          </w:p>
        </w:tc>
        <w:tc>
          <w:tcPr>
            <w:tcW w:w="2374" w:type="dxa"/>
            <w:gridSpan w:val="2"/>
            <w:shd w:val="clear" w:color="auto" w:fill="auto"/>
          </w:tcPr>
          <w:p w:rsidR="001F4F2D" w:rsidRPr="00D56C84" w:rsidRDefault="001F4F2D" w:rsidP="00FF7720">
            <w:pPr>
              <w:pStyle w:val="TableHeading"/>
            </w:pPr>
            <w:r w:rsidRPr="00D56C84">
              <w:t>Revenue</w:t>
            </w:r>
          </w:p>
        </w:tc>
      </w:tr>
      <w:tr w:rsidR="001F4F2D" w:rsidRPr="00D56C84" w:rsidTr="00FF7720">
        <w:tc>
          <w:tcPr>
            <w:tcW w:w="1384" w:type="dxa"/>
            <w:vMerge/>
            <w:tcBorders>
              <w:bottom w:val="single" w:sz="4" w:space="0" w:color="808080"/>
            </w:tcBorders>
            <w:shd w:val="clear" w:color="auto" w:fill="auto"/>
          </w:tcPr>
          <w:p w:rsidR="001F4F2D" w:rsidRPr="00D56C84" w:rsidRDefault="001F4F2D" w:rsidP="00FF7720">
            <w:pPr>
              <w:pStyle w:val="TableText"/>
            </w:pPr>
          </w:p>
        </w:tc>
        <w:tc>
          <w:tcPr>
            <w:tcW w:w="1186" w:type="dxa"/>
            <w:tcBorders>
              <w:bottom w:val="single" w:sz="4" w:space="0" w:color="808080"/>
            </w:tcBorders>
            <w:shd w:val="clear" w:color="auto" w:fill="auto"/>
          </w:tcPr>
          <w:p w:rsidR="001F4F2D" w:rsidRPr="00D56C84" w:rsidRDefault="001F4F2D" w:rsidP="00FF7720">
            <w:pPr>
              <w:pStyle w:val="TableText"/>
            </w:pPr>
            <w:r w:rsidRPr="00D56C84">
              <w:t>Major cost driver</w:t>
            </w:r>
          </w:p>
        </w:tc>
        <w:tc>
          <w:tcPr>
            <w:tcW w:w="1187" w:type="dxa"/>
            <w:tcBorders>
              <w:bottom w:val="single" w:sz="4" w:space="0" w:color="808080"/>
            </w:tcBorders>
            <w:shd w:val="clear" w:color="auto" w:fill="auto"/>
          </w:tcPr>
          <w:p w:rsidR="001F4F2D" w:rsidRPr="00D56C84" w:rsidRDefault="001F4F2D" w:rsidP="00FF7720">
            <w:pPr>
              <w:pStyle w:val="TableText"/>
            </w:pPr>
            <w:r w:rsidRPr="00D56C84">
              <w:t>Unit(s) of need</w:t>
            </w:r>
          </w:p>
        </w:tc>
        <w:tc>
          <w:tcPr>
            <w:tcW w:w="1187" w:type="dxa"/>
            <w:tcBorders>
              <w:bottom w:val="single" w:sz="4" w:space="0" w:color="808080"/>
            </w:tcBorders>
            <w:shd w:val="clear" w:color="auto" w:fill="auto"/>
          </w:tcPr>
          <w:p w:rsidR="001F4F2D" w:rsidRPr="00D56C84" w:rsidRDefault="001F4F2D" w:rsidP="00FF7720">
            <w:pPr>
              <w:pStyle w:val="TableText"/>
            </w:pPr>
            <w:r w:rsidRPr="00D56C84">
              <w:t>Actual expenditure ($)</w:t>
            </w:r>
          </w:p>
        </w:tc>
        <w:tc>
          <w:tcPr>
            <w:tcW w:w="1187" w:type="dxa"/>
            <w:tcBorders>
              <w:bottom w:val="single" w:sz="4" w:space="0" w:color="808080"/>
            </w:tcBorders>
            <w:shd w:val="clear" w:color="auto" w:fill="auto"/>
          </w:tcPr>
          <w:p w:rsidR="001F4F2D" w:rsidRPr="00D56C84" w:rsidRDefault="001F4F2D" w:rsidP="00FF7720">
            <w:pPr>
              <w:pStyle w:val="TableText"/>
            </w:pPr>
            <w:r w:rsidRPr="00D56C84">
              <w:t>Average expenditure per unit ($/unit)</w:t>
            </w:r>
          </w:p>
        </w:tc>
        <w:tc>
          <w:tcPr>
            <w:tcW w:w="1187" w:type="dxa"/>
            <w:tcBorders>
              <w:bottom w:val="single" w:sz="4" w:space="0" w:color="808080"/>
            </w:tcBorders>
            <w:shd w:val="clear" w:color="auto" w:fill="auto"/>
          </w:tcPr>
          <w:p w:rsidR="001F4F2D" w:rsidRPr="00D56C84" w:rsidRDefault="001F4F2D" w:rsidP="00FF7720">
            <w:pPr>
              <w:pStyle w:val="TableText"/>
            </w:pPr>
            <w:r w:rsidRPr="00D56C84">
              <w:t>Actual grant revenue</w:t>
            </w:r>
          </w:p>
        </w:tc>
        <w:tc>
          <w:tcPr>
            <w:tcW w:w="1187" w:type="dxa"/>
            <w:tcBorders>
              <w:bottom w:val="single" w:sz="4" w:space="0" w:color="808080"/>
            </w:tcBorders>
            <w:shd w:val="clear" w:color="auto" w:fill="auto"/>
          </w:tcPr>
          <w:p w:rsidR="001F4F2D" w:rsidRPr="00D56C84" w:rsidRDefault="001F4F2D" w:rsidP="00FF7720">
            <w:pPr>
              <w:pStyle w:val="TableText"/>
            </w:pPr>
            <w:r w:rsidRPr="00D56C84">
              <w:t>Average grant revenue per unit ($/unit)</w:t>
            </w:r>
          </w:p>
        </w:tc>
      </w:tr>
      <w:tr w:rsidR="001F4F2D" w:rsidRPr="00D56C84" w:rsidTr="00FF7720">
        <w:tc>
          <w:tcPr>
            <w:tcW w:w="1384"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Waste management</w:t>
            </w:r>
          </w:p>
        </w:tc>
        <w:tc>
          <w:tcPr>
            <w:tcW w:w="1186"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Number of dwellings</w:t>
            </w:r>
          </w:p>
        </w:tc>
        <w:tc>
          <w:tcPr>
            <w:tcW w:w="1187"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2,209,537</w:t>
            </w:r>
          </w:p>
        </w:tc>
        <w:tc>
          <w:tcPr>
            <w:tcW w:w="1187"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$482,520,852</w:t>
            </w:r>
          </w:p>
        </w:tc>
        <w:tc>
          <w:tcPr>
            <w:tcW w:w="1187"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$218.38</w:t>
            </w:r>
          </w:p>
        </w:tc>
        <w:tc>
          <w:tcPr>
            <w:tcW w:w="1187"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$519,767</w:t>
            </w:r>
          </w:p>
        </w:tc>
        <w:tc>
          <w:tcPr>
            <w:tcW w:w="1187"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$0.24</w:t>
            </w:r>
          </w:p>
        </w:tc>
      </w:tr>
    </w:tbl>
    <w:p w:rsidR="001F4F2D" w:rsidRPr="00D56C84" w:rsidRDefault="001F4F2D" w:rsidP="001F4F2D">
      <w:pPr>
        <w:pStyle w:val="ParaIndent"/>
      </w:pPr>
    </w:p>
    <w:p w:rsidR="001F4F2D" w:rsidRPr="00D56C84" w:rsidRDefault="001F4F2D" w:rsidP="00D52723">
      <w:pPr>
        <w:pStyle w:val="ParaIndent"/>
        <w:jc w:val="both"/>
      </w:pPr>
      <w:r w:rsidRPr="00D56C84">
        <w:t xml:space="preserve">The VGC indicates that a </w:t>
      </w:r>
      <w:r w:rsidR="003264BE">
        <w:t>c</w:t>
      </w:r>
      <w:r w:rsidRPr="00D56C84">
        <w:t xml:space="preserve">ouncil’s standardised revenue is intended to reflect its capacity to raise revenue from its community. </w:t>
      </w:r>
    </w:p>
    <w:p w:rsidR="001F4F2D" w:rsidRPr="00D56C84" w:rsidRDefault="001F4F2D" w:rsidP="00D52723">
      <w:pPr>
        <w:pStyle w:val="ParaIndent"/>
        <w:jc w:val="both"/>
      </w:pPr>
      <w:r w:rsidRPr="00D56C84">
        <w:lastRenderedPageBreak/>
        <w:t xml:space="preserve">The VGC </w:t>
      </w:r>
      <w:r w:rsidRPr="001108C3">
        <w:rPr>
          <w:i/>
        </w:rPr>
        <w:t>Annual Report 2009–10</w:t>
      </w:r>
      <w:r w:rsidRPr="00D56C84">
        <w:t xml:space="preserve"> </w:t>
      </w:r>
      <w:r w:rsidRPr="00D56C84">
        <w:rPr>
          <w:i/>
        </w:rPr>
        <w:t xml:space="preserve">Appendix 4 – General Purpose Grants 2010–11 </w:t>
      </w:r>
      <w:r w:rsidRPr="00D56C84">
        <w:t xml:space="preserve">provides a net standardised expenditure for the function of waste management for each Council and an estimate of the fees and charges for each function, including waste </w:t>
      </w:r>
      <w:r w:rsidR="003264BE">
        <w:t>management, for each Victorian c</w:t>
      </w:r>
      <w:r w:rsidRPr="00D56C84">
        <w:t xml:space="preserve">ouncil. </w:t>
      </w:r>
    </w:p>
    <w:p w:rsidR="001F4F2D" w:rsidRPr="00D56C84" w:rsidRDefault="001F4F2D" w:rsidP="001F4F2D">
      <w:pPr>
        <w:pStyle w:val="Heading3"/>
      </w:pPr>
      <w:r w:rsidRPr="00D56C84">
        <w:t>Local government financial reporting</w:t>
      </w:r>
    </w:p>
    <w:p w:rsidR="00C14957" w:rsidRPr="00D56C84" w:rsidRDefault="00C14957" w:rsidP="00D52723">
      <w:pPr>
        <w:pStyle w:val="ParaIndent"/>
        <w:jc w:val="both"/>
      </w:pPr>
      <w:r w:rsidRPr="00D56C84">
        <w:t xml:space="preserve">The Department of Planning and Community Development (DPCD) has responsibility for local government in Victoria. DPCD annually prepares a report </w:t>
      </w:r>
      <w:r w:rsidRPr="00D56C84">
        <w:rPr>
          <w:i/>
        </w:rPr>
        <w:t>Local Government in Victoria</w:t>
      </w:r>
      <w:r w:rsidRPr="00D56C84">
        <w:t xml:space="preserve"> which collates information from local government annual reports and data gathered from </w:t>
      </w:r>
      <w:r w:rsidRPr="00D56C84">
        <w:rPr>
          <w:rFonts w:cs="Arial"/>
        </w:rPr>
        <w:t xml:space="preserve">an annual Information Return to the DPCD. </w:t>
      </w:r>
    </w:p>
    <w:p w:rsidR="00791244" w:rsidRDefault="00C14957" w:rsidP="00D52723">
      <w:pPr>
        <w:pStyle w:val="ParaIndent"/>
        <w:jc w:val="both"/>
        <w:rPr>
          <w:rFonts w:cs="Arial"/>
          <w:color w:val="000000"/>
        </w:rPr>
      </w:pPr>
      <w:r w:rsidRPr="00D56C84">
        <w:t xml:space="preserve">The annual report addresses key performance indicators for local government which </w:t>
      </w:r>
      <w:r w:rsidR="001108C3">
        <w:t>‘</w:t>
      </w:r>
      <w:r w:rsidRPr="00D56C84">
        <w:t>have been agreed by Victorian Government and Councils</w:t>
      </w:r>
      <w:r w:rsidR="001108C3">
        <w:t>’</w:t>
      </w:r>
      <w:r w:rsidRPr="00D56C84">
        <w:rPr>
          <w:rStyle w:val="FootnoteReference"/>
        </w:rPr>
        <w:footnoteReference w:id="10"/>
      </w:r>
      <w:r w:rsidRPr="00D56C84">
        <w:t>.</w:t>
      </w:r>
      <w:r w:rsidRPr="00D56C84">
        <w:rPr>
          <w:rFonts w:cs="Arial"/>
          <w:color w:val="000000"/>
        </w:rPr>
        <w:t xml:space="preserve"> </w:t>
      </w:r>
    </w:p>
    <w:p w:rsidR="00791244" w:rsidRDefault="00C14957" w:rsidP="00D52723">
      <w:pPr>
        <w:pStyle w:val="ParaIndent"/>
        <w:jc w:val="both"/>
      </w:pPr>
      <w:r w:rsidRPr="00D56C84">
        <w:t>Information on the performance indicators is available for individual local governments. Waste charge information is aggregated within a number of these performance measures. Guidance is provided in the ‘Source data 2005–09 and definitions’ spreadsheet, which states that the measure of ‘All rates’ is:</w:t>
      </w:r>
    </w:p>
    <w:p w:rsidR="00C14957" w:rsidRPr="00D56C84" w:rsidRDefault="00C14957" w:rsidP="00D52723">
      <w:pPr>
        <w:pStyle w:val="ParaIndent"/>
        <w:ind w:left="1701"/>
        <w:jc w:val="both"/>
        <w:rPr>
          <w:sz w:val="18"/>
          <w:szCs w:val="18"/>
        </w:rPr>
      </w:pPr>
      <w:r w:rsidRPr="00D56C84">
        <w:rPr>
          <w:sz w:val="18"/>
          <w:szCs w:val="18"/>
        </w:rPr>
        <w:t>Rates and charges declared as being receivable, in the calculations for the adopted rates, at the beginning of the year, including:</w:t>
      </w:r>
    </w:p>
    <w:p w:rsidR="00C14957" w:rsidRPr="00D56C84" w:rsidRDefault="00C14957" w:rsidP="00D52723">
      <w:pPr>
        <w:pStyle w:val="ParaIndent"/>
        <w:keepNext/>
        <w:numPr>
          <w:ilvl w:val="0"/>
          <w:numId w:val="29"/>
        </w:numPr>
        <w:spacing w:after="60"/>
        <w:ind w:left="1985" w:hanging="284"/>
        <w:jc w:val="both"/>
        <w:rPr>
          <w:sz w:val="18"/>
          <w:szCs w:val="18"/>
        </w:rPr>
      </w:pPr>
      <w:r w:rsidRPr="00D56C84">
        <w:rPr>
          <w:sz w:val="18"/>
          <w:szCs w:val="18"/>
        </w:rPr>
        <w:t xml:space="preserve">general rates and charges declared under ss. 160, 161,161A of the </w:t>
      </w:r>
      <w:r w:rsidRPr="003264BE">
        <w:rPr>
          <w:i/>
          <w:sz w:val="18"/>
          <w:szCs w:val="18"/>
        </w:rPr>
        <w:t>Local Government Act 1989</w:t>
      </w:r>
    </w:p>
    <w:p w:rsidR="00C14957" w:rsidRPr="00D56C84" w:rsidRDefault="00C14957" w:rsidP="00D52723">
      <w:pPr>
        <w:pStyle w:val="ParaIndent"/>
        <w:numPr>
          <w:ilvl w:val="0"/>
          <w:numId w:val="29"/>
        </w:numPr>
        <w:ind w:left="1985" w:hanging="284"/>
        <w:jc w:val="both"/>
        <w:rPr>
          <w:sz w:val="18"/>
          <w:szCs w:val="18"/>
        </w:rPr>
      </w:pPr>
      <w:proofErr w:type="gramStart"/>
      <w:r w:rsidRPr="00D56C84">
        <w:rPr>
          <w:sz w:val="18"/>
          <w:szCs w:val="18"/>
        </w:rPr>
        <w:t>municipal</w:t>
      </w:r>
      <w:proofErr w:type="gramEnd"/>
      <w:r w:rsidRPr="00D56C84">
        <w:rPr>
          <w:sz w:val="18"/>
          <w:szCs w:val="18"/>
        </w:rPr>
        <w:t xml:space="preserve"> charges and service rates and charges (that is, garbage services) levied under ss. 159, 162 respectively...</w:t>
      </w:r>
    </w:p>
    <w:p w:rsidR="00C14957" w:rsidRPr="00D56C84" w:rsidRDefault="00C14957" w:rsidP="00D52723">
      <w:pPr>
        <w:pStyle w:val="ParaIndent"/>
        <w:keepNext/>
        <w:spacing w:after="60"/>
        <w:jc w:val="both"/>
      </w:pPr>
      <w:r w:rsidRPr="00D56C84">
        <w:t>Additionally waste costs and charges would be aggregated in the measure for ‘Residential rates’ which includes:</w:t>
      </w:r>
    </w:p>
    <w:p w:rsidR="00C14957" w:rsidRPr="00D56C84" w:rsidRDefault="00C14957" w:rsidP="00D52723">
      <w:pPr>
        <w:pStyle w:val="ParaIndent"/>
        <w:ind w:left="1701"/>
        <w:jc w:val="both"/>
        <w:rPr>
          <w:sz w:val="18"/>
          <w:szCs w:val="18"/>
        </w:rPr>
      </w:pPr>
      <w:r w:rsidRPr="00D56C84">
        <w:rPr>
          <w:sz w:val="18"/>
          <w:szCs w:val="18"/>
        </w:rPr>
        <w:t>Rates and charges declared for all residential assessments (including vacant residential assessments) as defined in “All rates”, except for residential assessments only...</w:t>
      </w:r>
    </w:p>
    <w:p w:rsidR="00C14957" w:rsidRPr="00D56C84" w:rsidRDefault="00C14957" w:rsidP="00D52723">
      <w:pPr>
        <w:pStyle w:val="ParaIndent"/>
        <w:jc w:val="both"/>
      </w:pPr>
      <w:r w:rsidRPr="00D56C84">
        <w:t>Aggregated operational costs for waste and recycling services would also be included in the performance measure of ‘Operating costs’.</w:t>
      </w:r>
    </w:p>
    <w:p w:rsidR="00C14957" w:rsidRPr="00D56C84" w:rsidRDefault="00C14957" w:rsidP="00D52723">
      <w:pPr>
        <w:pStyle w:val="ParaIndent"/>
        <w:keepNext/>
        <w:spacing w:after="60"/>
        <w:jc w:val="both"/>
      </w:pPr>
      <w:r w:rsidRPr="00D56C84">
        <w:t>The ‘Source data 2005–09 and definitions’ spreadsheet, under the ‘definitions for indicators’ notes in reference to ‘Data available for general analysis’, that:</w:t>
      </w:r>
    </w:p>
    <w:p w:rsidR="00C14957" w:rsidRPr="00D56C84" w:rsidRDefault="00C14957" w:rsidP="00D52723">
      <w:pPr>
        <w:pStyle w:val="ParaIndent"/>
        <w:ind w:left="1701"/>
        <w:jc w:val="both"/>
        <w:rPr>
          <w:sz w:val="18"/>
          <w:szCs w:val="18"/>
        </w:rPr>
      </w:pPr>
      <w:r w:rsidRPr="00D56C84">
        <w:rPr>
          <w:sz w:val="18"/>
          <w:szCs w:val="18"/>
        </w:rPr>
        <w:t>The data and indicators were provided by councils using the Victoria Grants Commission Return as the data collection mechanism.</w:t>
      </w:r>
    </w:p>
    <w:p w:rsidR="00C14957" w:rsidRPr="00D56C84" w:rsidRDefault="00C14957" w:rsidP="00D52723">
      <w:pPr>
        <w:pStyle w:val="ParaIndent"/>
        <w:keepNext/>
        <w:spacing w:after="60"/>
        <w:jc w:val="both"/>
      </w:pPr>
      <w:r w:rsidRPr="00D56C84">
        <w:t xml:space="preserve">DPCD also provides a range of support for local government which includes guidance on asset management and financial reporting. Specifically there is guidance on financial reports and standard statements, which includes the 2011 </w:t>
      </w:r>
      <w:r w:rsidRPr="003264BE">
        <w:rPr>
          <w:i/>
        </w:rPr>
        <w:t>Model Financial Report</w:t>
      </w:r>
      <w:r w:rsidRPr="00D56C84">
        <w:t xml:space="preserve">. This model seeks that </w:t>
      </w:r>
      <w:r w:rsidR="003264BE">
        <w:t>c</w:t>
      </w:r>
      <w:r w:rsidRPr="00D56C84">
        <w:t>ouncils report on:</w:t>
      </w:r>
    </w:p>
    <w:p w:rsidR="00C14957" w:rsidRPr="00D56C84" w:rsidRDefault="00C14957" w:rsidP="00D52723">
      <w:pPr>
        <w:pStyle w:val="ParaIndent"/>
        <w:keepNext/>
        <w:numPr>
          <w:ilvl w:val="0"/>
          <w:numId w:val="26"/>
        </w:numPr>
        <w:spacing w:after="60"/>
        <w:ind w:left="1418" w:hanging="284"/>
        <w:jc w:val="both"/>
      </w:pPr>
      <w:r w:rsidRPr="00D56C84">
        <w:t>Garbage charges that are included in rates / charges</w:t>
      </w:r>
    </w:p>
    <w:p w:rsidR="00C14957" w:rsidRPr="00D56C84" w:rsidRDefault="00C14957" w:rsidP="00D52723">
      <w:pPr>
        <w:pStyle w:val="ParaIndent"/>
        <w:keepNext/>
        <w:numPr>
          <w:ilvl w:val="0"/>
          <w:numId w:val="26"/>
        </w:numPr>
        <w:spacing w:after="60"/>
        <w:ind w:left="1418" w:hanging="284"/>
        <w:jc w:val="both"/>
      </w:pPr>
      <w:r w:rsidRPr="00D56C84">
        <w:t>Garbage collection operating commitments</w:t>
      </w:r>
    </w:p>
    <w:p w:rsidR="00C14957" w:rsidRPr="00D56C84" w:rsidRDefault="00C14957" w:rsidP="00D52723">
      <w:pPr>
        <w:pStyle w:val="ParaIndent"/>
        <w:keepNext/>
        <w:numPr>
          <w:ilvl w:val="0"/>
          <w:numId w:val="26"/>
        </w:numPr>
        <w:spacing w:after="60"/>
        <w:ind w:left="1418" w:hanging="284"/>
        <w:jc w:val="both"/>
      </w:pPr>
      <w:r w:rsidRPr="00D56C84">
        <w:t>Recycling collection operating commitments</w:t>
      </w:r>
    </w:p>
    <w:p w:rsidR="00C14957" w:rsidRPr="00D56C84" w:rsidRDefault="00C14957" w:rsidP="00D52723">
      <w:pPr>
        <w:pStyle w:val="ParaIndent"/>
        <w:numPr>
          <w:ilvl w:val="0"/>
          <w:numId w:val="26"/>
        </w:numPr>
        <w:spacing w:after="60"/>
        <w:ind w:left="1418" w:hanging="284"/>
        <w:jc w:val="both"/>
      </w:pPr>
      <w:r w:rsidRPr="00D56C84">
        <w:t>General operational waste management allocations</w:t>
      </w:r>
      <w:r w:rsidR="005B171E">
        <w:t>.</w:t>
      </w:r>
    </w:p>
    <w:p w:rsidR="00455AF1" w:rsidRPr="00D56C84" w:rsidRDefault="00AE087B" w:rsidP="00D52723">
      <w:pPr>
        <w:pStyle w:val="Heading2"/>
        <w:jc w:val="both"/>
      </w:pPr>
      <w:bookmarkStart w:id="67" w:name="_Toc307470436"/>
      <w:r w:rsidRPr="00D56C84">
        <w:lastRenderedPageBreak/>
        <w:t xml:space="preserve">Performance </w:t>
      </w:r>
      <w:r w:rsidR="00085D2C">
        <w:t>in Victoria</w:t>
      </w:r>
      <w:bookmarkEnd w:id="67"/>
    </w:p>
    <w:p w:rsidR="00C14957" w:rsidRPr="00D56C84" w:rsidRDefault="00C14957" w:rsidP="00D52723">
      <w:pPr>
        <w:pStyle w:val="ParaIndent"/>
        <w:jc w:val="both"/>
      </w:pPr>
      <w:r w:rsidRPr="00D56C84">
        <w:t>The</w:t>
      </w:r>
      <w:r w:rsidRPr="00D56C84">
        <w:rPr>
          <w:i/>
        </w:rPr>
        <w:t xml:space="preserve"> Victorian Local Government Annual Survey 2008</w:t>
      </w:r>
      <w:r w:rsidR="005B171E">
        <w:rPr>
          <w:i/>
        </w:rPr>
        <w:t>–</w:t>
      </w:r>
      <w:r w:rsidRPr="00D56C84">
        <w:rPr>
          <w:i/>
        </w:rPr>
        <w:t>2009</w:t>
      </w:r>
      <w:r w:rsidRPr="00D56C84">
        <w:rPr>
          <w:b/>
          <w:bCs/>
          <w:sz w:val="16"/>
          <w:szCs w:val="16"/>
        </w:rPr>
        <w:t xml:space="preserve"> </w:t>
      </w:r>
      <w:r w:rsidRPr="00D56C84">
        <w:t>summarises the results of the annual survey conducted by Sustainability Victoria for the 2008</w:t>
      </w:r>
      <w:r w:rsidR="005B171E">
        <w:rPr>
          <w:rFonts w:cs="Arial"/>
        </w:rPr>
        <w:t>–</w:t>
      </w:r>
      <w:r w:rsidRPr="00D56C84">
        <w:t>09 financial year. The survey is well established and has achieved a 100% response rate in all but one year since the first survey in 2000</w:t>
      </w:r>
      <w:r w:rsidR="005B171E">
        <w:rPr>
          <w:rFonts w:cs="Arial"/>
        </w:rPr>
        <w:t>–</w:t>
      </w:r>
      <w:r w:rsidRPr="00D56C84">
        <w:t>01. As such, the survey is considered to offer a reasonably accurate picture of local government waste and recycling activities in Victoria.</w:t>
      </w:r>
    </w:p>
    <w:p w:rsidR="00C14957" w:rsidRPr="00D56C84" w:rsidRDefault="00ED6CA0" w:rsidP="00D52723">
      <w:pPr>
        <w:pStyle w:val="ParaIndent"/>
        <w:jc w:val="both"/>
      </w:pPr>
      <w:fldSimple w:instr=" REF _Ref298752374 \h  \* MERGEFORMAT ">
        <w:r w:rsidR="00166111" w:rsidRPr="00D56C84">
          <w:t xml:space="preserve">Table </w:t>
        </w:r>
        <w:r w:rsidR="00166111">
          <w:rPr>
            <w:noProof/>
          </w:rPr>
          <w:t>8</w:t>
        </w:r>
        <w:r w:rsidR="00166111" w:rsidRPr="00D56C84">
          <w:rPr>
            <w:noProof/>
          </w:rPr>
          <w:t>-</w:t>
        </w:r>
        <w:r w:rsidR="00166111">
          <w:rPr>
            <w:noProof/>
          </w:rPr>
          <w:t>24</w:t>
        </w:r>
      </w:fldSimple>
      <w:r w:rsidR="00C14957" w:rsidRPr="00D56C84">
        <w:t xml:space="preserve"> provides a summary of the collections and services offered by Victorian councils.</w:t>
      </w:r>
    </w:p>
    <w:p w:rsidR="00C14957" w:rsidRPr="00D56C84" w:rsidRDefault="00C14957" w:rsidP="00C14957">
      <w:pPr>
        <w:pStyle w:val="Caption"/>
      </w:pPr>
      <w:r w:rsidRPr="00D56C84">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17</w:t>
      </w:r>
      <w:r w:rsidR="00ED6CA0">
        <w:rPr>
          <w:noProof/>
        </w:rPr>
        <w:fldChar w:fldCharType="end"/>
      </w:r>
      <w:r w:rsidRPr="00D56C84">
        <w:tab/>
        <w:t xml:space="preserve">Kerbside collections offered by number of local governments as reported in </w:t>
      </w:r>
      <w:r w:rsidRPr="00D56C84">
        <w:rPr>
          <w:i/>
        </w:rPr>
        <w:t>Victorian Local Government Annual Survey 2008</w:t>
      </w:r>
      <w:r w:rsidR="005B171E">
        <w:rPr>
          <w:rFonts w:cs="Arial"/>
          <w:i/>
        </w:rPr>
        <w:t>–</w:t>
      </w:r>
      <w:r w:rsidRPr="00D56C84">
        <w:rPr>
          <w:i/>
        </w:rPr>
        <w:t>2009</w:t>
      </w:r>
    </w:p>
    <w:tbl>
      <w:tblPr>
        <w:tblW w:w="4412" w:type="pct"/>
        <w:tblInd w:w="1134" w:type="dxa"/>
        <w:tblBorders>
          <w:bottom w:val="single" w:sz="18" w:space="0" w:color="808080"/>
          <w:insideH w:val="single" w:sz="4" w:space="0" w:color="808080"/>
        </w:tblBorders>
        <w:tblLayout w:type="fixed"/>
        <w:tblCellMar>
          <w:left w:w="0" w:type="dxa"/>
          <w:right w:w="0" w:type="dxa"/>
        </w:tblCellMar>
        <w:tblLook w:val="04A0"/>
      </w:tblPr>
      <w:tblGrid>
        <w:gridCol w:w="1987"/>
        <w:gridCol w:w="1842"/>
        <w:gridCol w:w="1840"/>
        <w:gridCol w:w="2836"/>
      </w:tblGrid>
      <w:tr w:rsidR="00C14957" w:rsidRPr="00D56C84" w:rsidTr="003264BE">
        <w:trPr>
          <w:trHeight w:val="915"/>
        </w:trPr>
        <w:tc>
          <w:tcPr>
            <w:tcW w:w="1168" w:type="pct"/>
            <w:shd w:val="clear" w:color="auto" w:fill="auto"/>
            <w:noWrap/>
            <w:vAlign w:val="bottom"/>
          </w:tcPr>
          <w:p w:rsidR="00C14957" w:rsidRPr="00D56C84" w:rsidRDefault="00C14957" w:rsidP="00C14957">
            <w:pPr>
              <w:pStyle w:val="TableHeading"/>
              <w:rPr>
                <w:lang w:eastAsia="en-AU"/>
              </w:rPr>
            </w:pPr>
          </w:p>
        </w:tc>
        <w:tc>
          <w:tcPr>
            <w:tcW w:w="1083" w:type="pct"/>
            <w:shd w:val="clear" w:color="auto" w:fill="auto"/>
            <w:noWrap/>
            <w:vAlign w:val="bottom"/>
          </w:tcPr>
          <w:p w:rsidR="00C14957" w:rsidRPr="00D56C84" w:rsidRDefault="00C14957" w:rsidP="00C14957">
            <w:pPr>
              <w:pStyle w:val="TableHeading"/>
              <w:rPr>
                <w:lang w:eastAsia="en-AU"/>
              </w:rPr>
            </w:pPr>
            <w:r w:rsidRPr="00D56C84">
              <w:rPr>
                <w:lang w:eastAsia="en-AU"/>
              </w:rPr>
              <w:t>Metro</w:t>
            </w:r>
          </w:p>
        </w:tc>
        <w:tc>
          <w:tcPr>
            <w:tcW w:w="1082" w:type="pct"/>
            <w:shd w:val="clear" w:color="auto" w:fill="auto"/>
            <w:noWrap/>
            <w:vAlign w:val="bottom"/>
          </w:tcPr>
          <w:p w:rsidR="00C14957" w:rsidRPr="00D56C84" w:rsidRDefault="00C14957" w:rsidP="00C14957">
            <w:pPr>
              <w:pStyle w:val="TableHeading"/>
              <w:rPr>
                <w:lang w:eastAsia="en-AU"/>
              </w:rPr>
            </w:pPr>
            <w:r w:rsidRPr="00D56C84">
              <w:rPr>
                <w:lang w:eastAsia="en-AU"/>
              </w:rPr>
              <w:t>Non-metro</w:t>
            </w:r>
          </w:p>
        </w:tc>
        <w:tc>
          <w:tcPr>
            <w:tcW w:w="1667" w:type="pct"/>
            <w:shd w:val="clear" w:color="auto" w:fill="auto"/>
            <w:noWrap/>
            <w:vAlign w:val="bottom"/>
          </w:tcPr>
          <w:p w:rsidR="00C14957" w:rsidRPr="00D56C84" w:rsidRDefault="00C14957" w:rsidP="00C14957">
            <w:pPr>
              <w:pStyle w:val="TableHeading"/>
              <w:rPr>
                <w:lang w:eastAsia="en-AU"/>
              </w:rPr>
            </w:pPr>
            <w:r w:rsidRPr="00D56C84">
              <w:rPr>
                <w:lang w:eastAsia="en-AU"/>
              </w:rPr>
              <w:t>Total as a proportion of local governments (%)</w:t>
            </w:r>
          </w:p>
        </w:tc>
      </w:tr>
      <w:tr w:rsidR="00C14957" w:rsidRPr="00D56C84" w:rsidTr="003264BE">
        <w:trPr>
          <w:trHeight w:val="315"/>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Garbage</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30</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49</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100</w:t>
            </w:r>
          </w:p>
        </w:tc>
      </w:tr>
      <w:tr w:rsidR="00C14957" w:rsidRPr="00D56C84" w:rsidTr="003264BE">
        <w:trPr>
          <w:trHeight w:val="315"/>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Recyclables</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30</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49</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100</w:t>
            </w:r>
          </w:p>
        </w:tc>
      </w:tr>
      <w:tr w:rsidR="00C14957" w:rsidRPr="00D56C84" w:rsidTr="003264BE">
        <w:trPr>
          <w:trHeight w:val="315"/>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Green organics</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29</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16</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57</w:t>
            </w:r>
          </w:p>
        </w:tc>
      </w:tr>
      <w:tr w:rsidR="00C14957" w:rsidRPr="00D56C84" w:rsidTr="003264BE">
        <w:trPr>
          <w:trHeight w:val="316"/>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Litter service</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30</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45</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95</w:t>
            </w:r>
          </w:p>
        </w:tc>
      </w:tr>
      <w:tr w:rsidR="00C14957" w:rsidRPr="00D56C84" w:rsidTr="003264BE">
        <w:trPr>
          <w:trHeight w:val="315"/>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Hard waste</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29</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13</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53</w:t>
            </w:r>
          </w:p>
        </w:tc>
      </w:tr>
      <w:tr w:rsidR="00C14957" w:rsidRPr="00D56C84" w:rsidTr="003264BE">
        <w:trPr>
          <w:trHeight w:val="315"/>
        </w:trPr>
        <w:tc>
          <w:tcPr>
            <w:tcW w:w="1168" w:type="pct"/>
            <w:shd w:val="clear" w:color="auto" w:fill="auto"/>
            <w:vAlign w:val="bottom"/>
          </w:tcPr>
          <w:p w:rsidR="00C14957" w:rsidRPr="00D56C84" w:rsidRDefault="00C14957" w:rsidP="00C14957">
            <w:pPr>
              <w:pStyle w:val="TableText"/>
              <w:rPr>
                <w:lang w:eastAsia="en-AU"/>
              </w:rPr>
            </w:pPr>
            <w:r w:rsidRPr="00D56C84">
              <w:rPr>
                <w:lang w:eastAsia="en-AU"/>
              </w:rPr>
              <w:t>Street sweeping</w:t>
            </w:r>
          </w:p>
        </w:tc>
        <w:tc>
          <w:tcPr>
            <w:tcW w:w="1083" w:type="pct"/>
            <w:shd w:val="clear" w:color="auto" w:fill="auto"/>
            <w:noWrap/>
            <w:vAlign w:val="bottom"/>
          </w:tcPr>
          <w:p w:rsidR="00C14957" w:rsidRPr="00D56C84" w:rsidRDefault="00C14957" w:rsidP="00C14957">
            <w:pPr>
              <w:pStyle w:val="TableText"/>
              <w:rPr>
                <w:lang w:eastAsia="en-AU"/>
              </w:rPr>
            </w:pPr>
            <w:r w:rsidRPr="00D56C84">
              <w:rPr>
                <w:lang w:eastAsia="en-AU"/>
              </w:rPr>
              <w:t>28</w:t>
            </w:r>
          </w:p>
        </w:tc>
        <w:tc>
          <w:tcPr>
            <w:tcW w:w="1082" w:type="pct"/>
            <w:shd w:val="clear" w:color="auto" w:fill="auto"/>
            <w:noWrap/>
            <w:vAlign w:val="bottom"/>
          </w:tcPr>
          <w:p w:rsidR="00C14957" w:rsidRPr="00D56C84" w:rsidRDefault="00C14957" w:rsidP="00C14957">
            <w:pPr>
              <w:pStyle w:val="TableText"/>
              <w:rPr>
                <w:lang w:eastAsia="en-AU"/>
              </w:rPr>
            </w:pPr>
            <w:r w:rsidRPr="00D56C84">
              <w:rPr>
                <w:lang w:eastAsia="en-AU"/>
              </w:rPr>
              <w:t>48</w:t>
            </w:r>
          </w:p>
        </w:tc>
        <w:tc>
          <w:tcPr>
            <w:tcW w:w="1667" w:type="pct"/>
            <w:shd w:val="clear" w:color="auto" w:fill="auto"/>
            <w:noWrap/>
            <w:vAlign w:val="bottom"/>
          </w:tcPr>
          <w:p w:rsidR="00C14957" w:rsidRPr="00D56C84" w:rsidRDefault="00C14957" w:rsidP="00C14957">
            <w:pPr>
              <w:pStyle w:val="TableText"/>
              <w:rPr>
                <w:lang w:eastAsia="en-AU"/>
              </w:rPr>
            </w:pPr>
            <w:r w:rsidRPr="00D56C84">
              <w:rPr>
                <w:lang w:eastAsia="en-AU"/>
              </w:rPr>
              <w:t>96</w:t>
            </w:r>
          </w:p>
        </w:tc>
      </w:tr>
    </w:tbl>
    <w:p w:rsidR="00C14957" w:rsidRPr="00D56C84" w:rsidRDefault="00C14957" w:rsidP="00C14957">
      <w:pPr>
        <w:pStyle w:val="ParaIndent"/>
      </w:pPr>
    </w:p>
    <w:p w:rsidR="00C14957" w:rsidRPr="00D56C84" w:rsidRDefault="00C14957" w:rsidP="00D52723">
      <w:pPr>
        <w:pStyle w:val="ParaIndent"/>
        <w:jc w:val="both"/>
      </w:pPr>
      <w:r w:rsidRPr="00D56C84">
        <w:rPr>
          <w:rFonts w:eastAsia="SimSun" w:cs="Arial"/>
          <w:color w:val="000000"/>
          <w:lang w:eastAsia="zh-CN"/>
        </w:rPr>
        <w:t xml:space="preserve">All 79 Victorian local governments provide a kerbside garbage and recyclables service to </w:t>
      </w:r>
      <w:r w:rsidRPr="00D56C84">
        <w:t>residents, with 57% offering a 3-bin collection of recycling, green waste and residual waste.</w:t>
      </w:r>
    </w:p>
    <w:p w:rsidR="00C14957" w:rsidRPr="00D56C84" w:rsidRDefault="00C14957" w:rsidP="00D52723">
      <w:pPr>
        <w:pStyle w:val="ParaIndent"/>
        <w:jc w:val="both"/>
      </w:pPr>
      <w:r w:rsidRPr="00D56C84">
        <w:t xml:space="preserve">Landfill diversion rates achieved by all councils are presented in the report, </w:t>
      </w:r>
      <w:r w:rsidR="004A3CB6" w:rsidRPr="00D56C84">
        <w:t xml:space="preserve">and </w:t>
      </w:r>
      <w:r w:rsidRPr="00D56C84">
        <w:t>rang</w:t>
      </w:r>
      <w:r w:rsidR="004A3CB6" w:rsidRPr="00D56C84">
        <w:t>e</w:t>
      </w:r>
      <w:r w:rsidRPr="00D56C84">
        <w:t xml:space="preserve"> from </w:t>
      </w:r>
      <w:r w:rsidR="004A3CB6" w:rsidRPr="00D56C84">
        <w:t xml:space="preserve">a high of </w:t>
      </w:r>
      <w:r w:rsidRPr="00D56C84">
        <w:t xml:space="preserve">57% (Monash City Council) down to 15% (Golden Plains Shire Council). </w:t>
      </w:r>
      <w:r w:rsidR="00B85FC3" w:rsidRPr="00D56C84">
        <w:t xml:space="preserve">Sustainability Victoria reported the </w:t>
      </w:r>
      <w:r w:rsidRPr="00D56C84">
        <w:t>average diversion rate across the state to be 43%.</w:t>
      </w:r>
    </w:p>
    <w:p w:rsidR="00C14957" w:rsidRPr="00D56C84" w:rsidRDefault="00ED6CA0" w:rsidP="00D52723">
      <w:pPr>
        <w:pStyle w:val="ParaIndent"/>
        <w:jc w:val="both"/>
      </w:pPr>
      <w:fldSimple w:instr=" REF _Ref299364057 \h  \* MERGEFORMAT ">
        <w:r w:rsidR="00166111" w:rsidRPr="00D56C84">
          <w:t xml:space="preserve">Table </w:t>
        </w:r>
        <w:r w:rsidR="00166111">
          <w:rPr>
            <w:noProof/>
          </w:rPr>
          <w:t>7</w:t>
        </w:r>
        <w:r w:rsidR="00166111" w:rsidRPr="00D56C84">
          <w:rPr>
            <w:noProof/>
          </w:rPr>
          <w:t>-</w:t>
        </w:r>
        <w:r w:rsidR="00166111">
          <w:rPr>
            <w:noProof/>
          </w:rPr>
          <w:t>18</w:t>
        </w:r>
      </w:fldSimple>
      <w:r w:rsidR="00C14957" w:rsidRPr="00D56C84">
        <w:t xml:space="preserve"> summarises the average costs of waste, recycling and green organics collection </w:t>
      </w:r>
      <w:r w:rsidR="004A3CB6" w:rsidRPr="00D56C84">
        <w:t>for councils in</w:t>
      </w:r>
      <w:r w:rsidR="00C14957" w:rsidRPr="00D56C84">
        <w:t xml:space="preserve"> Victoria, as well as the average weights collected per household. Household yields of each council are presented in the report, however only aggregated data on waste management costs are presented. </w:t>
      </w:r>
    </w:p>
    <w:p w:rsidR="00C14957" w:rsidRPr="00D56C84" w:rsidRDefault="00C14957" w:rsidP="00C14957">
      <w:pPr>
        <w:pStyle w:val="Caption"/>
      </w:pPr>
      <w:bookmarkStart w:id="68" w:name="_Ref299364057"/>
      <w:r w:rsidRPr="00D56C84">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18</w:t>
      </w:r>
      <w:r w:rsidR="00ED6CA0">
        <w:rPr>
          <w:noProof/>
        </w:rPr>
        <w:fldChar w:fldCharType="end"/>
      </w:r>
      <w:bookmarkEnd w:id="68"/>
      <w:r w:rsidRPr="00D56C84">
        <w:tab/>
        <w:t xml:space="preserve">Average Victorian waste collection costs and yields per household as reported in </w:t>
      </w:r>
      <w:r w:rsidRPr="00D56C84">
        <w:rPr>
          <w:i/>
        </w:rPr>
        <w:t>Victorian Local Government Annual Survey 2008</w:t>
      </w:r>
      <w:r w:rsidR="005B171E">
        <w:rPr>
          <w:rFonts w:cs="Arial"/>
          <w:i/>
        </w:rPr>
        <w:t>–</w:t>
      </w:r>
      <w:r w:rsidRPr="00D56C84">
        <w:rPr>
          <w:i/>
        </w:rPr>
        <w:t>2009</w:t>
      </w:r>
    </w:p>
    <w:tbl>
      <w:tblPr>
        <w:tblStyle w:val="TableGrid"/>
        <w:tblW w:w="0" w:type="auto"/>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2005"/>
        <w:gridCol w:w="1732"/>
        <w:gridCol w:w="1508"/>
        <w:gridCol w:w="1984"/>
      </w:tblGrid>
      <w:tr w:rsidR="00C14957" w:rsidRPr="00D56C84" w:rsidTr="004A3CB6">
        <w:tc>
          <w:tcPr>
            <w:tcW w:w="2005" w:type="dxa"/>
            <w:shd w:val="clear" w:color="auto" w:fill="auto"/>
          </w:tcPr>
          <w:p w:rsidR="00C14957" w:rsidRPr="00D56C84" w:rsidRDefault="00C14957" w:rsidP="00C14957">
            <w:pPr>
              <w:pStyle w:val="TableHeading"/>
            </w:pPr>
          </w:p>
        </w:tc>
        <w:tc>
          <w:tcPr>
            <w:tcW w:w="1732" w:type="dxa"/>
            <w:shd w:val="clear" w:color="auto" w:fill="auto"/>
          </w:tcPr>
          <w:p w:rsidR="00C14957" w:rsidRPr="00D56C84" w:rsidRDefault="004A3CB6" w:rsidP="004A3CB6">
            <w:pPr>
              <w:pStyle w:val="TableHeading"/>
            </w:pPr>
            <w:r w:rsidRPr="00D56C84">
              <w:t>Average c</w:t>
            </w:r>
            <w:r w:rsidR="00C14957" w:rsidRPr="00D56C84">
              <w:t xml:space="preserve">ost per tonne </w:t>
            </w:r>
            <w:r w:rsidRPr="00D56C84">
              <w:t>collected</w:t>
            </w:r>
          </w:p>
        </w:tc>
        <w:tc>
          <w:tcPr>
            <w:tcW w:w="1508" w:type="dxa"/>
            <w:shd w:val="clear" w:color="auto" w:fill="auto"/>
          </w:tcPr>
          <w:p w:rsidR="00C14957" w:rsidRPr="00D56C84" w:rsidRDefault="004A3CB6" w:rsidP="004A3CB6">
            <w:pPr>
              <w:pStyle w:val="TableHeading"/>
            </w:pPr>
            <w:r w:rsidRPr="00D56C84">
              <w:t>Average collection c</w:t>
            </w:r>
            <w:r w:rsidR="00C14957" w:rsidRPr="00D56C84">
              <w:t xml:space="preserve">ost per household </w:t>
            </w:r>
          </w:p>
        </w:tc>
        <w:tc>
          <w:tcPr>
            <w:tcW w:w="1984" w:type="dxa"/>
            <w:shd w:val="clear" w:color="auto" w:fill="auto"/>
          </w:tcPr>
          <w:p w:rsidR="00C14957" w:rsidRPr="00D56C84" w:rsidRDefault="004A3CB6" w:rsidP="004A3CB6">
            <w:pPr>
              <w:pStyle w:val="TableHeading"/>
            </w:pPr>
            <w:r w:rsidRPr="00D56C84">
              <w:t>Average h</w:t>
            </w:r>
            <w:r w:rsidR="00C14957" w:rsidRPr="00D56C84">
              <w:t>ousehold yield (kg</w:t>
            </w:r>
            <w:r w:rsidRPr="00D56C84">
              <w:t>/year</w:t>
            </w:r>
            <w:r w:rsidR="00C14957" w:rsidRPr="00D56C84">
              <w:t xml:space="preserve">) </w:t>
            </w:r>
          </w:p>
        </w:tc>
      </w:tr>
      <w:tr w:rsidR="00C14957" w:rsidRPr="00D56C84" w:rsidTr="004A3CB6">
        <w:tc>
          <w:tcPr>
            <w:tcW w:w="2005" w:type="dxa"/>
            <w:shd w:val="clear" w:color="auto" w:fill="auto"/>
          </w:tcPr>
          <w:p w:rsidR="00C14957" w:rsidRPr="00D56C84" w:rsidRDefault="00C14957" w:rsidP="00C14957">
            <w:pPr>
              <w:pStyle w:val="TableText"/>
            </w:pPr>
            <w:r w:rsidRPr="00D56C84">
              <w:t>Residual Waste</w:t>
            </w:r>
          </w:p>
        </w:tc>
        <w:tc>
          <w:tcPr>
            <w:tcW w:w="1732" w:type="dxa"/>
            <w:shd w:val="clear" w:color="auto" w:fill="auto"/>
          </w:tcPr>
          <w:p w:rsidR="00C14957" w:rsidRPr="00D56C84" w:rsidRDefault="00C14957" w:rsidP="00C14957">
            <w:pPr>
              <w:pStyle w:val="TableText"/>
            </w:pPr>
            <w:r w:rsidRPr="00D56C84">
              <w:t>$141.89</w:t>
            </w:r>
          </w:p>
        </w:tc>
        <w:tc>
          <w:tcPr>
            <w:tcW w:w="1508" w:type="dxa"/>
            <w:shd w:val="clear" w:color="auto" w:fill="auto"/>
          </w:tcPr>
          <w:p w:rsidR="00C14957" w:rsidRPr="00D56C84" w:rsidRDefault="00C14957" w:rsidP="00C14957">
            <w:pPr>
              <w:pStyle w:val="TableText"/>
            </w:pPr>
            <w:r w:rsidRPr="00D56C84">
              <w:t>$66.96</w:t>
            </w:r>
          </w:p>
        </w:tc>
        <w:tc>
          <w:tcPr>
            <w:tcW w:w="1984" w:type="dxa"/>
            <w:shd w:val="clear" w:color="auto" w:fill="auto"/>
          </w:tcPr>
          <w:p w:rsidR="00C14957" w:rsidRPr="00D56C84" w:rsidRDefault="00C14957" w:rsidP="00C14957">
            <w:pPr>
              <w:pStyle w:val="TableText"/>
            </w:pPr>
            <w:r w:rsidRPr="00D56C84">
              <w:t>472</w:t>
            </w:r>
          </w:p>
        </w:tc>
      </w:tr>
      <w:tr w:rsidR="00C14957" w:rsidRPr="00D56C84" w:rsidTr="004A3CB6">
        <w:tc>
          <w:tcPr>
            <w:tcW w:w="2005" w:type="dxa"/>
            <w:shd w:val="clear" w:color="auto" w:fill="auto"/>
          </w:tcPr>
          <w:p w:rsidR="00C14957" w:rsidRPr="00D56C84" w:rsidRDefault="00C14957" w:rsidP="00C14957">
            <w:pPr>
              <w:pStyle w:val="TableText"/>
            </w:pPr>
            <w:r w:rsidRPr="00D56C84">
              <w:t>Recyclables</w:t>
            </w:r>
          </w:p>
        </w:tc>
        <w:tc>
          <w:tcPr>
            <w:tcW w:w="1732" w:type="dxa"/>
            <w:shd w:val="clear" w:color="auto" w:fill="auto"/>
          </w:tcPr>
          <w:p w:rsidR="00C14957" w:rsidRPr="00D56C84" w:rsidRDefault="00C14957" w:rsidP="00C14957">
            <w:pPr>
              <w:pStyle w:val="TableText"/>
            </w:pPr>
            <w:r w:rsidRPr="00D56C84">
              <w:t>$120.73</w:t>
            </w:r>
          </w:p>
        </w:tc>
        <w:tc>
          <w:tcPr>
            <w:tcW w:w="1508" w:type="dxa"/>
            <w:shd w:val="clear" w:color="auto" w:fill="auto"/>
          </w:tcPr>
          <w:p w:rsidR="00C14957" w:rsidRPr="00D56C84" w:rsidRDefault="00C14957" w:rsidP="00C14957">
            <w:pPr>
              <w:pStyle w:val="TableText"/>
            </w:pPr>
            <w:r w:rsidRPr="00D56C84">
              <w:t>$34.14</w:t>
            </w:r>
          </w:p>
        </w:tc>
        <w:tc>
          <w:tcPr>
            <w:tcW w:w="1984" w:type="dxa"/>
            <w:shd w:val="clear" w:color="auto" w:fill="auto"/>
          </w:tcPr>
          <w:p w:rsidR="00C14957" w:rsidRPr="00D56C84" w:rsidRDefault="00C14957" w:rsidP="00C14957">
            <w:pPr>
              <w:pStyle w:val="TableText"/>
            </w:pPr>
            <w:r w:rsidRPr="00D56C84">
              <w:t>283</w:t>
            </w:r>
          </w:p>
        </w:tc>
      </w:tr>
      <w:tr w:rsidR="00C14957" w:rsidRPr="00D56C84" w:rsidTr="004A3CB6">
        <w:tc>
          <w:tcPr>
            <w:tcW w:w="2005" w:type="dxa"/>
            <w:shd w:val="clear" w:color="auto" w:fill="auto"/>
          </w:tcPr>
          <w:p w:rsidR="00C14957" w:rsidRPr="00D56C84" w:rsidRDefault="00C14957" w:rsidP="00C14957">
            <w:pPr>
              <w:pStyle w:val="TableText"/>
            </w:pPr>
            <w:r w:rsidRPr="00D56C84">
              <w:t>Green organics</w:t>
            </w:r>
          </w:p>
        </w:tc>
        <w:tc>
          <w:tcPr>
            <w:tcW w:w="1732" w:type="dxa"/>
            <w:shd w:val="clear" w:color="auto" w:fill="auto"/>
          </w:tcPr>
          <w:p w:rsidR="00C14957" w:rsidRPr="00D56C84" w:rsidRDefault="00C14957" w:rsidP="00C14957">
            <w:pPr>
              <w:pStyle w:val="TableText"/>
            </w:pPr>
            <w:r w:rsidRPr="00D56C84">
              <w:t>$137.32</w:t>
            </w:r>
          </w:p>
        </w:tc>
        <w:tc>
          <w:tcPr>
            <w:tcW w:w="1508" w:type="dxa"/>
            <w:shd w:val="clear" w:color="auto" w:fill="auto"/>
          </w:tcPr>
          <w:p w:rsidR="00C14957" w:rsidRPr="00D56C84" w:rsidRDefault="00C14957" w:rsidP="00C14957">
            <w:pPr>
              <w:pStyle w:val="TableText"/>
            </w:pPr>
            <w:r w:rsidRPr="00D56C84">
              <w:t>$30.63</w:t>
            </w:r>
          </w:p>
        </w:tc>
        <w:tc>
          <w:tcPr>
            <w:tcW w:w="1984" w:type="dxa"/>
            <w:shd w:val="clear" w:color="auto" w:fill="auto"/>
          </w:tcPr>
          <w:p w:rsidR="00C14957" w:rsidRPr="00D56C84" w:rsidRDefault="00C14957" w:rsidP="00C14957">
            <w:pPr>
              <w:pStyle w:val="TableText"/>
            </w:pPr>
            <w:r w:rsidRPr="00D56C84">
              <w:t>222</w:t>
            </w:r>
          </w:p>
        </w:tc>
      </w:tr>
    </w:tbl>
    <w:p w:rsidR="00C14957" w:rsidRPr="00D56C84" w:rsidRDefault="00C14957" w:rsidP="00C14957">
      <w:pPr>
        <w:pStyle w:val="ParaIndent"/>
      </w:pPr>
    </w:p>
    <w:p w:rsidR="00FB0BE4" w:rsidRDefault="005752C0" w:rsidP="00D52723">
      <w:pPr>
        <w:pStyle w:val="ParaIndent"/>
        <w:jc w:val="both"/>
      </w:pPr>
      <w:r w:rsidRPr="00D56C84">
        <w:t xml:space="preserve">Waste management expenditure, fees and charges for each council </w:t>
      </w:r>
      <w:r w:rsidR="00FB0BE4">
        <w:t>are</w:t>
      </w:r>
      <w:r w:rsidRPr="00D56C84">
        <w:t xml:space="preserve"> presented in the Victoria Grants Commission annual report. Based on the expenditure reported by Victorian councils for the 2010</w:t>
      </w:r>
      <w:r w:rsidR="005B171E">
        <w:rPr>
          <w:rFonts w:cs="Arial"/>
        </w:rPr>
        <w:t>–</w:t>
      </w:r>
      <w:r w:rsidRPr="00D56C84">
        <w:t xml:space="preserve">11 financial </w:t>
      </w:r>
      <w:proofErr w:type="gramStart"/>
      <w:r w:rsidRPr="00D56C84">
        <w:t>year</w:t>
      </w:r>
      <w:proofErr w:type="gramEnd"/>
      <w:r w:rsidRPr="00D56C84">
        <w:t xml:space="preserve">, the average waste management cost per household in </w:t>
      </w:r>
      <w:r w:rsidRPr="00D56C84">
        <w:lastRenderedPageBreak/>
        <w:t>Victoria was $309.32</w:t>
      </w:r>
      <w:r w:rsidR="00FB0BE4">
        <w:t>. The reported cost per household</w:t>
      </w:r>
      <w:r w:rsidRPr="00D56C84">
        <w:t xml:space="preserve"> rang</w:t>
      </w:r>
      <w:r w:rsidR="00FB0BE4">
        <w:t>ed</w:t>
      </w:r>
      <w:r w:rsidRPr="00D56C84">
        <w:t xml:space="preserve"> from $215.22 (Casey City Council) to $601.89 (Bass Coast Shire Council). </w:t>
      </w:r>
    </w:p>
    <w:p w:rsidR="00C14957" w:rsidRDefault="005752C0" w:rsidP="00D52723">
      <w:pPr>
        <w:pStyle w:val="ParaIndent"/>
        <w:jc w:val="both"/>
      </w:pPr>
      <w:r w:rsidRPr="00D56C84">
        <w:t xml:space="preserve">The average </w:t>
      </w:r>
      <w:r w:rsidR="00FB0BE4">
        <w:t xml:space="preserve">waste management </w:t>
      </w:r>
      <w:r w:rsidRPr="00D56C84">
        <w:t>fees and charges reported for the same year was $30.22, ranging from $25.60 (Knox City Council) up to $53.70 (</w:t>
      </w:r>
      <w:proofErr w:type="spellStart"/>
      <w:r w:rsidRPr="00D56C84">
        <w:t>Queenscliffe</w:t>
      </w:r>
      <w:proofErr w:type="spellEnd"/>
      <w:r w:rsidRPr="00D56C84">
        <w:t xml:space="preserve"> Borough Council).</w:t>
      </w:r>
    </w:p>
    <w:p w:rsidR="00E452F0" w:rsidRDefault="00E452F0" w:rsidP="00D52723">
      <w:pPr>
        <w:pStyle w:val="Heading2"/>
        <w:jc w:val="both"/>
      </w:pPr>
      <w:bookmarkStart w:id="69" w:name="_Toc307470437"/>
      <w:r>
        <w:t>Summary</w:t>
      </w:r>
      <w:r w:rsidR="00085D2C">
        <w:t xml:space="preserve"> - Victoria</w:t>
      </w:r>
      <w:bookmarkEnd w:id="69"/>
    </w:p>
    <w:p w:rsidR="00476718" w:rsidRDefault="00476718" w:rsidP="00D52723">
      <w:pPr>
        <w:pStyle w:val="ParaIndent"/>
        <w:jc w:val="both"/>
      </w:pPr>
      <w:r>
        <w:t xml:space="preserve">Based on research for this </w:t>
      </w:r>
      <w:r w:rsidRPr="00384F4F">
        <w:t>report,</w:t>
      </w:r>
      <w:r w:rsidR="003264BE" w:rsidRPr="00384F4F">
        <w:t xml:space="preserve"> considering the availability of information only,</w:t>
      </w:r>
      <w:r w:rsidRPr="00384F4F">
        <w:t xml:space="preserve"> the</w:t>
      </w:r>
      <w:r>
        <w:t xml:space="preserve"> degree to which information about municipal waste and recycling in Victoria meets the needs of users is considered to be HIGH.</w:t>
      </w:r>
    </w:p>
    <w:p w:rsidR="00476718" w:rsidRPr="003804F4" w:rsidRDefault="00476718" w:rsidP="00D52723">
      <w:pPr>
        <w:pStyle w:val="ParaIndent"/>
        <w:jc w:val="both"/>
      </w:pPr>
      <w:r>
        <w:t xml:space="preserve">Key performance and service level information is made available at the LGA level, and there is a good coverage of responses across the state’s LGAs. </w:t>
      </w:r>
    </w:p>
    <w:p w:rsidR="003264BE" w:rsidRDefault="00ED6CA0" w:rsidP="003264BE">
      <w:pPr>
        <w:pStyle w:val="ParaIndent"/>
        <w:jc w:val="both"/>
      </w:pPr>
      <w:fldSimple w:instr=" REF _Ref301858427 \h  \* MERGEFORMAT ">
        <w:r w:rsidR="00166111">
          <w:t xml:space="preserve">Table </w:t>
        </w:r>
        <w:r w:rsidR="00166111">
          <w:rPr>
            <w:noProof/>
          </w:rPr>
          <w:t>7</w:t>
        </w:r>
        <w:r w:rsidR="00166111" w:rsidRPr="00D56C84">
          <w:rPr>
            <w:noProof/>
          </w:rPr>
          <w:t>-</w:t>
        </w:r>
        <w:r w:rsidR="00166111">
          <w:rPr>
            <w:noProof/>
          </w:rPr>
          <w:t>19</w:t>
        </w:r>
      </w:fldSimple>
      <w:r w:rsidR="00A35187">
        <w:t xml:space="preserve"> provides a comparison of the waste and recycling data collected by government bodies in Victoria against the </w:t>
      </w:r>
      <w:r w:rsidR="00085D2C">
        <w:t xml:space="preserve">LGA-specific </w:t>
      </w:r>
      <w:r w:rsidR="00A35187">
        <w:t xml:space="preserve">data which is </w:t>
      </w:r>
      <w:r w:rsidR="00A35187" w:rsidRPr="00384F4F">
        <w:t>made available to the public.</w:t>
      </w:r>
      <w:r w:rsidR="003264BE" w:rsidRPr="00384F4F">
        <w:t xml:space="preserve"> Note that the quality of available information has not been assessed.</w:t>
      </w:r>
    </w:p>
    <w:p w:rsidR="00386248" w:rsidRDefault="00386248" w:rsidP="00D52723">
      <w:pPr>
        <w:pStyle w:val="ParaIndent"/>
        <w:jc w:val="both"/>
      </w:pPr>
    </w:p>
    <w:p w:rsidR="00386248" w:rsidRDefault="00386248">
      <w:pPr>
        <w:spacing w:after="0" w:line="240" w:lineRule="auto"/>
        <w:ind w:left="0"/>
      </w:pPr>
      <w:r>
        <w:br w:type="page"/>
      </w:r>
    </w:p>
    <w:p w:rsidR="00A35187" w:rsidRDefault="00A35187" w:rsidP="00A35187">
      <w:pPr>
        <w:pStyle w:val="TableHeading"/>
      </w:pPr>
      <w:bookmarkStart w:id="70" w:name="_Ref301858427"/>
      <w:r>
        <w:lastRenderedPageBreak/>
        <w:t xml:space="preserve">Table </w:t>
      </w:r>
      <w:r w:rsidR="00ED6CA0">
        <w:fldChar w:fldCharType="begin"/>
      </w:r>
      <w:r w:rsidR="006D5406">
        <w:instrText xml:space="preserve"> STYLEREF "_Heading1" \n </w:instrText>
      </w:r>
      <w:r w:rsidR="00ED6CA0">
        <w:fldChar w:fldCharType="separate"/>
      </w:r>
      <w:r w:rsidR="00166111">
        <w:rPr>
          <w:noProof/>
        </w:rPr>
        <w:t>7</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19</w:t>
      </w:r>
      <w:r w:rsidR="00ED6CA0">
        <w:rPr>
          <w:noProof/>
        </w:rPr>
        <w:fldChar w:fldCharType="end"/>
      </w:r>
      <w:bookmarkEnd w:id="70"/>
      <w:r>
        <w:rPr>
          <w:noProof/>
        </w:rPr>
        <w:tab/>
        <w:t xml:space="preserve">Summary of waste and recycling data collected in Victoria </w:t>
      </w:r>
      <w:r w:rsidR="006E78EF">
        <w:rPr>
          <w:noProof/>
        </w:rPr>
        <w:t>and</w:t>
      </w:r>
      <w:r>
        <w:rPr>
          <w:noProof/>
        </w:rPr>
        <w:t xml:space="preserve">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A35187" w:rsidRPr="00DC4F78" w:rsidTr="00A35187">
        <w:trPr>
          <w:trHeight w:val="270"/>
          <w:tblHeader/>
        </w:trPr>
        <w:tc>
          <w:tcPr>
            <w:tcW w:w="2693" w:type="pct"/>
            <w:shd w:val="clear" w:color="auto" w:fill="auto"/>
            <w:noWrap/>
            <w:vAlign w:val="bottom"/>
            <w:hideMark/>
          </w:tcPr>
          <w:p w:rsidR="00A35187" w:rsidRPr="00A42A0E" w:rsidRDefault="00A35187" w:rsidP="00A35187">
            <w:pPr>
              <w:pStyle w:val="TableText"/>
              <w:rPr>
                <w:lang w:val="en-US"/>
              </w:rPr>
            </w:pPr>
            <w:r w:rsidRPr="00A42A0E">
              <w:rPr>
                <w:lang w:val="en-US"/>
              </w:rPr>
              <w:t> </w:t>
            </w:r>
          </w:p>
        </w:tc>
        <w:tc>
          <w:tcPr>
            <w:tcW w:w="980" w:type="pct"/>
          </w:tcPr>
          <w:p w:rsidR="00A35187" w:rsidRPr="00DC4F78" w:rsidRDefault="00A35187" w:rsidP="00A35187">
            <w:pPr>
              <w:pStyle w:val="TableHeading"/>
              <w:jc w:val="center"/>
              <w:rPr>
                <w:lang w:val="en-US"/>
              </w:rPr>
            </w:pPr>
            <w:r w:rsidRPr="00A42A0E">
              <w:rPr>
                <w:lang w:val="en-US"/>
              </w:rPr>
              <w:t>Data collected</w:t>
            </w:r>
          </w:p>
        </w:tc>
        <w:tc>
          <w:tcPr>
            <w:tcW w:w="1327" w:type="pct"/>
            <w:shd w:val="clear" w:color="auto" w:fill="auto"/>
            <w:noWrap/>
            <w:vAlign w:val="bottom"/>
            <w:hideMark/>
          </w:tcPr>
          <w:p w:rsidR="00A35187" w:rsidRPr="00DC4F78" w:rsidRDefault="00A35187" w:rsidP="00A35187">
            <w:pPr>
              <w:pStyle w:val="TableHeading"/>
              <w:jc w:val="center"/>
              <w:rPr>
                <w:lang w:val="en-US"/>
              </w:rPr>
            </w:pPr>
            <w:r w:rsidRPr="00A42A0E">
              <w:rPr>
                <w:lang w:val="en-US"/>
              </w:rPr>
              <w:t>Data available</w:t>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0" name="Picture 48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1" name="Picture 48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Collection frequencies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2" name="Picture 48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3" name="Picture 48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Bin sizes/ types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4" name="Picture 48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5" name="Picture 48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6" name="Picture 48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7" name="Picture 48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8" name="Picture 48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89" name="Picture 48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0" name="Picture 49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14" name="Picture 51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2" name="Picture 49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3" name="Picture 49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infrastructure</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4" name="Picture 49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495" name="Picture 49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costs/ expenditure</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6" name="Picture 49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15" name="Picture 51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Contractor information</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498" name="Picture 49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499" name="Picture 49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charges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00" name="Picture 50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01" name="Picture 50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Hard waste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02" name="Picture 50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03" name="Picture 50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Litter/ illegal dumping</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16" name="Picture 51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05" name="Picture 50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320"/>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Public Place Collections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06" name="Picture 50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07" name="Picture 50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Commercial &amp; Industrial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08" name="Picture 50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09" name="Picture 50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10" name="Picture 51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11" name="Picture 51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noWrap/>
            <w:vAlign w:val="center"/>
            <w:hideMark/>
          </w:tcPr>
          <w:p w:rsidR="00A35187" w:rsidRPr="00A42A0E" w:rsidRDefault="00A35187" w:rsidP="00A35187">
            <w:pPr>
              <w:pStyle w:val="TableText"/>
              <w:rPr>
                <w:b/>
                <w:bCs/>
                <w:lang w:val="en-US"/>
              </w:rPr>
            </w:pPr>
            <w:r w:rsidRPr="00A42A0E">
              <w:rPr>
                <w:b/>
                <w:bCs/>
                <w:lang w:val="en-US"/>
              </w:rPr>
              <w:t>Waste Audit Data</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12" name="Picture 51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13" name="Picture 51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0C56AF" w:rsidRDefault="00A35187">
      <w:pPr>
        <w:pStyle w:val="ParaIndent"/>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001A75C3">
        <w:rPr>
          <w:noProof/>
          <w:lang w:eastAsia="en-AU"/>
        </w:rPr>
        <w:drawing>
          <wp:inline distT="0" distB="0" distL="0" distR="0">
            <wp:extent cx="209550" cy="209550"/>
            <wp:effectExtent l="0" t="0" r="0" b="0"/>
            <wp:docPr id="12" name="Picture 1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001A75C3">
        <w:rPr>
          <w:noProof/>
          <w:lang w:eastAsia="en-AU"/>
        </w:rPr>
        <w:drawing>
          <wp:inline distT="0" distB="0" distL="0" distR="0">
            <wp:extent cx="200025" cy="200025"/>
            <wp:effectExtent l="0" t="0" r="0" b="0"/>
            <wp:docPr id="13" name="Picture 13"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001A75C3">
        <w:rPr>
          <w:noProof/>
          <w:lang w:eastAsia="en-AU"/>
        </w:rPr>
        <w:drawing>
          <wp:inline distT="0" distB="0" distL="0" distR="0">
            <wp:extent cx="200025" cy="200025"/>
            <wp:effectExtent l="0" t="0" r="0" b="0"/>
            <wp:docPr id="14" name="Picture 1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 </w:t>
      </w:r>
      <w:r w:rsidRPr="00A35187">
        <w:rPr>
          <w:sz w:val="14"/>
          <w:szCs w:val="14"/>
        </w:rPr>
        <w:br/>
      </w:r>
      <w:r w:rsidR="00206AAC" w:rsidRPr="00D56C84">
        <w:br w:type="page"/>
      </w:r>
    </w:p>
    <w:p w:rsidR="001D5A8C" w:rsidRPr="00D56C84" w:rsidRDefault="00CF5BE5" w:rsidP="00AE087B">
      <w:pPr>
        <w:pStyle w:val="Heading1"/>
      </w:pPr>
      <w:bookmarkStart w:id="71" w:name="_Toc307470438"/>
      <w:r w:rsidRPr="00D56C84">
        <w:lastRenderedPageBreak/>
        <w:t>Queensland</w:t>
      </w:r>
      <w:bookmarkEnd w:id="71"/>
    </w:p>
    <w:p w:rsidR="002A19A8" w:rsidRPr="00D56C84" w:rsidRDefault="002A19A8" w:rsidP="00D52723">
      <w:pPr>
        <w:pStyle w:val="ParaIndent"/>
        <w:jc w:val="both"/>
      </w:pPr>
      <w:r w:rsidRPr="00D56C84">
        <w:t>There are 7</w:t>
      </w:r>
      <w:r w:rsidR="00607C4B" w:rsidRPr="00D56C84">
        <w:t>4</w:t>
      </w:r>
      <w:r w:rsidRPr="00D56C84">
        <w:t xml:space="preserve"> Local Government Areas in the state of </w:t>
      </w:r>
      <w:r w:rsidR="00607C4B" w:rsidRPr="00D56C84">
        <w:t>Queensland</w:t>
      </w:r>
      <w:r w:rsidRPr="00D56C84">
        <w:t xml:space="preserve">, with </w:t>
      </w:r>
      <w:r w:rsidR="00607C4B" w:rsidRPr="00D56C84">
        <w:t xml:space="preserve">only </w:t>
      </w:r>
      <w:r w:rsidR="009F073C">
        <w:t>two</w:t>
      </w:r>
      <w:r w:rsidRPr="00D56C84">
        <w:t xml:space="preserve"> of these (covering </w:t>
      </w:r>
      <w:r w:rsidR="00607C4B" w:rsidRPr="00D56C84">
        <w:t>22</w:t>
      </w:r>
      <w:r w:rsidRPr="00D56C84">
        <w:t xml:space="preserve">% of the state’s population) considered as metropolitan, </w:t>
      </w:r>
      <w:r w:rsidR="009F073C">
        <w:t>nine</w:t>
      </w:r>
      <w:r w:rsidRPr="00D56C84">
        <w:t xml:space="preserve"> (2</w:t>
      </w:r>
      <w:r w:rsidR="00607C4B" w:rsidRPr="00D56C84">
        <w:t>6</w:t>
      </w:r>
      <w:r w:rsidRPr="00D56C84">
        <w:t xml:space="preserve">% of the population) considered regional, and </w:t>
      </w:r>
      <w:r w:rsidR="00607C4B" w:rsidRPr="00D56C84">
        <w:t>63</w:t>
      </w:r>
      <w:r w:rsidRPr="00D56C84">
        <w:t xml:space="preserve"> (</w:t>
      </w:r>
      <w:r w:rsidR="00607C4B" w:rsidRPr="00D56C84">
        <w:t>47</w:t>
      </w:r>
      <w:r w:rsidRPr="00D56C84">
        <w:t xml:space="preserve">% of the population)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xml:space="preserve">, the availability of LGA-specific waste and recycling information is generally </w:t>
      </w:r>
      <w:r w:rsidR="00607C4B" w:rsidRPr="00D56C84">
        <w:t>rated as</w:t>
      </w:r>
      <w:r w:rsidRPr="00D56C84">
        <w:t xml:space="preserve"> ‘</w:t>
      </w:r>
      <w:r w:rsidR="00607C4B" w:rsidRPr="00D56C84">
        <w:t xml:space="preserve">medium’ </w:t>
      </w:r>
      <w:r w:rsidRPr="00D56C84">
        <w:t>within this jurisdiction.</w:t>
      </w:r>
    </w:p>
    <w:p w:rsidR="002A19A8" w:rsidRPr="00D56C84" w:rsidRDefault="002A19A8" w:rsidP="00D52723">
      <w:pPr>
        <w:pStyle w:val="ParaIndent"/>
        <w:jc w:val="both"/>
      </w:pPr>
      <w:r w:rsidRPr="00D56C84">
        <w:t>This chapter provides an overview of the role of local government in this state in relation to waste management and recycling, as well as explaining the information reporting pathways for relevant information</w:t>
      </w:r>
      <w:r w:rsidR="00607C4B" w:rsidRPr="00D56C84">
        <w:t xml:space="preserve">. There is a limited </w:t>
      </w:r>
      <w:r w:rsidRPr="00D56C84">
        <w:t>overview of council performance in terms of service provision, land</w:t>
      </w:r>
      <w:r w:rsidR="00607C4B" w:rsidRPr="00D56C84">
        <w:t xml:space="preserve">fill diversion rates, and </w:t>
      </w:r>
      <w:proofErr w:type="gramStart"/>
      <w:r w:rsidR="00607C4B" w:rsidRPr="00D56C84">
        <w:t>costs,</w:t>
      </w:r>
      <w:proofErr w:type="gramEnd"/>
      <w:r w:rsidR="00607C4B" w:rsidRPr="00D56C84">
        <w:t xml:space="preserve"> given data availability is not high. </w:t>
      </w:r>
    </w:p>
    <w:p w:rsidR="00AE087B" w:rsidRPr="00D56C84" w:rsidRDefault="00AE087B" w:rsidP="00AE087B">
      <w:pPr>
        <w:pStyle w:val="Heading2"/>
      </w:pPr>
      <w:bookmarkStart w:id="72" w:name="_Toc307470439"/>
      <w:r w:rsidRPr="00D56C84">
        <w:t xml:space="preserve">The role of local government </w:t>
      </w:r>
      <w:r w:rsidR="00085D2C">
        <w:t>in Queensland</w:t>
      </w:r>
      <w:bookmarkEnd w:id="72"/>
    </w:p>
    <w:p w:rsidR="00C72AC3" w:rsidRPr="00D56C84" w:rsidRDefault="00C72AC3" w:rsidP="00D52723">
      <w:pPr>
        <w:pStyle w:val="ParaIndent"/>
        <w:spacing w:after="60"/>
        <w:jc w:val="both"/>
      </w:pPr>
      <w:r w:rsidRPr="00D56C84">
        <w:t xml:space="preserve">The Queensland </w:t>
      </w:r>
      <w:r w:rsidRPr="00BB558B">
        <w:rPr>
          <w:i/>
        </w:rPr>
        <w:t>Local Government Act (2009)</w:t>
      </w:r>
      <w:r w:rsidRPr="00D56C84">
        <w:t xml:space="preserve"> does not provide any codification of local government’s waste management responsibilities. </w:t>
      </w:r>
      <w:r w:rsidR="008F25DE" w:rsidRPr="00D56C84">
        <w:t>Instead, the Act is ‘broadly enabling’, with the most relevant clause being:</w:t>
      </w:r>
    </w:p>
    <w:p w:rsidR="008F25DE" w:rsidRPr="00D56C84" w:rsidRDefault="008F25DE" w:rsidP="00D52723">
      <w:pPr>
        <w:pStyle w:val="ParaIndent"/>
        <w:keepNext/>
        <w:spacing w:after="60"/>
        <w:ind w:left="1701"/>
        <w:jc w:val="both"/>
        <w:rPr>
          <w:b/>
          <w:sz w:val="18"/>
          <w:szCs w:val="18"/>
        </w:rPr>
      </w:pPr>
      <w:r w:rsidRPr="00D56C84">
        <w:rPr>
          <w:b/>
          <w:sz w:val="18"/>
          <w:szCs w:val="18"/>
        </w:rPr>
        <w:t>Powers of local governments generally</w:t>
      </w:r>
    </w:p>
    <w:p w:rsidR="008F25DE" w:rsidRPr="00D56C84" w:rsidRDefault="008F25DE" w:rsidP="00D52723">
      <w:pPr>
        <w:pStyle w:val="ParaIndent"/>
        <w:keepNext/>
        <w:spacing w:after="60"/>
        <w:ind w:left="1701"/>
        <w:jc w:val="both"/>
        <w:rPr>
          <w:sz w:val="18"/>
          <w:szCs w:val="18"/>
        </w:rPr>
      </w:pPr>
      <w:r w:rsidRPr="00D56C84">
        <w:rPr>
          <w:sz w:val="18"/>
          <w:szCs w:val="18"/>
        </w:rPr>
        <w:t>(1) A local government has the power to do anything that is necessary or convenient for the good rule and local government of its local government area.</w:t>
      </w:r>
    </w:p>
    <w:p w:rsidR="008F25DE" w:rsidRPr="00D56C84" w:rsidRDefault="008F25DE" w:rsidP="00D52723">
      <w:pPr>
        <w:pStyle w:val="ParaIndent"/>
        <w:keepNext/>
        <w:ind w:left="1701"/>
        <w:jc w:val="both"/>
        <w:rPr>
          <w:sz w:val="18"/>
          <w:szCs w:val="18"/>
        </w:rPr>
      </w:pPr>
      <w:r w:rsidRPr="00D56C84">
        <w:rPr>
          <w:sz w:val="18"/>
          <w:szCs w:val="18"/>
        </w:rPr>
        <w:t>(2) However, a local government can only do something that the State can validly do.</w:t>
      </w:r>
    </w:p>
    <w:p w:rsidR="00E4220D" w:rsidRPr="00D56C84" w:rsidRDefault="008F25DE" w:rsidP="00D52723">
      <w:pPr>
        <w:pStyle w:val="ParaIndent"/>
        <w:spacing w:after="60"/>
        <w:jc w:val="both"/>
      </w:pPr>
      <w:r w:rsidRPr="00D56C84">
        <w:t>However, the later clauses in the Act regarding finances and accountability imply that local government has responsibility for waste management.</w:t>
      </w:r>
    </w:p>
    <w:p w:rsidR="00C72AC3" w:rsidRPr="00D56C84" w:rsidRDefault="00C72AC3" w:rsidP="00D52723">
      <w:pPr>
        <w:pStyle w:val="ParaIndent"/>
        <w:keepNext/>
        <w:spacing w:after="60"/>
        <w:ind w:left="1701"/>
        <w:jc w:val="both"/>
        <w:rPr>
          <w:b/>
          <w:sz w:val="18"/>
          <w:szCs w:val="18"/>
        </w:rPr>
      </w:pPr>
      <w:r w:rsidRPr="00D56C84">
        <w:rPr>
          <w:b/>
          <w:sz w:val="18"/>
          <w:szCs w:val="18"/>
        </w:rPr>
        <w:t>92 Types of rates and charges</w:t>
      </w:r>
    </w:p>
    <w:p w:rsidR="00C72AC3" w:rsidRPr="00D56C84" w:rsidRDefault="00C72AC3" w:rsidP="00D52723">
      <w:pPr>
        <w:pStyle w:val="ParaIndent"/>
        <w:keepNext/>
        <w:spacing w:after="60"/>
        <w:ind w:left="1701"/>
        <w:jc w:val="both"/>
        <w:rPr>
          <w:sz w:val="18"/>
          <w:szCs w:val="18"/>
        </w:rPr>
      </w:pPr>
      <w:r w:rsidRPr="00D56C84">
        <w:rPr>
          <w:sz w:val="18"/>
          <w:szCs w:val="18"/>
        </w:rPr>
        <w:t>(4) Utility charges are for a service, facility or activity for any of</w:t>
      </w:r>
      <w:r w:rsidR="008F25DE" w:rsidRPr="00D56C84">
        <w:rPr>
          <w:sz w:val="18"/>
          <w:szCs w:val="18"/>
        </w:rPr>
        <w:t xml:space="preserve"> </w:t>
      </w:r>
      <w:r w:rsidRPr="00D56C84">
        <w:rPr>
          <w:sz w:val="18"/>
          <w:szCs w:val="18"/>
        </w:rPr>
        <w:t>the following utilities—</w:t>
      </w:r>
    </w:p>
    <w:p w:rsidR="00C72AC3" w:rsidRPr="00D56C84" w:rsidRDefault="008F25DE" w:rsidP="00D52723">
      <w:pPr>
        <w:pStyle w:val="ParaIndent"/>
        <w:keepNext/>
        <w:ind w:left="1985"/>
        <w:jc w:val="both"/>
        <w:rPr>
          <w:sz w:val="18"/>
          <w:szCs w:val="18"/>
        </w:rPr>
      </w:pPr>
      <w:r w:rsidRPr="00D56C84">
        <w:rPr>
          <w:sz w:val="18"/>
          <w:szCs w:val="18"/>
        </w:rPr>
        <w:t xml:space="preserve">(a) </w:t>
      </w:r>
      <w:proofErr w:type="gramStart"/>
      <w:r w:rsidRPr="00D56C84">
        <w:rPr>
          <w:sz w:val="18"/>
          <w:szCs w:val="18"/>
        </w:rPr>
        <w:t>waste</w:t>
      </w:r>
      <w:proofErr w:type="gramEnd"/>
      <w:r w:rsidRPr="00D56C84">
        <w:rPr>
          <w:sz w:val="18"/>
          <w:szCs w:val="18"/>
        </w:rPr>
        <w:t xml:space="preserve"> management</w:t>
      </w:r>
    </w:p>
    <w:p w:rsidR="00DA30BD" w:rsidRPr="00D56C84" w:rsidRDefault="00DA30BD" w:rsidP="00D52723">
      <w:pPr>
        <w:pStyle w:val="ParaIndent"/>
        <w:spacing w:after="60"/>
        <w:jc w:val="both"/>
      </w:pPr>
      <w:r w:rsidRPr="00D56C84">
        <w:t xml:space="preserve">Nonetheless, the </w:t>
      </w:r>
      <w:r w:rsidRPr="00BB558B">
        <w:rPr>
          <w:i/>
        </w:rPr>
        <w:t>Environmental Protection (Waste Management) Regulation (2000)</w:t>
      </w:r>
      <w:r w:rsidRPr="00D56C84">
        <w:t xml:space="preserve"> stipulates the frequency and standard of waste collection services that local government must provide.</w:t>
      </w:r>
    </w:p>
    <w:p w:rsidR="00DA30BD" w:rsidRPr="00D56C84" w:rsidRDefault="00DA30BD" w:rsidP="00D52723">
      <w:pPr>
        <w:pStyle w:val="ParaIndent"/>
        <w:keepNext/>
        <w:spacing w:after="60"/>
        <w:ind w:left="1701"/>
        <w:jc w:val="both"/>
        <w:rPr>
          <w:b/>
          <w:sz w:val="18"/>
          <w:szCs w:val="18"/>
        </w:rPr>
      </w:pPr>
      <w:r w:rsidRPr="00D56C84">
        <w:rPr>
          <w:b/>
          <w:sz w:val="18"/>
          <w:szCs w:val="18"/>
        </w:rPr>
        <w:t>10G Requirements for removal of general waste</w:t>
      </w:r>
    </w:p>
    <w:p w:rsidR="00DA30BD" w:rsidRPr="00D56C84" w:rsidRDefault="00DA30BD" w:rsidP="00D52723">
      <w:pPr>
        <w:pStyle w:val="ParaIndent"/>
        <w:keepNext/>
        <w:spacing w:after="60"/>
        <w:ind w:left="1701"/>
        <w:jc w:val="both"/>
        <w:rPr>
          <w:sz w:val="18"/>
          <w:szCs w:val="18"/>
        </w:rPr>
      </w:pPr>
      <w:r w:rsidRPr="00D56C84">
        <w:rPr>
          <w:sz w:val="18"/>
          <w:szCs w:val="18"/>
        </w:rPr>
        <w:t>(1) This section applies to a local government if—</w:t>
      </w:r>
    </w:p>
    <w:p w:rsidR="00DA30BD" w:rsidRPr="00D56C84" w:rsidRDefault="00DA30BD"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the</w:t>
      </w:r>
      <w:proofErr w:type="gramEnd"/>
      <w:r w:rsidRPr="00D56C84">
        <w:rPr>
          <w:sz w:val="18"/>
          <w:szCs w:val="18"/>
        </w:rPr>
        <w:t xml:space="preserve"> local government has arranged for the removal of general waste from premises; or</w:t>
      </w:r>
    </w:p>
    <w:p w:rsidR="00DA30BD" w:rsidRPr="00D56C84" w:rsidRDefault="00DA30BD"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an</w:t>
      </w:r>
      <w:proofErr w:type="gramEnd"/>
      <w:r w:rsidRPr="00D56C84">
        <w:rPr>
          <w:sz w:val="18"/>
          <w:szCs w:val="18"/>
        </w:rPr>
        <w:t xml:space="preserve"> approved waste removal entity has arranged for the removal of general waste from premises under an approval from the local government under section 369A of the Act.</w:t>
      </w:r>
    </w:p>
    <w:p w:rsidR="00DA30BD" w:rsidRPr="00D56C84" w:rsidRDefault="00DA30BD" w:rsidP="00D52723">
      <w:pPr>
        <w:pStyle w:val="ParaIndent"/>
        <w:keepNext/>
        <w:spacing w:after="60"/>
        <w:ind w:left="1701"/>
        <w:jc w:val="both"/>
        <w:rPr>
          <w:sz w:val="18"/>
          <w:szCs w:val="18"/>
        </w:rPr>
      </w:pPr>
      <w:r w:rsidRPr="00D56C84">
        <w:rPr>
          <w:sz w:val="18"/>
          <w:szCs w:val="18"/>
        </w:rPr>
        <w:t>(2) The local government must ensure that a service is provided for removing the waste—</w:t>
      </w:r>
    </w:p>
    <w:p w:rsidR="00DA30BD" w:rsidRPr="00D56C84" w:rsidRDefault="00DA30BD"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if</w:t>
      </w:r>
      <w:proofErr w:type="gramEnd"/>
      <w:r w:rsidRPr="00D56C84">
        <w:rPr>
          <w:sz w:val="18"/>
          <w:szCs w:val="18"/>
        </w:rPr>
        <w:t xml:space="preserve"> the waste is domestic or commercial waste—at least once in each week; or</w:t>
      </w:r>
    </w:p>
    <w:p w:rsidR="00DA30BD" w:rsidRPr="00D56C84" w:rsidRDefault="00DA30BD"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if</w:t>
      </w:r>
      <w:proofErr w:type="gramEnd"/>
      <w:r w:rsidRPr="00D56C84">
        <w:rPr>
          <w:sz w:val="18"/>
          <w:szCs w:val="18"/>
        </w:rPr>
        <w:t xml:space="preserve"> the waste is recyclable waste for the local government area—as often as is required by the local government.</w:t>
      </w:r>
    </w:p>
    <w:p w:rsidR="00DA30BD" w:rsidRPr="00D56C84" w:rsidRDefault="00DA30BD" w:rsidP="00D52723">
      <w:pPr>
        <w:pStyle w:val="ParaIndent"/>
        <w:keepNext/>
        <w:spacing w:after="60"/>
        <w:ind w:left="1701"/>
        <w:jc w:val="both"/>
        <w:rPr>
          <w:sz w:val="18"/>
          <w:szCs w:val="18"/>
        </w:rPr>
      </w:pPr>
      <w:r w:rsidRPr="00D56C84">
        <w:rPr>
          <w:sz w:val="18"/>
          <w:szCs w:val="18"/>
        </w:rPr>
        <w:t>(3) Also, the local government must ensure that the waste is removed—</w:t>
      </w:r>
    </w:p>
    <w:p w:rsidR="00DA30BD" w:rsidRPr="00D56C84" w:rsidRDefault="00DA30BD"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in</w:t>
      </w:r>
      <w:proofErr w:type="gramEnd"/>
      <w:r w:rsidRPr="00D56C84">
        <w:rPr>
          <w:sz w:val="18"/>
          <w:szCs w:val="18"/>
        </w:rPr>
        <w:t xml:space="preserve"> a way that does not cause excessive noise; and</w:t>
      </w:r>
    </w:p>
    <w:p w:rsidR="00DA30BD" w:rsidRPr="00D56C84" w:rsidRDefault="00DA30BD"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with</w:t>
      </w:r>
      <w:proofErr w:type="gramEnd"/>
      <w:r w:rsidRPr="00D56C84">
        <w:rPr>
          <w:sz w:val="18"/>
          <w:szCs w:val="18"/>
        </w:rPr>
        <w:t xml:space="preserve"> reasonable care to prevent spilling the waste.</w:t>
      </w:r>
    </w:p>
    <w:p w:rsidR="00DA30BD" w:rsidRPr="00D56C84" w:rsidRDefault="00DA30BD" w:rsidP="00D52723">
      <w:pPr>
        <w:pStyle w:val="ParaIndent"/>
        <w:keepNext/>
        <w:ind w:left="1701"/>
        <w:jc w:val="both"/>
        <w:rPr>
          <w:sz w:val="18"/>
          <w:szCs w:val="18"/>
        </w:rPr>
      </w:pPr>
      <w:r w:rsidRPr="00D56C84">
        <w:rPr>
          <w:sz w:val="18"/>
          <w:szCs w:val="18"/>
        </w:rPr>
        <w:t>(4) In this section—removal, of waste, includes collecting, transporting and disposing of the waste.</w:t>
      </w:r>
    </w:p>
    <w:p w:rsidR="0099625B" w:rsidRPr="00D56C84" w:rsidRDefault="005F5A14" w:rsidP="00D52723">
      <w:pPr>
        <w:pStyle w:val="ParaIndent"/>
        <w:spacing w:after="60"/>
        <w:jc w:val="both"/>
      </w:pPr>
      <w:r w:rsidRPr="00D56C84">
        <w:t>Special p</w:t>
      </w:r>
      <w:r w:rsidR="008F25DE" w:rsidRPr="00D56C84">
        <w:t xml:space="preserve">rovisions </w:t>
      </w:r>
      <w:r w:rsidR="00DA30BD" w:rsidRPr="00D56C84">
        <w:t xml:space="preserve">also </w:t>
      </w:r>
      <w:r w:rsidR="008F25DE" w:rsidRPr="00D56C84">
        <w:t xml:space="preserve">exist in the </w:t>
      </w:r>
      <w:r w:rsidR="0099625B" w:rsidRPr="00BB558B">
        <w:rPr>
          <w:i/>
        </w:rPr>
        <w:t>Environment Protection Act</w:t>
      </w:r>
      <w:r w:rsidR="00C72AC3" w:rsidRPr="00BB558B">
        <w:rPr>
          <w:i/>
        </w:rPr>
        <w:t xml:space="preserve"> (1994)</w:t>
      </w:r>
      <w:r w:rsidR="008F25DE" w:rsidRPr="00BB558B">
        <w:rPr>
          <w:i/>
        </w:rPr>
        <w:t xml:space="preserve"> </w:t>
      </w:r>
      <w:r w:rsidRPr="00D56C84">
        <w:t xml:space="preserve">regarding waste management that directly relate to the responsibility of </w:t>
      </w:r>
      <w:r w:rsidR="0099625B" w:rsidRPr="00D56C84">
        <w:t>local government</w:t>
      </w:r>
      <w:r w:rsidRPr="00D56C84">
        <w:t xml:space="preserve">. The first clause </w:t>
      </w:r>
      <w:r w:rsidR="00937BFE" w:rsidRPr="00D56C84">
        <w:t xml:space="preserve">is </w:t>
      </w:r>
      <w:r w:rsidRPr="00D56C84">
        <w:t>related to the power of the state government to require local government</w:t>
      </w:r>
      <w:r w:rsidR="0099625B" w:rsidRPr="00D56C84">
        <w:t xml:space="preserve"> to remove waste and waste management work </w:t>
      </w:r>
      <w:r w:rsidR="00937BFE" w:rsidRPr="00D56C84">
        <w:t>that</w:t>
      </w:r>
      <w:r w:rsidR="0099625B" w:rsidRPr="00D56C84">
        <w:t xml:space="preserve"> </w:t>
      </w:r>
      <w:r w:rsidR="00BF1F5D" w:rsidRPr="00D56C84">
        <w:t xml:space="preserve">is to </w:t>
      </w:r>
      <w:r w:rsidR="0099625B" w:rsidRPr="00D56C84">
        <w:t>be perfo</w:t>
      </w:r>
      <w:r w:rsidR="00937BFE" w:rsidRPr="00D56C84">
        <w:t>rmed by or for local government:</w:t>
      </w:r>
    </w:p>
    <w:p w:rsidR="0099625B" w:rsidRPr="00D56C84" w:rsidRDefault="0099625B" w:rsidP="00D52723">
      <w:pPr>
        <w:pStyle w:val="ParaIndent"/>
        <w:keepNext/>
        <w:spacing w:after="60"/>
        <w:ind w:left="1701"/>
        <w:jc w:val="both"/>
        <w:rPr>
          <w:b/>
          <w:sz w:val="18"/>
          <w:szCs w:val="18"/>
        </w:rPr>
      </w:pPr>
      <w:r w:rsidRPr="00D56C84">
        <w:rPr>
          <w:b/>
          <w:sz w:val="18"/>
          <w:szCs w:val="18"/>
        </w:rPr>
        <w:lastRenderedPageBreak/>
        <w:t xml:space="preserve">368 Chief executive </w:t>
      </w:r>
      <w:r w:rsidR="005F5A14" w:rsidRPr="00D56C84">
        <w:rPr>
          <w:b/>
          <w:sz w:val="18"/>
          <w:szCs w:val="18"/>
        </w:rPr>
        <w:t xml:space="preserve">[of the EPA] </w:t>
      </w:r>
      <w:r w:rsidRPr="00D56C84">
        <w:rPr>
          <w:b/>
          <w:sz w:val="18"/>
          <w:szCs w:val="18"/>
        </w:rPr>
        <w:t>may require local government to remove waste etc.</w:t>
      </w:r>
    </w:p>
    <w:p w:rsidR="0099625B" w:rsidRPr="00D56C84" w:rsidRDefault="0099625B" w:rsidP="00D52723">
      <w:pPr>
        <w:pStyle w:val="ParaIndent"/>
        <w:keepNext/>
        <w:spacing w:after="60"/>
        <w:ind w:left="1701"/>
        <w:jc w:val="both"/>
        <w:rPr>
          <w:sz w:val="18"/>
          <w:szCs w:val="18"/>
        </w:rPr>
      </w:pPr>
      <w:r w:rsidRPr="00D56C84">
        <w:rPr>
          <w:sz w:val="18"/>
          <w:szCs w:val="18"/>
        </w:rPr>
        <w:t>(1) The chief executive may, by written notice given to a local government, require the local government to—</w:t>
      </w:r>
    </w:p>
    <w:p w:rsidR="0099625B" w:rsidRPr="00D56C84" w:rsidRDefault="0099625B"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carry</w:t>
      </w:r>
      <w:proofErr w:type="gramEnd"/>
      <w:r w:rsidRPr="00D56C84">
        <w:rPr>
          <w:sz w:val="18"/>
          <w:szCs w:val="18"/>
        </w:rPr>
        <w:t xml:space="preserve"> out any of the following works (waste management works)—</w:t>
      </w:r>
    </w:p>
    <w:p w:rsidR="0099625B" w:rsidRPr="00D56C84" w:rsidRDefault="0099625B" w:rsidP="00D52723">
      <w:pPr>
        <w:pStyle w:val="ParaIndent"/>
        <w:keepNext/>
        <w:spacing w:after="60"/>
        <w:ind w:left="2268"/>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remove</w:t>
      </w:r>
      <w:proofErr w:type="gramEnd"/>
      <w:r w:rsidRPr="00D56C84">
        <w:rPr>
          <w:sz w:val="18"/>
          <w:szCs w:val="18"/>
        </w:rPr>
        <w:t>, collect, transport, store, treat or dispose of waste;</w:t>
      </w:r>
    </w:p>
    <w:p w:rsidR="0099625B" w:rsidRPr="00D56C84" w:rsidRDefault="0099625B" w:rsidP="00D52723">
      <w:pPr>
        <w:pStyle w:val="ParaIndent"/>
        <w:keepNext/>
        <w:spacing w:after="60"/>
        <w:ind w:left="2268"/>
        <w:jc w:val="both"/>
        <w:rPr>
          <w:sz w:val="18"/>
          <w:szCs w:val="18"/>
        </w:rPr>
      </w:pPr>
      <w:r w:rsidRPr="00D56C84">
        <w:rPr>
          <w:sz w:val="18"/>
          <w:szCs w:val="18"/>
        </w:rPr>
        <w:t xml:space="preserve">(ii) </w:t>
      </w:r>
      <w:proofErr w:type="gramStart"/>
      <w:r w:rsidRPr="00D56C84">
        <w:rPr>
          <w:sz w:val="18"/>
          <w:szCs w:val="18"/>
        </w:rPr>
        <w:t>clean</w:t>
      </w:r>
      <w:proofErr w:type="gramEnd"/>
      <w:r w:rsidRPr="00D56C84">
        <w:rPr>
          <w:sz w:val="18"/>
          <w:szCs w:val="18"/>
        </w:rPr>
        <w:t xml:space="preserve"> streets;</w:t>
      </w:r>
    </w:p>
    <w:p w:rsidR="0099625B" w:rsidRPr="00D56C84" w:rsidRDefault="0099625B" w:rsidP="00D52723">
      <w:pPr>
        <w:pStyle w:val="ParaIndent"/>
        <w:keepNext/>
        <w:spacing w:after="60"/>
        <w:ind w:left="2268"/>
        <w:jc w:val="both"/>
        <w:rPr>
          <w:sz w:val="18"/>
          <w:szCs w:val="18"/>
        </w:rPr>
      </w:pPr>
      <w:r w:rsidRPr="00D56C84">
        <w:rPr>
          <w:sz w:val="18"/>
          <w:szCs w:val="18"/>
        </w:rPr>
        <w:t xml:space="preserve">(iii) </w:t>
      </w:r>
      <w:proofErr w:type="gramStart"/>
      <w:r w:rsidRPr="00D56C84">
        <w:rPr>
          <w:sz w:val="18"/>
          <w:szCs w:val="18"/>
        </w:rPr>
        <w:t>clean</w:t>
      </w:r>
      <w:proofErr w:type="gramEnd"/>
      <w:r w:rsidRPr="00D56C84">
        <w:rPr>
          <w:sz w:val="18"/>
          <w:szCs w:val="18"/>
        </w:rPr>
        <w:t xml:space="preserve"> sanitary conveniences; or</w:t>
      </w:r>
    </w:p>
    <w:p w:rsidR="0099625B" w:rsidRPr="00D56C84" w:rsidRDefault="0099625B" w:rsidP="00D52723">
      <w:pPr>
        <w:pStyle w:val="ParaIndent"/>
        <w:keepNext/>
        <w:ind w:left="1985"/>
        <w:jc w:val="both"/>
        <w:rPr>
          <w:sz w:val="18"/>
          <w:szCs w:val="18"/>
        </w:rPr>
      </w:pPr>
      <w:r w:rsidRPr="00D56C84">
        <w:rPr>
          <w:sz w:val="18"/>
          <w:szCs w:val="18"/>
        </w:rPr>
        <w:t xml:space="preserve">(b) </w:t>
      </w:r>
      <w:proofErr w:type="gramStart"/>
      <w:r w:rsidRPr="00D56C84">
        <w:rPr>
          <w:sz w:val="18"/>
          <w:szCs w:val="18"/>
        </w:rPr>
        <w:t>provide</w:t>
      </w:r>
      <w:proofErr w:type="gramEnd"/>
      <w:r w:rsidRPr="00D56C84">
        <w:rPr>
          <w:sz w:val="18"/>
          <w:szCs w:val="18"/>
        </w:rPr>
        <w:t xml:space="preserve"> a place, containers or equipment for depositing or disposing of waste.</w:t>
      </w:r>
    </w:p>
    <w:p w:rsidR="005F5A14" w:rsidRPr="00D56C84" w:rsidRDefault="005F5A14" w:rsidP="00D52723">
      <w:pPr>
        <w:pStyle w:val="ParaIndent"/>
        <w:spacing w:after="60"/>
        <w:jc w:val="both"/>
      </w:pPr>
      <w:r w:rsidRPr="00D56C84">
        <w:t>The second clause, and sub-clauses, relate to local government’s responsibility to regulate waste management activities in its area.</w:t>
      </w:r>
    </w:p>
    <w:p w:rsidR="0099625B" w:rsidRPr="00D56C84" w:rsidRDefault="0099625B" w:rsidP="00D52723">
      <w:pPr>
        <w:pStyle w:val="ParaIndent"/>
        <w:keepNext/>
        <w:spacing w:after="60"/>
        <w:ind w:left="1701"/>
        <w:jc w:val="both"/>
        <w:rPr>
          <w:b/>
          <w:sz w:val="18"/>
          <w:szCs w:val="18"/>
        </w:rPr>
      </w:pPr>
      <w:r w:rsidRPr="00D56C84">
        <w:rPr>
          <w:b/>
          <w:sz w:val="18"/>
          <w:szCs w:val="18"/>
        </w:rPr>
        <w:t>369 Restrictions on performing waste management works</w:t>
      </w:r>
    </w:p>
    <w:p w:rsidR="0099625B" w:rsidRPr="00D56C84" w:rsidRDefault="0099625B" w:rsidP="00D52723">
      <w:pPr>
        <w:pStyle w:val="ParaIndent"/>
        <w:keepNext/>
        <w:spacing w:after="60"/>
        <w:ind w:left="1701"/>
        <w:jc w:val="both"/>
        <w:rPr>
          <w:sz w:val="18"/>
          <w:szCs w:val="18"/>
        </w:rPr>
      </w:pPr>
      <w:r w:rsidRPr="00D56C84">
        <w:rPr>
          <w:sz w:val="18"/>
          <w:szCs w:val="18"/>
        </w:rPr>
        <w:t>A person must not, for fee or reward, perform waste management works in a local government’s area unless—</w:t>
      </w:r>
    </w:p>
    <w:p w:rsidR="0099625B" w:rsidRPr="00D56C84" w:rsidRDefault="0099625B" w:rsidP="00D52723">
      <w:pPr>
        <w:pStyle w:val="ParaIndent"/>
        <w:keepNext/>
        <w:spacing w:after="60"/>
        <w:ind w:left="1701"/>
        <w:jc w:val="both"/>
        <w:rPr>
          <w:sz w:val="18"/>
          <w:szCs w:val="18"/>
        </w:rPr>
      </w:pPr>
      <w:r w:rsidRPr="00D56C84">
        <w:rPr>
          <w:sz w:val="18"/>
          <w:szCs w:val="18"/>
        </w:rPr>
        <w:t xml:space="preserve">(a) </w:t>
      </w:r>
      <w:proofErr w:type="gramStart"/>
      <w:r w:rsidRPr="00D56C84">
        <w:rPr>
          <w:sz w:val="18"/>
          <w:szCs w:val="18"/>
        </w:rPr>
        <w:t>the</w:t>
      </w:r>
      <w:proofErr w:type="gramEnd"/>
      <w:r w:rsidRPr="00D56C84">
        <w:rPr>
          <w:sz w:val="18"/>
          <w:szCs w:val="18"/>
        </w:rPr>
        <w:t xml:space="preserve"> works are performed by or for the local government; or</w:t>
      </w:r>
    </w:p>
    <w:p w:rsidR="0099625B" w:rsidRPr="00D56C84" w:rsidRDefault="0099625B" w:rsidP="00D52723">
      <w:pPr>
        <w:pStyle w:val="ParaIndent"/>
        <w:keepNext/>
        <w:spacing w:after="60"/>
        <w:ind w:left="1701"/>
        <w:jc w:val="both"/>
        <w:rPr>
          <w:sz w:val="18"/>
          <w:szCs w:val="18"/>
        </w:rPr>
      </w:pPr>
      <w:r w:rsidRPr="00D56C84">
        <w:rPr>
          <w:sz w:val="18"/>
          <w:szCs w:val="18"/>
        </w:rPr>
        <w:t xml:space="preserve">(b) </w:t>
      </w:r>
      <w:proofErr w:type="gramStart"/>
      <w:r w:rsidRPr="00D56C84">
        <w:rPr>
          <w:sz w:val="18"/>
          <w:szCs w:val="18"/>
        </w:rPr>
        <w:t>the</w:t>
      </w:r>
      <w:proofErr w:type="gramEnd"/>
      <w:r w:rsidRPr="00D56C84">
        <w:rPr>
          <w:sz w:val="18"/>
          <w:szCs w:val="18"/>
        </w:rPr>
        <w:t xml:space="preserve"> person holds, or is acting under—</w:t>
      </w:r>
    </w:p>
    <w:p w:rsidR="0099625B" w:rsidRPr="00D56C84" w:rsidRDefault="0099625B" w:rsidP="00D52723">
      <w:pPr>
        <w:pStyle w:val="ParaIndent"/>
        <w:keepNext/>
        <w:spacing w:after="60"/>
        <w:ind w:left="1985"/>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an</w:t>
      </w:r>
      <w:proofErr w:type="gramEnd"/>
      <w:r w:rsidRPr="00D56C84">
        <w:rPr>
          <w:sz w:val="18"/>
          <w:szCs w:val="18"/>
        </w:rPr>
        <w:t xml:space="preserve"> approval, under section 369A, from the local government to perform the works; or</w:t>
      </w:r>
    </w:p>
    <w:p w:rsidR="0099625B" w:rsidRPr="00D56C84" w:rsidRDefault="0099625B" w:rsidP="00D52723">
      <w:pPr>
        <w:pStyle w:val="ParaIndent"/>
        <w:keepNext/>
        <w:spacing w:after="60"/>
        <w:ind w:left="1985"/>
        <w:jc w:val="both"/>
        <w:rPr>
          <w:sz w:val="18"/>
          <w:szCs w:val="18"/>
        </w:rPr>
      </w:pPr>
      <w:r w:rsidRPr="00D56C84">
        <w:rPr>
          <w:sz w:val="18"/>
          <w:szCs w:val="18"/>
        </w:rPr>
        <w:t xml:space="preserve">(ii) </w:t>
      </w:r>
      <w:proofErr w:type="gramStart"/>
      <w:r w:rsidRPr="00D56C84">
        <w:rPr>
          <w:sz w:val="18"/>
          <w:szCs w:val="18"/>
        </w:rPr>
        <w:t>a</w:t>
      </w:r>
      <w:proofErr w:type="gramEnd"/>
      <w:r w:rsidRPr="00D56C84">
        <w:rPr>
          <w:sz w:val="18"/>
          <w:szCs w:val="18"/>
        </w:rPr>
        <w:t xml:space="preserve"> development approval; or</w:t>
      </w:r>
    </w:p>
    <w:p w:rsidR="0099625B" w:rsidRPr="00D56C84" w:rsidRDefault="0099625B" w:rsidP="00D52723">
      <w:pPr>
        <w:pStyle w:val="ParaIndent"/>
        <w:keepNext/>
        <w:spacing w:after="60"/>
        <w:ind w:left="1701"/>
        <w:jc w:val="both"/>
        <w:rPr>
          <w:sz w:val="18"/>
          <w:szCs w:val="18"/>
        </w:rPr>
      </w:pPr>
      <w:r w:rsidRPr="00D56C84">
        <w:rPr>
          <w:sz w:val="18"/>
          <w:szCs w:val="18"/>
        </w:rPr>
        <w:t xml:space="preserve">(c) </w:t>
      </w:r>
      <w:proofErr w:type="gramStart"/>
      <w:r w:rsidRPr="00D56C84">
        <w:rPr>
          <w:sz w:val="18"/>
          <w:szCs w:val="18"/>
        </w:rPr>
        <w:t>the</w:t>
      </w:r>
      <w:proofErr w:type="gramEnd"/>
      <w:r w:rsidRPr="00D56C84">
        <w:rPr>
          <w:sz w:val="18"/>
          <w:szCs w:val="18"/>
        </w:rPr>
        <w:t xml:space="preserve"> person is acting under a code of environmental compliance; or</w:t>
      </w:r>
    </w:p>
    <w:p w:rsidR="0099625B" w:rsidRPr="00D56C84" w:rsidRDefault="0099625B" w:rsidP="00D52723">
      <w:pPr>
        <w:pStyle w:val="ParaIndent"/>
        <w:keepNext/>
        <w:ind w:left="1701"/>
        <w:jc w:val="both"/>
        <w:rPr>
          <w:sz w:val="18"/>
          <w:szCs w:val="18"/>
        </w:rPr>
      </w:pPr>
      <w:r w:rsidRPr="00D56C84">
        <w:rPr>
          <w:sz w:val="18"/>
          <w:szCs w:val="18"/>
        </w:rPr>
        <w:t xml:space="preserve">(d) </w:t>
      </w:r>
      <w:proofErr w:type="gramStart"/>
      <w:r w:rsidRPr="00D56C84">
        <w:rPr>
          <w:sz w:val="18"/>
          <w:szCs w:val="18"/>
        </w:rPr>
        <w:t>the</w:t>
      </w:r>
      <w:proofErr w:type="gramEnd"/>
      <w:r w:rsidRPr="00D56C84">
        <w:rPr>
          <w:sz w:val="18"/>
          <w:szCs w:val="18"/>
        </w:rPr>
        <w:t xml:space="preserve"> works are an environmentally relevant activity other than waste transport.</w:t>
      </w:r>
    </w:p>
    <w:p w:rsidR="00E4220D" w:rsidRPr="00D56C84" w:rsidRDefault="005F5A14" w:rsidP="00D52723">
      <w:pPr>
        <w:pStyle w:val="ParaIndent"/>
        <w:jc w:val="both"/>
      </w:pPr>
      <w:r w:rsidRPr="00D56C84">
        <w:t xml:space="preserve">These components of the </w:t>
      </w:r>
      <w:r w:rsidRPr="00BB558B">
        <w:rPr>
          <w:i/>
        </w:rPr>
        <w:t>Environment Protection Act (1994)</w:t>
      </w:r>
      <w:r w:rsidRPr="00D56C84">
        <w:t xml:space="preserve"> are under</w:t>
      </w:r>
      <w:r w:rsidR="00E4220D" w:rsidRPr="00D56C84">
        <w:t xml:space="preserve"> </w:t>
      </w:r>
      <w:r w:rsidRPr="00D56C84">
        <w:t xml:space="preserve">active </w:t>
      </w:r>
      <w:r w:rsidR="00E4220D" w:rsidRPr="00D56C84">
        <w:t>review as part of the</w:t>
      </w:r>
      <w:r w:rsidRPr="00D56C84">
        <w:t xml:space="preserve"> waste reform program being undertaken in Queensland.</w:t>
      </w:r>
    </w:p>
    <w:p w:rsidR="003649F5" w:rsidRPr="00D56C84" w:rsidRDefault="003649F5" w:rsidP="00D52723">
      <w:pPr>
        <w:pStyle w:val="ParaIndent"/>
        <w:spacing w:after="60"/>
        <w:jc w:val="both"/>
      </w:pPr>
      <w:r w:rsidRPr="00D56C84">
        <w:t xml:space="preserve">The </w:t>
      </w:r>
      <w:r w:rsidRPr="00BB558B">
        <w:rPr>
          <w:i/>
        </w:rPr>
        <w:t>Environmental Protection (Waste Management) Policy (2000)</w:t>
      </w:r>
      <w:r w:rsidRPr="00D56C84">
        <w:t xml:space="preserve"> sets out the requirement for local government to individually or collectively develop waste management strategic plans.</w:t>
      </w:r>
    </w:p>
    <w:p w:rsidR="003649F5" w:rsidRPr="00D56C84" w:rsidRDefault="003649F5" w:rsidP="00D52723">
      <w:pPr>
        <w:pStyle w:val="ParaIndent"/>
        <w:spacing w:after="60"/>
        <w:ind w:left="1701"/>
        <w:jc w:val="both"/>
        <w:rPr>
          <w:b/>
          <w:sz w:val="18"/>
          <w:szCs w:val="18"/>
        </w:rPr>
      </w:pPr>
      <w:r w:rsidRPr="00D56C84">
        <w:rPr>
          <w:b/>
          <w:sz w:val="18"/>
          <w:szCs w:val="18"/>
        </w:rPr>
        <w:t>Part 7 Waste management strategic planning by governments</w:t>
      </w:r>
    </w:p>
    <w:p w:rsidR="003649F5" w:rsidRPr="00D56C84" w:rsidRDefault="003649F5" w:rsidP="00D52723">
      <w:pPr>
        <w:pStyle w:val="ParaIndent"/>
        <w:spacing w:after="60"/>
        <w:ind w:left="1701"/>
        <w:jc w:val="both"/>
        <w:rPr>
          <w:sz w:val="18"/>
          <w:szCs w:val="18"/>
        </w:rPr>
      </w:pPr>
      <w:r w:rsidRPr="00D56C84">
        <w:rPr>
          <w:sz w:val="18"/>
          <w:szCs w:val="18"/>
        </w:rPr>
        <w:t>Division 1 Local governments</w:t>
      </w:r>
    </w:p>
    <w:p w:rsidR="003649F5" w:rsidRPr="00D56C84" w:rsidRDefault="003649F5" w:rsidP="00D52723">
      <w:pPr>
        <w:pStyle w:val="ParaIndent"/>
        <w:spacing w:after="60"/>
        <w:ind w:left="1701"/>
        <w:jc w:val="both"/>
        <w:rPr>
          <w:b/>
          <w:sz w:val="18"/>
          <w:szCs w:val="18"/>
        </w:rPr>
      </w:pPr>
      <w:r w:rsidRPr="00D56C84">
        <w:rPr>
          <w:b/>
          <w:sz w:val="18"/>
          <w:szCs w:val="18"/>
        </w:rPr>
        <w:t>26 Plan must be prepared and implemented</w:t>
      </w:r>
    </w:p>
    <w:p w:rsidR="003649F5" w:rsidRPr="00D56C84" w:rsidRDefault="003649F5" w:rsidP="00D52723">
      <w:pPr>
        <w:pStyle w:val="ParaIndent"/>
        <w:spacing w:after="60"/>
        <w:ind w:left="1701"/>
        <w:jc w:val="both"/>
        <w:rPr>
          <w:sz w:val="18"/>
          <w:szCs w:val="18"/>
        </w:rPr>
      </w:pPr>
      <w:r w:rsidRPr="00D56C84">
        <w:rPr>
          <w:sz w:val="18"/>
          <w:szCs w:val="18"/>
        </w:rPr>
        <w:t xml:space="preserve">A local government must prepare and adopt a waste management strategic plan for its area, and start to implement the </w:t>
      </w:r>
      <w:proofErr w:type="gramStart"/>
      <w:r w:rsidRPr="00D56C84">
        <w:rPr>
          <w:sz w:val="18"/>
          <w:szCs w:val="18"/>
        </w:rPr>
        <w:t>plan ...</w:t>
      </w:r>
      <w:proofErr w:type="gramEnd"/>
    </w:p>
    <w:p w:rsidR="003649F5" w:rsidRPr="00D56C84" w:rsidRDefault="003649F5" w:rsidP="00D52723">
      <w:pPr>
        <w:pStyle w:val="ParaIndent"/>
        <w:keepNext/>
        <w:spacing w:after="60"/>
        <w:ind w:left="1701"/>
        <w:jc w:val="both"/>
        <w:rPr>
          <w:b/>
          <w:sz w:val="18"/>
          <w:szCs w:val="18"/>
        </w:rPr>
      </w:pPr>
      <w:r w:rsidRPr="00D56C84">
        <w:rPr>
          <w:b/>
          <w:sz w:val="18"/>
          <w:szCs w:val="18"/>
        </w:rPr>
        <w:t>27 Cooperative plans</w:t>
      </w:r>
    </w:p>
    <w:p w:rsidR="003649F5" w:rsidRPr="00D56C84" w:rsidRDefault="003649F5" w:rsidP="00D52723">
      <w:pPr>
        <w:pStyle w:val="ParaIndent"/>
        <w:keepNext/>
        <w:spacing w:after="60"/>
        <w:ind w:left="1701"/>
        <w:jc w:val="both"/>
        <w:rPr>
          <w:sz w:val="18"/>
          <w:szCs w:val="18"/>
        </w:rPr>
      </w:pPr>
      <w:r w:rsidRPr="00D56C84">
        <w:rPr>
          <w:sz w:val="18"/>
          <w:szCs w:val="18"/>
        </w:rPr>
        <w:t>(1) Two or more local governments may prepare and adopt 1 plan (a cooperative plan) that applies to all of their areas.</w:t>
      </w:r>
    </w:p>
    <w:p w:rsidR="003649F5" w:rsidRPr="00D56C84" w:rsidRDefault="003649F5" w:rsidP="00D52723">
      <w:pPr>
        <w:pStyle w:val="ParaIndent"/>
        <w:keepNext/>
        <w:spacing w:after="60"/>
        <w:ind w:left="1701"/>
        <w:jc w:val="both"/>
        <w:rPr>
          <w:sz w:val="18"/>
          <w:szCs w:val="18"/>
        </w:rPr>
      </w:pPr>
      <w:r w:rsidRPr="00D56C84">
        <w:rPr>
          <w:sz w:val="18"/>
          <w:szCs w:val="18"/>
        </w:rPr>
        <w:t>(2) This division applies to a cooperative plan as if—</w:t>
      </w:r>
    </w:p>
    <w:p w:rsidR="003649F5" w:rsidRPr="00D56C84" w:rsidRDefault="003649F5"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a</w:t>
      </w:r>
      <w:proofErr w:type="gramEnd"/>
      <w:r w:rsidRPr="00D56C84">
        <w:rPr>
          <w:sz w:val="18"/>
          <w:szCs w:val="18"/>
        </w:rPr>
        <w:t xml:space="preserve"> reference to a local government were a reference to all the local governments adopting the plan; and</w:t>
      </w:r>
    </w:p>
    <w:p w:rsidR="003649F5" w:rsidRPr="00D56C84" w:rsidRDefault="003649F5" w:rsidP="00D52723">
      <w:pPr>
        <w:pStyle w:val="ParaIndent"/>
        <w:spacing w:after="60"/>
        <w:ind w:left="1985"/>
        <w:jc w:val="both"/>
        <w:rPr>
          <w:sz w:val="18"/>
          <w:szCs w:val="18"/>
        </w:rPr>
      </w:pPr>
      <w:r w:rsidRPr="00D56C84">
        <w:rPr>
          <w:sz w:val="18"/>
          <w:szCs w:val="18"/>
        </w:rPr>
        <w:t xml:space="preserve">(b) </w:t>
      </w:r>
      <w:proofErr w:type="gramStart"/>
      <w:r w:rsidRPr="00D56C84">
        <w:rPr>
          <w:sz w:val="18"/>
          <w:szCs w:val="18"/>
        </w:rPr>
        <w:t>a</w:t>
      </w:r>
      <w:proofErr w:type="gramEnd"/>
      <w:r w:rsidRPr="00D56C84">
        <w:rPr>
          <w:sz w:val="18"/>
          <w:szCs w:val="18"/>
        </w:rPr>
        <w:t xml:space="preserve"> reference to a local government’s area were a reference to all the areas covered by the plan.</w:t>
      </w:r>
    </w:p>
    <w:p w:rsidR="003649F5" w:rsidRPr="00D56C84" w:rsidRDefault="003649F5" w:rsidP="00D52723">
      <w:pPr>
        <w:pStyle w:val="ParaIndent"/>
        <w:keepNext/>
        <w:spacing w:after="60"/>
        <w:ind w:left="1701"/>
        <w:jc w:val="both"/>
        <w:rPr>
          <w:b/>
          <w:sz w:val="18"/>
          <w:szCs w:val="18"/>
        </w:rPr>
      </w:pPr>
      <w:r w:rsidRPr="00D56C84">
        <w:rPr>
          <w:b/>
          <w:sz w:val="18"/>
          <w:szCs w:val="18"/>
        </w:rPr>
        <w:t>28 Matters to consider when preparing a plan</w:t>
      </w:r>
    </w:p>
    <w:p w:rsidR="003649F5" w:rsidRPr="00D56C84" w:rsidRDefault="003649F5" w:rsidP="00D52723">
      <w:pPr>
        <w:pStyle w:val="ParaIndent"/>
        <w:keepNext/>
        <w:spacing w:after="60"/>
        <w:ind w:left="1701"/>
        <w:jc w:val="both"/>
        <w:rPr>
          <w:sz w:val="18"/>
          <w:szCs w:val="18"/>
        </w:rPr>
      </w:pPr>
      <w:r w:rsidRPr="00D56C84">
        <w:rPr>
          <w:sz w:val="18"/>
          <w:szCs w:val="18"/>
        </w:rPr>
        <w:t>In preparing its plan, a local government must have regard to—</w:t>
      </w:r>
    </w:p>
    <w:p w:rsidR="003649F5" w:rsidRPr="00D56C84" w:rsidRDefault="003649F5" w:rsidP="00D52723">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current</w:t>
      </w:r>
      <w:proofErr w:type="gramEnd"/>
      <w:r w:rsidRPr="00D56C84">
        <w:rPr>
          <w:sz w:val="18"/>
          <w:szCs w:val="18"/>
        </w:rPr>
        <w:t xml:space="preserve"> and predicted information about the following matters relating to its area—</w:t>
      </w:r>
    </w:p>
    <w:p w:rsidR="003649F5" w:rsidRPr="00D56C84" w:rsidRDefault="003649F5" w:rsidP="00D52723">
      <w:pPr>
        <w:pStyle w:val="ParaIndent"/>
        <w:keepNext/>
        <w:spacing w:after="60"/>
        <w:ind w:left="2268"/>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population</w:t>
      </w:r>
      <w:proofErr w:type="gramEnd"/>
      <w:r w:rsidRPr="00D56C84">
        <w:rPr>
          <w:sz w:val="18"/>
          <w:szCs w:val="18"/>
        </w:rPr>
        <w:t xml:space="preserve"> profiles;</w:t>
      </w:r>
    </w:p>
    <w:p w:rsidR="003649F5" w:rsidRPr="00D56C84" w:rsidRDefault="003649F5" w:rsidP="00D52723">
      <w:pPr>
        <w:pStyle w:val="ParaIndent"/>
        <w:keepNext/>
        <w:spacing w:after="60"/>
        <w:ind w:left="2268"/>
        <w:jc w:val="both"/>
        <w:rPr>
          <w:sz w:val="18"/>
          <w:szCs w:val="18"/>
        </w:rPr>
      </w:pPr>
      <w:r w:rsidRPr="00D56C84">
        <w:rPr>
          <w:sz w:val="18"/>
          <w:szCs w:val="18"/>
        </w:rPr>
        <w:t xml:space="preserve">(ii) </w:t>
      </w:r>
      <w:proofErr w:type="gramStart"/>
      <w:r w:rsidRPr="00D56C84">
        <w:rPr>
          <w:sz w:val="18"/>
          <w:szCs w:val="18"/>
        </w:rPr>
        <w:t>residential</w:t>
      </w:r>
      <w:proofErr w:type="gramEnd"/>
      <w:r w:rsidRPr="00D56C84">
        <w:rPr>
          <w:sz w:val="18"/>
          <w:szCs w:val="18"/>
        </w:rPr>
        <w:t>, industrial and commercial development;</w:t>
      </w:r>
    </w:p>
    <w:p w:rsidR="003649F5" w:rsidRPr="00D56C84" w:rsidRDefault="003649F5" w:rsidP="00D52723">
      <w:pPr>
        <w:pStyle w:val="ParaIndent"/>
        <w:keepNext/>
        <w:spacing w:after="60"/>
        <w:ind w:left="2268"/>
        <w:jc w:val="both"/>
        <w:rPr>
          <w:sz w:val="18"/>
          <w:szCs w:val="18"/>
        </w:rPr>
      </w:pPr>
      <w:r w:rsidRPr="00D56C84">
        <w:rPr>
          <w:sz w:val="18"/>
          <w:szCs w:val="18"/>
        </w:rPr>
        <w:t xml:space="preserve">(iii) </w:t>
      </w:r>
      <w:proofErr w:type="gramStart"/>
      <w:r w:rsidRPr="00D56C84">
        <w:rPr>
          <w:sz w:val="18"/>
          <w:szCs w:val="18"/>
        </w:rPr>
        <w:t>waste</w:t>
      </w:r>
      <w:proofErr w:type="gramEnd"/>
      <w:r w:rsidRPr="00D56C84">
        <w:rPr>
          <w:sz w:val="18"/>
          <w:szCs w:val="18"/>
        </w:rPr>
        <w:t xml:space="preserve"> generation types and amounts; and</w:t>
      </w:r>
    </w:p>
    <w:p w:rsidR="003649F5" w:rsidRPr="00D56C84" w:rsidRDefault="003649F5" w:rsidP="00D52723">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the</w:t>
      </w:r>
      <w:proofErr w:type="gramEnd"/>
      <w:r w:rsidRPr="00D56C84">
        <w:rPr>
          <w:sz w:val="18"/>
          <w:szCs w:val="18"/>
        </w:rPr>
        <w:t xml:space="preserve"> services, markets and facilities relevant to dealing with different types and amounts of waste; and</w:t>
      </w:r>
    </w:p>
    <w:p w:rsidR="003649F5" w:rsidRPr="00D56C84" w:rsidRDefault="003649F5" w:rsidP="00D52723">
      <w:pPr>
        <w:pStyle w:val="ParaIndent"/>
        <w:spacing w:after="60"/>
        <w:ind w:left="1985"/>
        <w:jc w:val="both"/>
        <w:rPr>
          <w:sz w:val="18"/>
          <w:szCs w:val="18"/>
        </w:rPr>
      </w:pPr>
      <w:r w:rsidRPr="00D56C84">
        <w:rPr>
          <w:sz w:val="18"/>
          <w:szCs w:val="18"/>
        </w:rPr>
        <w:t xml:space="preserve">(c) </w:t>
      </w:r>
      <w:proofErr w:type="gramStart"/>
      <w:r w:rsidRPr="00D56C84">
        <w:rPr>
          <w:sz w:val="18"/>
          <w:szCs w:val="18"/>
        </w:rPr>
        <w:t>the</w:t>
      </w:r>
      <w:proofErr w:type="gramEnd"/>
      <w:r w:rsidRPr="00D56C84">
        <w:rPr>
          <w:sz w:val="18"/>
          <w:szCs w:val="18"/>
        </w:rPr>
        <w:t xml:space="preserve"> waste management hierarchy and principles.</w:t>
      </w:r>
    </w:p>
    <w:p w:rsidR="00AE087B" w:rsidRPr="00D56C84" w:rsidRDefault="00AE087B" w:rsidP="00AE087B">
      <w:pPr>
        <w:pStyle w:val="Heading2"/>
      </w:pPr>
      <w:bookmarkStart w:id="73" w:name="_Toc307470440"/>
      <w:r w:rsidRPr="00D56C84">
        <w:lastRenderedPageBreak/>
        <w:t>Groupings</w:t>
      </w:r>
      <w:r w:rsidR="00085D2C" w:rsidRPr="00085D2C">
        <w:t xml:space="preserve"> </w:t>
      </w:r>
      <w:r w:rsidR="00085D2C">
        <w:t>in Queensland</w:t>
      </w:r>
      <w:bookmarkEnd w:id="73"/>
    </w:p>
    <w:p w:rsidR="008C3594" w:rsidRPr="00D56C84" w:rsidRDefault="00A64C69" w:rsidP="008C3594">
      <w:pPr>
        <w:pStyle w:val="Heading3"/>
      </w:pPr>
      <w:r w:rsidRPr="00D56C84">
        <w:t>Local government regions</w:t>
      </w:r>
    </w:p>
    <w:p w:rsidR="00FB13CC" w:rsidRDefault="004D0A0A" w:rsidP="00D52723">
      <w:pPr>
        <w:pStyle w:val="ParaIndent"/>
        <w:jc w:val="both"/>
      </w:pPr>
      <w:r w:rsidRPr="00D56C84">
        <w:t xml:space="preserve">The Queensland </w:t>
      </w:r>
      <w:r w:rsidR="00C847CD" w:rsidRPr="00D56C84">
        <w:t>D</w:t>
      </w:r>
      <w:r w:rsidRPr="00D56C84">
        <w:t xml:space="preserve">epartment of </w:t>
      </w:r>
      <w:r w:rsidR="00C847CD" w:rsidRPr="00D56C84">
        <w:t>E</w:t>
      </w:r>
      <w:r w:rsidRPr="00D56C84">
        <w:t xml:space="preserve">nvironment and </w:t>
      </w:r>
      <w:r w:rsidR="00C847CD" w:rsidRPr="00D56C84">
        <w:t>R</w:t>
      </w:r>
      <w:r w:rsidRPr="00D56C84">
        <w:t>esource Management (DERM)</w:t>
      </w:r>
      <w:r w:rsidR="00C847CD" w:rsidRPr="00D56C84">
        <w:t xml:space="preserve"> </w:t>
      </w:r>
      <w:r w:rsidRPr="00D56C84">
        <w:t>categorises local government areas by</w:t>
      </w:r>
      <w:r w:rsidR="00C847CD" w:rsidRPr="00D56C84">
        <w:t xml:space="preserve"> region</w:t>
      </w:r>
      <w:r w:rsidR="009F073C">
        <w:t xml:space="preserve"> (or ‘statistical division’)</w:t>
      </w:r>
      <w:r w:rsidR="00C847CD" w:rsidRPr="00D56C84">
        <w:t xml:space="preserve">, </w:t>
      </w:r>
      <w:r w:rsidRPr="00D56C84">
        <w:t>although there are</w:t>
      </w:r>
      <w:r w:rsidR="00C847CD" w:rsidRPr="00D56C84">
        <w:t xml:space="preserve"> no formal regional waste man</w:t>
      </w:r>
      <w:r w:rsidRPr="00D56C84">
        <w:t>agement groupings</w:t>
      </w:r>
      <w:r w:rsidR="00BF1F5D" w:rsidRPr="00D56C84">
        <w:t xml:space="preserve"> (</w:t>
      </w:r>
      <w:fldSimple w:instr=" REF _Ref297108482 \h  \* MERGEFORMAT ">
        <w:r w:rsidR="00166111" w:rsidRPr="00D56C84">
          <w:t xml:space="preserve">Table </w:t>
        </w:r>
        <w:r w:rsidR="00166111">
          <w:rPr>
            <w:noProof/>
          </w:rPr>
          <w:t>8</w:t>
        </w:r>
        <w:r w:rsidR="00166111" w:rsidRPr="00D56C84">
          <w:rPr>
            <w:noProof/>
          </w:rPr>
          <w:t>-</w:t>
        </w:r>
        <w:r w:rsidR="00166111">
          <w:rPr>
            <w:noProof/>
          </w:rPr>
          <w:t>20</w:t>
        </w:r>
      </w:fldSimple>
      <w:r w:rsidR="00BF1F5D" w:rsidRPr="00D56C84">
        <w:t>)</w:t>
      </w:r>
      <w:r w:rsidRPr="00D56C84">
        <w:t>.</w:t>
      </w:r>
    </w:p>
    <w:p w:rsidR="00CF5BE5" w:rsidRDefault="00FB13CC" w:rsidP="00D52723">
      <w:pPr>
        <w:pStyle w:val="ParaIndent"/>
        <w:jc w:val="both"/>
      </w:pPr>
      <w:r w:rsidRPr="00FB13CC">
        <w:t>The Local Authority Waste Management A</w:t>
      </w:r>
      <w:r>
        <w:t xml:space="preserve">dvisory Committee (LAWMAC) is a voluntary </w:t>
      </w:r>
      <w:r w:rsidRPr="00FB13CC">
        <w:t xml:space="preserve">organisation of </w:t>
      </w:r>
      <w:r>
        <w:t>19</w:t>
      </w:r>
      <w:r w:rsidRPr="00FB13CC">
        <w:t xml:space="preserve"> North Queensland Local Government Councils</w:t>
      </w:r>
      <w:r>
        <w:t>, which</w:t>
      </w:r>
      <w:r w:rsidRPr="00FB13CC">
        <w:t xml:space="preserve"> </w:t>
      </w:r>
      <w:r>
        <w:t>aims</w:t>
      </w:r>
      <w:r w:rsidRPr="00FB13CC">
        <w:t xml:space="preserve"> </w:t>
      </w:r>
      <w:r>
        <w:t>“</w:t>
      </w:r>
      <w:r w:rsidRPr="00FB13CC">
        <w:t>to provide sustainable solutions through its regional forum and interactive participation</w:t>
      </w:r>
      <w:r>
        <w:t xml:space="preserve">”. </w:t>
      </w:r>
      <w:r w:rsidR="00161A53">
        <w:t xml:space="preserve">Some sub-groups under the Local Government Association of Queensland, such as the </w:t>
      </w:r>
      <w:r w:rsidR="00161A53" w:rsidRPr="00161A53">
        <w:t>Central Queensland Local Government Association</w:t>
      </w:r>
      <w:r w:rsidR="00161A53">
        <w:t xml:space="preserve">, </w:t>
      </w:r>
      <w:r w:rsidR="006E78EF">
        <w:t xml:space="preserve">are </w:t>
      </w:r>
      <w:r w:rsidR="00161A53">
        <w:t>also involve</w:t>
      </w:r>
      <w:r w:rsidR="006E78EF">
        <w:t>d</w:t>
      </w:r>
      <w:r w:rsidR="00161A53">
        <w:t xml:space="preserve"> in promoting regional waste solutions, although </w:t>
      </w:r>
      <w:r w:rsidR="006E78EF">
        <w:t xml:space="preserve">unlike LAWMAC </w:t>
      </w:r>
      <w:r w:rsidR="00161A53">
        <w:t>they are not dedicated solely to waste-related issues.</w:t>
      </w:r>
    </w:p>
    <w:p w:rsidR="00161A53" w:rsidRPr="00D56C84" w:rsidRDefault="00161A53" w:rsidP="00D52723">
      <w:pPr>
        <w:pStyle w:val="ParaIndent"/>
        <w:jc w:val="both"/>
      </w:pPr>
    </w:p>
    <w:p w:rsidR="00BF1F5D" w:rsidRPr="00D56C84" w:rsidRDefault="00BF1F5D" w:rsidP="00BF1F5D">
      <w:pPr>
        <w:pStyle w:val="Caption"/>
      </w:pPr>
      <w:bookmarkStart w:id="74" w:name="_Ref297108482"/>
      <w:r w:rsidRPr="00D56C84">
        <w:t xml:space="preserve">Table </w:t>
      </w:r>
      <w:r w:rsidR="00ED6CA0">
        <w:fldChar w:fldCharType="begin"/>
      </w:r>
      <w:r w:rsidR="006D5406">
        <w:instrText xml:space="preserve"> STYLEREF "_Heading1" \n </w:instrText>
      </w:r>
      <w:r w:rsidR="00ED6CA0">
        <w:fldChar w:fldCharType="separate"/>
      </w:r>
      <w:r w:rsidR="00166111">
        <w:rPr>
          <w:noProof/>
        </w:rPr>
        <w:t>8</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20</w:t>
      </w:r>
      <w:r w:rsidR="00ED6CA0">
        <w:rPr>
          <w:noProof/>
        </w:rPr>
        <w:fldChar w:fldCharType="end"/>
      </w:r>
      <w:bookmarkEnd w:id="74"/>
      <w:r w:rsidRPr="00D56C84">
        <w:tab/>
      </w:r>
      <w:r w:rsidRPr="00D56C84">
        <w:rPr>
          <w:rFonts w:cs="Arial"/>
        </w:rPr>
        <w:t>Local Government regions in Queensland</w:t>
      </w:r>
    </w:p>
    <w:tbl>
      <w:tblPr>
        <w:tblW w:w="8505" w:type="dxa"/>
        <w:tblInd w:w="1134" w:type="dxa"/>
        <w:tblBorders>
          <w:bottom w:val="single" w:sz="18" w:space="0" w:color="808080"/>
          <w:insideH w:val="single" w:sz="4" w:space="0" w:color="808080"/>
        </w:tblBorders>
        <w:tblLayout w:type="fixed"/>
        <w:tblCellMar>
          <w:left w:w="0" w:type="dxa"/>
          <w:right w:w="113" w:type="dxa"/>
        </w:tblCellMar>
        <w:tblLook w:val="04A0"/>
      </w:tblPr>
      <w:tblGrid>
        <w:gridCol w:w="1134"/>
        <w:gridCol w:w="5103"/>
        <w:gridCol w:w="1134"/>
        <w:gridCol w:w="1134"/>
      </w:tblGrid>
      <w:tr w:rsidR="00A84BB4" w:rsidRPr="00D56C84" w:rsidTr="000132BD">
        <w:trPr>
          <w:cantSplit/>
          <w:trHeight w:val="227"/>
          <w:tblHeader/>
        </w:trPr>
        <w:tc>
          <w:tcPr>
            <w:tcW w:w="1134" w:type="dxa"/>
            <w:shd w:val="clear" w:color="auto" w:fill="auto"/>
            <w:noWrap/>
            <w:vAlign w:val="center"/>
            <w:hideMark/>
          </w:tcPr>
          <w:p w:rsidR="00A84BB4" w:rsidRPr="00D56C84" w:rsidRDefault="00A84BB4" w:rsidP="007C6A8D">
            <w:pPr>
              <w:pStyle w:val="TableHeading"/>
              <w:rPr>
                <w:lang w:eastAsia="en-AU"/>
              </w:rPr>
            </w:pPr>
            <w:r w:rsidRPr="00D56C84">
              <w:rPr>
                <w:lang w:eastAsia="en-AU"/>
              </w:rPr>
              <w:t>Region</w:t>
            </w:r>
          </w:p>
        </w:tc>
        <w:tc>
          <w:tcPr>
            <w:tcW w:w="5103" w:type="dxa"/>
            <w:shd w:val="clear" w:color="auto" w:fill="auto"/>
            <w:noWrap/>
            <w:vAlign w:val="center"/>
            <w:hideMark/>
          </w:tcPr>
          <w:p w:rsidR="00A84BB4" w:rsidRPr="00D56C84" w:rsidRDefault="00A84BB4" w:rsidP="007C6A8D">
            <w:pPr>
              <w:pStyle w:val="TableHeading"/>
              <w:rPr>
                <w:lang w:eastAsia="en-AU"/>
              </w:rPr>
            </w:pPr>
            <w:r w:rsidRPr="00D56C84">
              <w:rPr>
                <w:lang w:eastAsia="en-AU"/>
              </w:rPr>
              <w:t>Member LGAs</w:t>
            </w:r>
          </w:p>
        </w:tc>
        <w:tc>
          <w:tcPr>
            <w:tcW w:w="1134" w:type="dxa"/>
            <w:vAlign w:val="center"/>
          </w:tcPr>
          <w:p w:rsidR="00A84BB4" w:rsidRPr="00D56C84" w:rsidRDefault="00A84BB4" w:rsidP="00A84BB4">
            <w:pPr>
              <w:pStyle w:val="TableHeading"/>
              <w:jc w:val="right"/>
              <w:rPr>
                <w:lang w:eastAsia="en-AU"/>
              </w:rPr>
            </w:pPr>
            <w:r w:rsidRPr="00D56C84">
              <w:rPr>
                <w:lang w:eastAsia="en-AU"/>
              </w:rPr>
              <w:t>Population</w:t>
            </w:r>
          </w:p>
        </w:tc>
        <w:tc>
          <w:tcPr>
            <w:tcW w:w="1134" w:type="dxa"/>
            <w:vAlign w:val="center"/>
          </w:tcPr>
          <w:p w:rsidR="00A84BB4" w:rsidRPr="00D56C84" w:rsidRDefault="00A84BB4" w:rsidP="00A84BB4">
            <w:pPr>
              <w:pStyle w:val="TableHeading"/>
              <w:jc w:val="right"/>
              <w:rPr>
                <w:lang w:eastAsia="en-AU"/>
              </w:rPr>
            </w:pPr>
            <w:r w:rsidRPr="00D56C84">
              <w:rPr>
                <w:lang w:eastAsia="en-AU"/>
              </w:rPr>
              <w:t>Population density (/km</w:t>
            </w:r>
            <w:r w:rsidRPr="00D56C84">
              <w:rPr>
                <w:vertAlign w:val="superscript"/>
                <w:lang w:eastAsia="en-AU"/>
              </w:rPr>
              <w:t>2</w:t>
            </w:r>
            <w:r w:rsidRPr="00D56C84">
              <w:rPr>
                <w:lang w:eastAsia="en-AU"/>
              </w:rPr>
              <w:t>)</w:t>
            </w:r>
          </w:p>
        </w:tc>
      </w:tr>
      <w:tr w:rsidR="007157AE" w:rsidRPr="00D56C84" w:rsidTr="007157AE">
        <w:trPr>
          <w:cantSplit/>
          <w:trHeight w:val="227"/>
        </w:trPr>
        <w:tc>
          <w:tcPr>
            <w:tcW w:w="1134"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Central Queensland</w:t>
            </w:r>
          </w:p>
        </w:tc>
        <w:tc>
          <w:tcPr>
            <w:tcW w:w="5103"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Central Highlands (R), Gladstone (R), Isaac (R), Mackay (R), Rockhampton (R), Woorabinda (S)</w:t>
            </w:r>
          </w:p>
        </w:tc>
        <w:tc>
          <w:tcPr>
            <w:tcW w:w="1134" w:type="dxa"/>
            <w:tcBorders>
              <w:bottom w:val="single" w:sz="4" w:space="0" w:color="808080"/>
            </w:tcBorders>
            <w:vAlign w:val="center"/>
          </w:tcPr>
          <w:p w:rsidR="007157AE" w:rsidRPr="00D56C84" w:rsidRDefault="007157AE" w:rsidP="00A84BB4">
            <w:pPr>
              <w:pStyle w:val="TableText"/>
              <w:jc w:val="right"/>
              <w:rPr>
                <w:lang w:eastAsia="en-AU"/>
              </w:rPr>
            </w:pPr>
            <w:r w:rsidRPr="00D56C84">
              <w:rPr>
                <w:lang w:eastAsia="en-AU"/>
              </w:rPr>
              <w:t>343</w:t>
            </w:r>
            <w:r>
              <w:rPr>
                <w:lang w:eastAsia="en-AU"/>
              </w:rPr>
              <w:t>,</w:t>
            </w:r>
            <w:r w:rsidRPr="00D56C84">
              <w:rPr>
                <w:lang w:eastAsia="en-AU"/>
              </w:rPr>
              <w:t>657</w:t>
            </w:r>
          </w:p>
        </w:tc>
        <w:tc>
          <w:tcPr>
            <w:tcW w:w="1134" w:type="dxa"/>
            <w:tcBorders>
              <w:bottom w:val="single" w:sz="4" w:space="0" w:color="808080"/>
            </w:tcBorders>
            <w:vAlign w:val="center"/>
          </w:tcPr>
          <w:p w:rsidR="007157AE" w:rsidRPr="007157AE" w:rsidRDefault="007157AE" w:rsidP="007157AE">
            <w:pPr>
              <w:pStyle w:val="TableText"/>
              <w:jc w:val="right"/>
              <w:rPr>
                <w:lang w:eastAsia="en-AU"/>
              </w:rPr>
            </w:pPr>
            <w:r w:rsidRPr="007157AE">
              <w:rPr>
                <w:lang w:eastAsia="en-AU"/>
              </w:rPr>
              <w:t>1.2</w:t>
            </w:r>
          </w:p>
        </w:tc>
      </w:tr>
      <w:tr w:rsidR="007157AE" w:rsidRPr="00D56C84" w:rsidTr="007157AE">
        <w:trPr>
          <w:cantSplit/>
          <w:trHeight w:val="227"/>
        </w:trPr>
        <w:tc>
          <w:tcPr>
            <w:tcW w:w="1134" w:type="dxa"/>
            <w:tcBorders>
              <w:top w:val="single" w:sz="4" w:space="0" w:color="808080"/>
              <w:bottom w:val="single" w:sz="4" w:space="0" w:color="auto"/>
            </w:tcBorders>
            <w:shd w:val="clear" w:color="auto" w:fill="auto"/>
            <w:noWrap/>
            <w:vAlign w:val="center"/>
            <w:hideMark/>
          </w:tcPr>
          <w:p w:rsidR="007157AE" w:rsidRPr="00D56C84" w:rsidRDefault="007157AE" w:rsidP="007C6A8D">
            <w:pPr>
              <w:pStyle w:val="TableText"/>
              <w:rPr>
                <w:lang w:eastAsia="en-AU"/>
              </w:rPr>
            </w:pPr>
            <w:r w:rsidRPr="00D56C84">
              <w:rPr>
                <w:lang w:eastAsia="en-AU"/>
              </w:rPr>
              <w:t>Central West</w:t>
            </w:r>
          </w:p>
        </w:tc>
        <w:tc>
          <w:tcPr>
            <w:tcW w:w="5103" w:type="dxa"/>
            <w:tcBorders>
              <w:top w:val="single" w:sz="4" w:space="0" w:color="808080"/>
              <w:bottom w:val="single" w:sz="4" w:space="0" w:color="auto"/>
            </w:tcBorders>
            <w:shd w:val="clear" w:color="auto" w:fill="auto"/>
            <w:noWrap/>
            <w:vAlign w:val="center"/>
            <w:hideMark/>
          </w:tcPr>
          <w:p w:rsidR="007157AE" w:rsidRPr="00D56C84" w:rsidRDefault="007157AE" w:rsidP="007C6A8D">
            <w:pPr>
              <w:pStyle w:val="TableText"/>
              <w:rPr>
                <w:lang w:eastAsia="en-AU"/>
              </w:rPr>
            </w:pPr>
            <w:r w:rsidRPr="00D56C84">
              <w:rPr>
                <w:lang w:eastAsia="en-AU"/>
              </w:rPr>
              <w:t>Barcaldine (R), Barcoo (S), Blackall Tambo (R), Boulia (S), Diamantina (S), Longreach (R), Winton (S)</w:t>
            </w:r>
          </w:p>
        </w:tc>
        <w:tc>
          <w:tcPr>
            <w:tcW w:w="1134" w:type="dxa"/>
            <w:tcBorders>
              <w:top w:val="single" w:sz="4" w:space="0" w:color="808080"/>
              <w:bottom w:val="single" w:sz="4" w:space="0" w:color="auto"/>
            </w:tcBorders>
            <w:vAlign w:val="center"/>
          </w:tcPr>
          <w:p w:rsidR="007157AE" w:rsidRPr="00D56C84" w:rsidRDefault="007157AE" w:rsidP="00A84BB4">
            <w:pPr>
              <w:pStyle w:val="TableText"/>
              <w:jc w:val="right"/>
              <w:rPr>
                <w:lang w:eastAsia="en-AU"/>
              </w:rPr>
            </w:pPr>
            <w:r w:rsidRPr="00D56C84">
              <w:rPr>
                <w:lang w:eastAsia="en-AU"/>
              </w:rPr>
              <w:t>12,270</w:t>
            </w:r>
          </w:p>
        </w:tc>
        <w:tc>
          <w:tcPr>
            <w:tcW w:w="1134" w:type="dxa"/>
            <w:tcBorders>
              <w:top w:val="single" w:sz="4" w:space="0" w:color="808080"/>
              <w:bottom w:val="single" w:sz="4" w:space="0" w:color="auto"/>
            </w:tcBorders>
            <w:vAlign w:val="center"/>
          </w:tcPr>
          <w:p w:rsidR="007157AE" w:rsidRPr="007157AE" w:rsidRDefault="007157AE" w:rsidP="007157AE">
            <w:pPr>
              <w:pStyle w:val="TableText"/>
              <w:jc w:val="right"/>
              <w:rPr>
                <w:lang w:eastAsia="en-AU"/>
              </w:rPr>
            </w:pPr>
            <w:r w:rsidRPr="007157AE">
              <w:rPr>
                <w:lang w:eastAsia="en-AU"/>
              </w:rPr>
              <w:t>0.0</w:t>
            </w:r>
          </w:p>
        </w:tc>
      </w:tr>
      <w:tr w:rsidR="007157AE" w:rsidRPr="00D56C84" w:rsidTr="007157AE">
        <w:trPr>
          <w:cantSplit/>
          <w:trHeight w:val="227"/>
        </w:trPr>
        <w:tc>
          <w:tcPr>
            <w:tcW w:w="1134" w:type="dxa"/>
            <w:tcBorders>
              <w:top w:val="single" w:sz="4" w:space="0" w:color="auto"/>
            </w:tcBorders>
            <w:shd w:val="clear" w:color="auto" w:fill="auto"/>
            <w:noWrap/>
            <w:vAlign w:val="center"/>
            <w:hideMark/>
          </w:tcPr>
          <w:p w:rsidR="007157AE" w:rsidRPr="00D56C84" w:rsidRDefault="007157AE" w:rsidP="007C6A8D">
            <w:pPr>
              <w:pStyle w:val="TableText"/>
              <w:rPr>
                <w:lang w:eastAsia="en-AU"/>
              </w:rPr>
            </w:pPr>
            <w:r w:rsidRPr="00D56C84">
              <w:rPr>
                <w:lang w:eastAsia="en-AU"/>
              </w:rPr>
              <w:t>Darling Downs</w:t>
            </w:r>
          </w:p>
        </w:tc>
        <w:tc>
          <w:tcPr>
            <w:tcW w:w="5103" w:type="dxa"/>
            <w:tcBorders>
              <w:top w:val="single" w:sz="4" w:space="0" w:color="auto"/>
            </w:tcBorders>
            <w:shd w:val="clear" w:color="auto" w:fill="auto"/>
            <w:noWrap/>
            <w:vAlign w:val="center"/>
            <w:hideMark/>
          </w:tcPr>
          <w:p w:rsidR="007157AE" w:rsidRPr="00D56C84" w:rsidRDefault="007157AE" w:rsidP="007C6A8D">
            <w:pPr>
              <w:pStyle w:val="TableText"/>
              <w:rPr>
                <w:lang w:eastAsia="en-AU"/>
              </w:rPr>
            </w:pPr>
            <w:r w:rsidRPr="00D56C84">
              <w:rPr>
                <w:lang w:eastAsia="en-AU"/>
              </w:rPr>
              <w:t>Goondiwindi (R), Southern Downs (R), Toowoomba (R), Dalby (R)</w:t>
            </w:r>
          </w:p>
        </w:tc>
        <w:tc>
          <w:tcPr>
            <w:tcW w:w="1134" w:type="dxa"/>
            <w:tcBorders>
              <w:top w:val="single" w:sz="4" w:space="0" w:color="auto"/>
            </w:tcBorders>
            <w:vAlign w:val="center"/>
          </w:tcPr>
          <w:p w:rsidR="007157AE" w:rsidRPr="00D56C84" w:rsidRDefault="007157AE" w:rsidP="00A84BB4">
            <w:pPr>
              <w:pStyle w:val="TableText"/>
              <w:jc w:val="right"/>
              <w:rPr>
                <w:lang w:eastAsia="en-AU"/>
              </w:rPr>
            </w:pPr>
            <w:r w:rsidRPr="00D56C84">
              <w:rPr>
                <w:lang w:eastAsia="en-AU"/>
              </w:rPr>
              <w:t>237,211</w:t>
            </w:r>
          </w:p>
        </w:tc>
        <w:tc>
          <w:tcPr>
            <w:tcW w:w="1134" w:type="dxa"/>
            <w:tcBorders>
              <w:top w:val="single" w:sz="4" w:space="0" w:color="auto"/>
            </w:tcBorders>
            <w:vAlign w:val="center"/>
          </w:tcPr>
          <w:p w:rsidR="007157AE" w:rsidRPr="007157AE" w:rsidRDefault="007157AE" w:rsidP="007157AE">
            <w:pPr>
              <w:pStyle w:val="TableText"/>
              <w:jc w:val="right"/>
              <w:rPr>
                <w:lang w:eastAsia="en-AU"/>
              </w:rPr>
            </w:pPr>
            <w:r w:rsidRPr="007157AE">
              <w:rPr>
                <w:lang w:eastAsia="en-AU"/>
              </w:rPr>
              <w:t>1.7</w:t>
            </w:r>
          </w:p>
        </w:tc>
      </w:tr>
      <w:tr w:rsidR="007157AE" w:rsidRPr="00D56C84" w:rsidTr="007157AE">
        <w:trPr>
          <w:cantSplit/>
          <w:trHeight w:val="227"/>
        </w:trPr>
        <w:tc>
          <w:tcPr>
            <w:tcW w:w="1134" w:type="dxa"/>
            <w:shd w:val="clear" w:color="auto" w:fill="auto"/>
            <w:noWrap/>
            <w:vAlign w:val="center"/>
            <w:hideMark/>
          </w:tcPr>
          <w:p w:rsidR="007157AE" w:rsidRPr="00D56C84" w:rsidRDefault="007157AE" w:rsidP="007C6A8D">
            <w:pPr>
              <w:pStyle w:val="TableText"/>
              <w:rPr>
                <w:lang w:eastAsia="en-AU"/>
              </w:rPr>
            </w:pPr>
            <w:r w:rsidRPr="00D56C84">
              <w:rPr>
                <w:lang w:eastAsia="en-AU"/>
              </w:rPr>
              <w:t>Far North Queensland</w:t>
            </w:r>
          </w:p>
        </w:tc>
        <w:tc>
          <w:tcPr>
            <w:tcW w:w="5103" w:type="dxa"/>
            <w:shd w:val="clear" w:color="auto" w:fill="auto"/>
            <w:noWrap/>
            <w:vAlign w:val="center"/>
            <w:hideMark/>
          </w:tcPr>
          <w:p w:rsidR="007157AE" w:rsidRPr="00D56C84" w:rsidRDefault="007157AE" w:rsidP="007C6A8D">
            <w:pPr>
              <w:pStyle w:val="TableText"/>
              <w:rPr>
                <w:lang w:eastAsia="en-AU"/>
              </w:rPr>
            </w:pPr>
            <w:r w:rsidRPr="00D56C84">
              <w:rPr>
                <w:lang w:eastAsia="en-AU"/>
              </w:rPr>
              <w:t xml:space="preserve">Aurukun (S), Cairns (R), Cassowary Coast (R), Cook (S), Hope Vale (S), Kowanyama (S), Lockhart River (S), Mapoon (S), </w:t>
            </w:r>
            <w:proofErr w:type="spellStart"/>
            <w:r w:rsidRPr="00D56C84">
              <w:rPr>
                <w:lang w:eastAsia="en-AU"/>
              </w:rPr>
              <w:t>Napranum</w:t>
            </w:r>
            <w:proofErr w:type="spellEnd"/>
            <w:r w:rsidRPr="00D56C84">
              <w:rPr>
                <w:lang w:eastAsia="en-AU"/>
              </w:rPr>
              <w:t xml:space="preserve"> (S), Northern Peninsula Area (R), </w:t>
            </w:r>
            <w:proofErr w:type="spellStart"/>
            <w:r w:rsidRPr="00D56C84">
              <w:rPr>
                <w:lang w:eastAsia="en-AU"/>
              </w:rPr>
              <w:t>Pormpuraaw</w:t>
            </w:r>
            <w:proofErr w:type="spellEnd"/>
            <w:r w:rsidRPr="00D56C84">
              <w:rPr>
                <w:lang w:eastAsia="en-AU"/>
              </w:rPr>
              <w:t xml:space="preserve"> (S), Tablelands (R), Torres (S), Torres Strait Island (R), Weipa (T), </w:t>
            </w:r>
            <w:proofErr w:type="spellStart"/>
            <w:r w:rsidRPr="00D56C84">
              <w:rPr>
                <w:lang w:eastAsia="en-AU"/>
              </w:rPr>
              <w:t>Wujal</w:t>
            </w:r>
            <w:proofErr w:type="spellEnd"/>
            <w:r w:rsidRPr="00D56C84">
              <w:rPr>
                <w:lang w:eastAsia="en-AU"/>
              </w:rPr>
              <w:t xml:space="preserve"> </w:t>
            </w:r>
            <w:proofErr w:type="spellStart"/>
            <w:r w:rsidRPr="00D56C84">
              <w:rPr>
                <w:lang w:eastAsia="en-AU"/>
              </w:rPr>
              <w:t>Wujal</w:t>
            </w:r>
            <w:proofErr w:type="spellEnd"/>
            <w:r w:rsidRPr="00D56C84">
              <w:rPr>
                <w:lang w:eastAsia="en-AU"/>
              </w:rPr>
              <w:t xml:space="preserve"> (S), Yarrabah (S)</w:t>
            </w:r>
          </w:p>
        </w:tc>
        <w:tc>
          <w:tcPr>
            <w:tcW w:w="1134" w:type="dxa"/>
            <w:vAlign w:val="center"/>
          </w:tcPr>
          <w:p w:rsidR="007157AE" w:rsidRPr="00D56C84" w:rsidRDefault="007157AE" w:rsidP="00A84BB4">
            <w:pPr>
              <w:pStyle w:val="TableText"/>
              <w:jc w:val="right"/>
              <w:rPr>
                <w:lang w:eastAsia="en-AU"/>
              </w:rPr>
            </w:pPr>
            <w:r w:rsidRPr="00D56C84">
              <w:rPr>
                <w:lang w:eastAsia="en-AU"/>
              </w:rPr>
              <w:t>268,438</w:t>
            </w:r>
          </w:p>
        </w:tc>
        <w:tc>
          <w:tcPr>
            <w:tcW w:w="1134" w:type="dxa"/>
            <w:vAlign w:val="center"/>
          </w:tcPr>
          <w:p w:rsidR="007157AE" w:rsidRPr="007157AE" w:rsidRDefault="007157AE" w:rsidP="007157AE">
            <w:pPr>
              <w:pStyle w:val="TableText"/>
              <w:jc w:val="right"/>
              <w:rPr>
                <w:lang w:eastAsia="en-AU"/>
              </w:rPr>
            </w:pPr>
            <w:r w:rsidRPr="007157AE">
              <w:rPr>
                <w:lang w:eastAsia="en-AU"/>
              </w:rPr>
              <w:t>0.5</w:t>
            </w:r>
          </w:p>
        </w:tc>
      </w:tr>
      <w:tr w:rsidR="007157AE" w:rsidRPr="00D56C84" w:rsidTr="007157AE">
        <w:trPr>
          <w:cantSplit/>
          <w:trHeight w:val="227"/>
        </w:trPr>
        <w:tc>
          <w:tcPr>
            <w:tcW w:w="1134"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North Queensland</w:t>
            </w:r>
          </w:p>
        </w:tc>
        <w:tc>
          <w:tcPr>
            <w:tcW w:w="5103"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Burdekin (S), Charters Towers (R), Hinchinbrook (S), Palm Island (S), Townsville (C), Whitsunday (R)</w:t>
            </w:r>
          </w:p>
        </w:tc>
        <w:tc>
          <w:tcPr>
            <w:tcW w:w="1134" w:type="dxa"/>
            <w:tcBorders>
              <w:bottom w:val="single" w:sz="4" w:space="0" w:color="808080"/>
            </w:tcBorders>
            <w:vAlign w:val="center"/>
          </w:tcPr>
          <w:p w:rsidR="007157AE" w:rsidRPr="00D56C84" w:rsidRDefault="007157AE" w:rsidP="00A84BB4">
            <w:pPr>
              <w:pStyle w:val="TableText"/>
              <w:jc w:val="right"/>
              <w:rPr>
                <w:lang w:eastAsia="en-AU"/>
              </w:rPr>
            </w:pPr>
            <w:r w:rsidRPr="00D56C84">
              <w:rPr>
                <w:lang w:eastAsia="en-AU"/>
              </w:rPr>
              <w:t>261,535</w:t>
            </w:r>
          </w:p>
        </w:tc>
        <w:tc>
          <w:tcPr>
            <w:tcW w:w="1134" w:type="dxa"/>
            <w:tcBorders>
              <w:bottom w:val="single" w:sz="4" w:space="0" w:color="808080"/>
            </w:tcBorders>
            <w:vAlign w:val="center"/>
          </w:tcPr>
          <w:p w:rsidR="007157AE" w:rsidRPr="007157AE" w:rsidRDefault="007157AE" w:rsidP="007157AE">
            <w:pPr>
              <w:pStyle w:val="TableText"/>
              <w:jc w:val="right"/>
              <w:rPr>
                <w:lang w:eastAsia="en-AU"/>
              </w:rPr>
            </w:pPr>
            <w:r w:rsidRPr="007157AE">
              <w:rPr>
                <w:lang w:eastAsia="en-AU"/>
              </w:rPr>
              <w:t>1.1</w:t>
            </w:r>
          </w:p>
        </w:tc>
      </w:tr>
      <w:tr w:rsidR="007157AE" w:rsidRPr="00D56C84" w:rsidTr="007157AE">
        <w:trPr>
          <w:cantSplit/>
          <w:trHeight w:val="227"/>
        </w:trPr>
        <w:tc>
          <w:tcPr>
            <w:tcW w:w="1134" w:type="dxa"/>
            <w:tcBorders>
              <w:top w:val="single" w:sz="4" w:space="0" w:color="808080"/>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North West</w:t>
            </w:r>
          </w:p>
        </w:tc>
        <w:tc>
          <w:tcPr>
            <w:tcW w:w="5103" w:type="dxa"/>
            <w:tcBorders>
              <w:top w:val="single" w:sz="4" w:space="0" w:color="808080"/>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 xml:space="preserve">Burke (S), Carpentaria (S), Cloncurry (S), Croydon (S), Doomadgee (S), Etheridge (S), Flinders (S), </w:t>
            </w:r>
            <w:proofErr w:type="spellStart"/>
            <w:r w:rsidRPr="00D56C84">
              <w:rPr>
                <w:lang w:eastAsia="en-AU"/>
              </w:rPr>
              <w:t>McKinlay</w:t>
            </w:r>
            <w:proofErr w:type="spellEnd"/>
            <w:r w:rsidRPr="00D56C84">
              <w:rPr>
                <w:lang w:eastAsia="en-AU"/>
              </w:rPr>
              <w:t xml:space="preserve"> (S), Mornington (S), Mount Isa (C), Richmond (S)</w:t>
            </w:r>
          </w:p>
        </w:tc>
        <w:tc>
          <w:tcPr>
            <w:tcW w:w="1134" w:type="dxa"/>
            <w:tcBorders>
              <w:top w:val="single" w:sz="4" w:space="0" w:color="808080"/>
              <w:bottom w:val="single" w:sz="4" w:space="0" w:color="808080"/>
            </w:tcBorders>
            <w:vAlign w:val="center"/>
          </w:tcPr>
          <w:p w:rsidR="007157AE" w:rsidRPr="00D56C84" w:rsidRDefault="007157AE" w:rsidP="00A84BB4">
            <w:pPr>
              <w:pStyle w:val="TableText"/>
              <w:jc w:val="right"/>
              <w:rPr>
                <w:lang w:eastAsia="en-AU"/>
              </w:rPr>
            </w:pPr>
            <w:r w:rsidRPr="00D56C84">
              <w:rPr>
                <w:lang w:eastAsia="en-AU"/>
              </w:rPr>
              <w:t>35,191</w:t>
            </w:r>
          </w:p>
        </w:tc>
        <w:tc>
          <w:tcPr>
            <w:tcW w:w="1134" w:type="dxa"/>
            <w:tcBorders>
              <w:top w:val="single" w:sz="4" w:space="0" w:color="808080"/>
              <w:bottom w:val="single" w:sz="4" w:space="0" w:color="808080"/>
            </w:tcBorders>
            <w:vAlign w:val="center"/>
          </w:tcPr>
          <w:p w:rsidR="007157AE" w:rsidRPr="007157AE" w:rsidRDefault="007157AE" w:rsidP="007157AE">
            <w:pPr>
              <w:pStyle w:val="TableText"/>
              <w:jc w:val="right"/>
              <w:rPr>
                <w:lang w:eastAsia="en-AU"/>
              </w:rPr>
            </w:pPr>
            <w:r w:rsidRPr="007157AE">
              <w:rPr>
                <w:lang w:eastAsia="en-AU"/>
              </w:rPr>
              <w:t>0.1</w:t>
            </w:r>
          </w:p>
        </w:tc>
      </w:tr>
      <w:tr w:rsidR="007157AE" w:rsidRPr="00D56C84" w:rsidTr="007157AE">
        <w:trPr>
          <w:cantSplit/>
          <w:trHeight w:val="227"/>
        </w:trPr>
        <w:tc>
          <w:tcPr>
            <w:tcW w:w="1134" w:type="dxa"/>
            <w:tcBorders>
              <w:top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South East Queensland</w:t>
            </w:r>
          </w:p>
        </w:tc>
        <w:tc>
          <w:tcPr>
            <w:tcW w:w="5103" w:type="dxa"/>
            <w:tcBorders>
              <w:top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Brisbane (C), Gold Coast (C), Ipswich (C), Lockyer Valley (R), Logan (C), Moreton Bay (R), Redland (C), Scenic Rim (R), Somerset (R), Sunshine Coast (R)</w:t>
            </w:r>
          </w:p>
        </w:tc>
        <w:tc>
          <w:tcPr>
            <w:tcW w:w="1134" w:type="dxa"/>
            <w:tcBorders>
              <w:top w:val="single" w:sz="4" w:space="0" w:color="808080"/>
            </w:tcBorders>
            <w:vAlign w:val="center"/>
          </w:tcPr>
          <w:p w:rsidR="007157AE" w:rsidRPr="00D56C84" w:rsidRDefault="007157AE" w:rsidP="00A84BB4">
            <w:pPr>
              <w:pStyle w:val="TableText"/>
              <w:jc w:val="right"/>
              <w:rPr>
                <w:lang w:eastAsia="en-AU"/>
              </w:rPr>
            </w:pPr>
            <w:r w:rsidRPr="00D56C84">
              <w:rPr>
                <w:lang w:eastAsia="en-AU"/>
              </w:rPr>
              <w:t>2,937,502</w:t>
            </w:r>
          </w:p>
        </w:tc>
        <w:tc>
          <w:tcPr>
            <w:tcW w:w="1134" w:type="dxa"/>
            <w:tcBorders>
              <w:top w:val="single" w:sz="4" w:space="0" w:color="808080"/>
            </w:tcBorders>
            <w:vAlign w:val="center"/>
          </w:tcPr>
          <w:p w:rsidR="007157AE" w:rsidRPr="007157AE" w:rsidRDefault="007157AE" w:rsidP="007157AE">
            <w:pPr>
              <w:pStyle w:val="TableText"/>
              <w:jc w:val="right"/>
              <w:rPr>
                <w:lang w:eastAsia="en-AU"/>
              </w:rPr>
            </w:pPr>
            <w:r w:rsidRPr="007157AE">
              <w:rPr>
                <w:lang w:eastAsia="en-AU"/>
              </w:rPr>
              <w:t>7.5</w:t>
            </w:r>
          </w:p>
        </w:tc>
      </w:tr>
      <w:tr w:rsidR="007157AE" w:rsidRPr="00D56C84" w:rsidTr="007157AE">
        <w:trPr>
          <w:cantSplit/>
          <w:trHeight w:val="227"/>
        </w:trPr>
        <w:tc>
          <w:tcPr>
            <w:tcW w:w="1134"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South West</w:t>
            </w:r>
          </w:p>
        </w:tc>
        <w:tc>
          <w:tcPr>
            <w:tcW w:w="5103" w:type="dxa"/>
            <w:tcBorders>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 xml:space="preserve">Balonne (S), Bulloo (S), </w:t>
            </w:r>
            <w:proofErr w:type="spellStart"/>
            <w:r w:rsidRPr="00D56C84">
              <w:rPr>
                <w:lang w:eastAsia="en-AU"/>
              </w:rPr>
              <w:t>Murweh</w:t>
            </w:r>
            <w:proofErr w:type="spellEnd"/>
            <w:r w:rsidRPr="00D56C84">
              <w:rPr>
                <w:lang w:eastAsia="en-AU"/>
              </w:rPr>
              <w:t xml:space="preserve"> (S), Paroo (S), Quilpie (S), Roma (R)</w:t>
            </w:r>
          </w:p>
        </w:tc>
        <w:tc>
          <w:tcPr>
            <w:tcW w:w="1134" w:type="dxa"/>
            <w:tcBorders>
              <w:bottom w:val="single" w:sz="4" w:space="0" w:color="808080"/>
            </w:tcBorders>
            <w:vAlign w:val="center"/>
          </w:tcPr>
          <w:p w:rsidR="007157AE" w:rsidRPr="00D56C84" w:rsidRDefault="007157AE" w:rsidP="00A84BB4">
            <w:pPr>
              <w:pStyle w:val="TableText"/>
              <w:jc w:val="right"/>
              <w:rPr>
                <w:lang w:eastAsia="en-AU"/>
              </w:rPr>
            </w:pPr>
            <w:r w:rsidRPr="00D56C84">
              <w:rPr>
                <w:lang w:eastAsia="en-AU"/>
              </w:rPr>
              <w:t>26,277</w:t>
            </w:r>
          </w:p>
        </w:tc>
        <w:tc>
          <w:tcPr>
            <w:tcW w:w="1134" w:type="dxa"/>
            <w:tcBorders>
              <w:bottom w:val="single" w:sz="4" w:space="0" w:color="808080"/>
            </w:tcBorders>
            <w:vAlign w:val="center"/>
          </w:tcPr>
          <w:p w:rsidR="007157AE" w:rsidRPr="007157AE" w:rsidRDefault="007157AE" w:rsidP="007157AE">
            <w:pPr>
              <w:pStyle w:val="TableText"/>
              <w:jc w:val="right"/>
              <w:rPr>
                <w:lang w:eastAsia="en-AU"/>
              </w:rPr>
            </w:pPr>
            <w:r w:rsidRPr="007157AE">
              <w:rPr>
                <w:lang w:eastAsia="en-AU"/>
              </w:rPr>
              <w:t>0.1</w:t>
            </w:r>
          </w:p>
        </w:tc>
      </w:tr>
      <w:tr w:rsidR="007157AE" w:rsidRPr="00D56C84" w:rsidTr="007157AE">
        <w:trPr>
          <w:cantSplit/>
          <w:trHeight w:val="227"/>
        </w:trPr>
        <w:tc>
          <w:tcPr>
            <w:tcW w:w="1134" w:type="dxa"/>
            <w:tcBorders>
              <w:top w:val="single" w:sz="4" w:space="0" w:color="808080"/>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Wide Bay-Burnett</w:t>
            </w:r>
          </w:p>
        </w:tc>
        <w:tc>
          <w:tcPr>
            <w:tcW w:w="5103" w:type="dxa"/>
            <w:tcBorders>
              <w:top w:val="single" w:sz="4" w:space="0" w:color="808080"/>
              <w:bottom w:val="single" w:sz="4" w:space="0" w:color="808080"/>
            </w:tcBorders>
            <w:shd w:val="clear" w:color="auto" w:fill="auto"/>
            <w:noWrap/>
            <w:vAlign w:val="center"/>
            <w:hideMark/>
          </w:tcPr>
          <w:p w:rsidR="007157AE" w:rsidRPr="00D56C84" w:rsidRDefault="007157AE" w:rsidP="007C6A8D">
            <w:pPr>
              <w:pStyle w:val="TableText"/>
              <w:rPr>
                <w:lang w:eastAsia="en-AU"/>
              </w:rPr>
            </w:pPr>
            <w:r w:rsidRPr="00D56C84">
              <w:rPr>
                <w:lang w:eastAsia="en-AU"/>
              </w:rPr>
              <w:t>Banana (S), Bundaberg (R), Cherbourg (S), Fraser Coast (R), Gympie (R), North Burnett (R), South Burnett (R)</w:t>
            </w:r>
          </w:p>
        </w:tc>
        <w:tc>
          <w:tcPr>
            <w:tcW w:w="1134" w:type="dxa"/>
            <w:tcBorders>
              <w:top w:val="single" w:sz="4" w:space="0" w:color="808080"/>
              <w:bottom w:val="single" w:sz="4" w:space="0" w:color="808080"/>
            </w:tcBorders>
            <w:vAlign w:val="center"/>
          </w:tcPr>
          <w:p w:rsidR="007157AE" w:rsidRPr="00D56C84" w:rsidRDefault="007157AE" w:rsidP="00A84BB4">
            <w:pPr>
              <w:pStyle w:val="TableText"/>
              <w:jc w:val="right"/>
              <w:rPr>
                <w:lang w:eastAsia="en-AU"/>
              </w:rPr>
            </w:pPr>
            <w:r w:rsidRPr="00D56C84">
              <w:rPr>
                <w:lang w:eastAsia="en-AU"/>
              </w:rPr>
              <w:t>303,022</w:t>
            </w:r>
          </w:p>
        </w:tc>
        <w:tc>
          <w:tcPr>
            <w:tcW w:w="1134" w:type="dxa"/>
            <w:tcBorders>
              <w:top w:val="single" w:sz="4" w:space="0" w:color="808080"/>
              <w:bottom w:val="single" w:sz="4" w:space="0" w:color="808080"/>
            </w:tcBorders>
            <w:vAlign w:val="center"/>
          </w:tcPr>
          <w:p w:rsidR="007157AE" w:rsidRPr="007157AE" w:rsidRDefault="007157AE" w:rsidP="007157AE">
            <w:pPr>
              <w:pStyle w:val="TableText"/>
              <w:jc w:val="right"/>
              <w:rPr>
                <w:lang w:eastAsia="en-AU"/>
              </w:rPr>
            </w:pPr>
            <w:r w:rsidRPr="007157AE">
              <w:rPr>
                <w:lang w:eastAsia="en-AU"/>
              </w:rPr>
              <w:t>1.3</w:t>
            </w:r>
          </w:p>
        </w:tc>
      </w:tr>
    </w:tbl>
    <w:p w:rsidR="00AE087B" w:rsidRPr="00D56C84" w:rsidRDefault="00AE087B" w:rsidP="0077687F">
      <w:pPr>
        <w:pStyle w:val="Heading2"/>
      </w:pPr>
      <w:bookmarkStart w:id="75" w:name="_Toc307470441"/>
      <w:r w:rsidRPr="00D56C84">
        <w:lastRenderedPageBreak/>
        <w:t>Information pathways</w:t>
      </w:r>
      <w:r w:rsidR="00085D2C" w:rsidRPr="00085D2C">
        <w:t xml:space="preserve"> </w:t>
      </w:r>
      <w:r w:rsidR="00085D2C">
        <w:t>in Queensland</w:t>
      </w:r>
      <w:bookmarkEnd w:id="75"/>
    </w:p>
    <w:p w:rsidR="004D0A0A" w:rsidRPr="00D56C84" w:rsidRDefault="00C239C8" w:rsidP="00D52723">
      <w:pPr>
        <w:pStyle w:val="ParaIndent"/>
        <w:jc w:val="both"/>
      </w:pPr>
      <w:r w:rsidRPr="00D56C84">
        <w:t xml:space="preserve">The City of Brisbane published data on the diversion rate and amount </w:t>
      </w:r>
      <w:r w:rsidR="004D0A0A" w:rsidRPr="00D56C84">
        <w:t>to</w:t>
      </w:r>
      <w:r w:rsidRPr="00D56C84">
        <w:t xml:space="preserve"> landfill, co-mingled recycling and organic rec</w:t>
      </w:r>
      <w:r w:rsidR="004D0A0A" w:rsidRPr="00D56C84">
        <w:t xml:space="preserve">ycling from kerbside collection in </w:t>
      </w:r>
      <w:r w:rsidR="004D0A0A" w:rsidRPr="00D56C84">
        <w:rPr>
          <w:i/>
        </w:rPr>
        <w:t>Towards Zero Waste – Waste Minimisation Strategy 2009</w:t>
      </w:r>
      <w:r w:rsidR="002A3E9B">
        <w:rPr>
          <w:i/>
        </w:rPr>
        <w:t>–</w:t>
      </w:r>
      <w:r w:rsidR="004D0A0A" w:rsidRPr="00D56C84">
        <w:rPr>
          <w:i/>
        </w:rPr>
        <w:t>2026</w:t>
      </w:r>
      <w:r w:rsidR="004D0A0A" w:rsidRPr="00D56C84">
        <w:t xml:space="preserve">. </w:t>
      </w:r>
    </w:p>
    <w:p w:rsidR="00C232CD" w:rsidRPr="00D56C84" w:rsidRDefault="00464F70" w:rsidP="00D52723">
      <w:pPr>
        <w:pStyle w:val="ParaIndent"/>
        <w:jc w:val="both"/>
      </w:pPr>
      <w:r w:rsidRPr="00D56C84">
        <w:t>Data on the amount of municipal waste landfilled and recycled</w:t>
      </w:r>
      <w:r w:rsidR="004D0A0A" w:rsidRPr="00D56C84">
        <w:t xml:space="preserve"> throughout the state</w:t>
      </w:r>
      <w:r w:rsidRPr="00D56C84">
        <w:t xml:space="preserve"> was last published in </w:t>
      </w:r>
      <w:r w:rsidRPr="00D56C84">
        <w:rPr>
          <w:i/>
        </w:rPr>
        <w:t xml:space="preserve">The </w:t>
      </w:r>
      <w:r w:rsidR="004D0A0A" w:rsidRPr="00D56C84">
        <w:rPr>
          <w:i/>
        </w:rPr>
        <w:t>S</w:t>
      </w:r>
      <w:r w:rsidRPr="00D56C84">
        <w:rPr>
          <w:i/>
        </w:rPr>
        <w:t xml:space="preserve">tate of </w:t>
      </w:r>
      <w:r w:rsidR="004D0A0A" w:rsidRPr="00D56C84">
        <w:rPr>
          <w:i/>
        </w:rPr>
        <w:t>Waste and R</w:t>
      </w:r>
      <w:r w:rsidRPr="00D56C84">
        <w:rPr>
          <w:i/>
        </w:rPr>
        <w:t>ecycling in Queensland 2008 Technical Report</w:t>
      </w:r>
      <w:r w:rsidRPr="00D56C84">
        <w:t>.</w:t>
      </w:r>
      <w:r w:rsidR="00C232CD" w:rsidRPr="00D56C84">
        <w:t xml:space="preserve"> </w:t>
      </w:r>
    </w:p>
    <w:p w:rsidR="00607C4B" w:rsidRPr="00D56C84" w:rsidRDefault="00607C4B" w:rsidP="00607C4B">
      <w:pPr>
        <w:pStyle w:val="Heading3"/>
      </w:pPr>
      <w:r w:rsidRPr="00D56C84">
        <w:t>Annual Waste and Recycling Survey</w:t>
      </w:r>
    </w:p>
    <w:p w:rsidR="00607C4B" w:rsidRPr="00D56C84" w:rsidRDefault="00607C4B" w:rsidP="00D52723">
      <w:pPr>
        <w:ind w:left="1134"/>
        <w:jc w:val="both"/>
        <w:rPr>
          <w:rFonts w:ascii="ArialMT" w:hAnsi="ArialMT" w:cs="ArialMT"/>
          <w:lang w:eastAsia="en-AU"/>
        </w:rPr>
      </w:pPr>
      <w:r w:rsidRPr="00D56C84">
        <w:rPr>
          <w:rFonts w:cs="Arial"/>
          <w:color w:val="000000"/>
        </w:rPr>
        <w:t xml:space="preserve">The Department of Environment and Resource Management (DERM) conducts an annual </w:t>
      </w:r>
      <w:r w:rsidRPr="00D56C84">
        <w:rPr>
          <w:rFonts w:ascii="ArialMT" w:hAnsi="ArialMT" w:cs="ArialMT"/>
          <w:lang w:eastAsia="en-AU"/>
        </w:rPr>
        <w:t>Waste and Recycling Survey, which aims to provide a comprehensive assessment of local government waste and recycling activities and performance. Data is collected on a wide range of aspects including, but not limited to:</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Collections offered and frequencies</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Number of properties serviced</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Amount of waste, recycling, green</w:t>
      </w:r>
      <w:r w:rsidR="00D52723">
        <w:rPr>
          <w:sz w:val="18"/>
          <w:szCs w:val="18"/>
        </w:rPr>
        <w:t xml:space="preserve"> </w:t>
      </w:r>
      <w:r w:rsidRPr="00D56C84">
        <w:rPr>
          <w:sz w:val="18"/>
          <w:szCs w:val="18"/>
        </w:rPr>
        <w:t xml:space="preserve">waste collected </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Amount of material reprocessed or recovered</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Street and public waste collections</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Litter and illegal dumping</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Reprocessing/ recovery methods and facilities</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Average annual waste management costs and fees</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Cross boundary waste movements</w:t>
      </w:r>
    </w:p>
    <w:p w:rsidR="00607C4B" w:rsidRPr="00D56C84" w:rsidRDefault="00607C4B" w:rsidP="00D52723">
      <w:pPr>
        <w:pStyle w:val="ParaIndent"/>
        <w:keepNext/>
        <w:numPr>
          <w:ilvl w:val="0"/>
          <w:numId w:val="29"/>
        </w:numPr>
        <w:spacing w:after="60"/>
        <w:ind w:left="1985" w:hanging="284"/>
        <w:jc w:val="both"/>
        <w:rPr>
          <w:sz w:val="18"/>
          <w:szCs w:val="18"/>
        </w:rPr>
      </w:pPr>
      <w:r w:rsidRPr="00D56C84">
        <w:rPr>
          <w:sz w:val="18"/>
          <w:szCs w:val="18"/>
        </w:rPr>
        <w:t>Waste management initiatives</w:t>
      </w:r>
      <w:r w:rsidR="002A3E9B">
        <w:rPr>
          <w:sz w:val="18"/>
          <w:szCs w:val="18"/>
        </w:rPr>
        <w:t>.</w:t>
      </w:r>
    </w:p>
    <w:p w:rsidR="00607C4B" w:rsidRPr="00D56C84" w:rsidRDefault="00B85FC3" w:rsidP="00D52723">
      <w:pPr>
        <w:ind w:left="1134"/>
        <w:jc w:val="both"/>
      </w:pPr>
      <w:r w:rsidRPr="00D56C84">
        <w:t>Councils are required,</w:t>
      </w:r>
      <w:r w:rsidR="00607C4B" w:rsidRPr="00D56C84">
        <w:t xml:space="preserve"> by legislation</w:t>
      </w:r>
      <w:r w:rsidRPr="00D56C84">
        <w:t>, to respond to the survey</w:t>
      </w:r>
      <w:r w:rsidR="00607C4B" w:rsidRPr="00D56C84">
        <w:t>, a</w:t>
      </w:r>
      <w:r w:rsidR="00607C4B" w:rsidRPr="00D56C84">
        <w:rPr>
          <w:rFonts w:ascii="ArialMT" w:hAnsi="ArialMT" w:cs="ArialMT"/>
          <w:lang w:eastAsia="en-AU"/>
        </w:rPr>
        <w:t xml:space="preserve"> copy of </w:t>
      </w:r>
      <w:r w:rsidRPr="00D56C84">
        <w:rPr>
          <w:rFonts w:ascii="ArialMT" w:hAnsi="ArialMT" w:cs="ArialMT"/>
          <w:lang w:eastAsia="en-AU"/>
        </w:rPr>
        <w:t>which</w:t>
      </w:r>
      <w:r w:rsidR="00607C4B" w:rsidRPr="00D56C84">
        <w:rPr>
          <w:rFonts w:ascii="ArialMT" w:hAnsi="ArialMT" w:cs="ArialMT"/>
          <w:lang w:eastAsia="en-AU"/>
        </w:rPr>
        <w:t xml:space="preserve"> is appended. </w:t>
      </w:r>
      <w:r w:rsidR="00607C4B" w:rsidRPr="00D56C84">
        <w:rPr>
          <w:rFonts w:cs="Arial"/>
          <w:color w:val="000000"/>
        </w:rPr>
        <w:t xml:space="preserve">Selected data, related mainly to the level of services offered by councils, as well as the amount of municipal waste landfilled and recycled throughout the state, was last published in </w:t>
      </w:r>
      <w:r w:rsidR="00607C4B" w:rsidRPr="00D56C84">
        <w:rPr>
          <w:rFonts w:cs="Arial"/>
          <w:i/>
          <w:color w:val="000000"/>
        </w:rPr>
        <w:t>The State of Waste and Recycling in Queensland 2008 Technical Report.</w:t>
      </w:r>
    </w:p>
    <w:p w:rsidR="007C0C37" w:rsidRPr="00E94173" w:rsidRDefault="00F33463" w:rsidP="00D52723">
      <w:pPr>
        <w:ind w:left="1134"/>
        <w:jc w:val="both"/>
      </w:pPr>
      <w:r w:rsidRPr="00F33463">
        <w:t>DERM performs limited verification of the information supplied by councils. The report states:</w:t>
      </w:r>
    </w:p>
    <w:p w:rsidR="007C0C37" w:rsidRPr="00E94173" w:rsidRDefault="00F33463" w:rsidP="00D52723">
      <w:pPr>
        <w:pStyle w:val="ParaIndent"/>
        <w:ind w:left="1701"/>
        <w:jc w:val="both"/>
        <w:rPr>
          <w:sz w:val="18"/>
        </w:rPr>
      </w:pPr>
      <w:r w:rsidRPr="00F33463">
        <w:rPr>
          <w:sz w:val="18"/>
        </w:rPr>
        <w:t>While it was not possible for DERM to determine the accuracy of all of the data provided by councils and private sector operators, it was possible to compare some council data on a per capita basis, to compare like-sized and similarly situated councils, and to compare 2008 data with data provided in previous years.</w:t>
      </w:r>
    </w:p>
    <w:p w:rsidR="001F4F2D" w:rsidRPr="00D56C84" w:rsidRDefault="001F4F2D" w:rsidP="001F4F2D">
      <w:pPr>
        <w:pStyle w:val="Heading3"/>
      </w:pPr>
      <w:r w:rsidRPr="00D56C84">
        <w:t>Queensland Local Government Grants Commission</w:t>
      </w:r>
    </w:p>
    <w:p w:rsidR="001F4F2D" w:rsidRPr="00D56C84" w:rsidRDefault="001F4F2D" w:rsidP="00D52723">
      <w:pPr>
        <w:pStyle w:val="ParaIndent"/>
        <w:keepNext/>
        <w:spacing w:after="60"/>
        <w:jc w:val="both"/>
      </w:pPr>
      <w:r w:rsidRPr="00D56C84">
        <w:t xml:space="preserve">The Queensland Local Government Grants Commission (LGGC) methodology for allocating general purpose grants under the </w:t>
      </w:r>
      <w:r w:rsidRPr="0077687F">
        <w:rPr>
          <w:i/>
        </w:rPr>
        <w:t>Federal Local Government (Financial Assistance) Act 1995</w:t>
      </w:r>
      <w:r w:rsidRPr="00D56C84">
        <w:t xml:space="preserve"> is summarised in the LGGC’s 2010 Report. It includes six stages within the context of the National Principles, being:</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Determine the state-wide revenue-raising and expenditure need averages</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Assess Council revenue and expenditure by multiplying state averages by Council variables that the Commission believes drives revenue/costs in that category (e.g. population, property data and road lengths)</w:t>
      </w:r>
    </w:p>
    <w:p w:rsidR="001F4F2D" w:rsidRPr="00D56C84" w:rsidRDefault="001F4F2D" w:rsidP="00D52723">
      <w:pPr>
        <w:pStyle w:val="ParaIndent"/>
        <w:numPr>
          <w:ilvl w:val="0"/>
          <w:numId w:val="29"/>
        </w:numPr>
        <w:spacing w:after="60"/>
        <w:ind w:left="1985" w:hanging="284"/>
        <w:jc w:val="both"/>
        <w:rPr>
          <w:sz w:val="18"/>
          <w:szCs w:val="18"/>
        </w:rPr>
      </w:pPr>
      <w:r w:rsidRPr="00D56C84">
        <w:rPr>
          <w:sz w:val="18"/>
          <w:szCs w:val="18"/>
        </w:rPr>
        <w:t>Apply revenue/cost adjustors to assessed revenue/expenditure needs</w:t>
      </w:r>
    </w:p>
    <w:p w:rsidR="001F4F2D" w:rsidRPr="00D56C84" w:rsidRDefault="001F4F2D" w:rsidP="00D52723">
      <w:pPr>
        <w:pStyle w:val="ParaIndent"/>
        <w:numPr>
          <w:ilvl w:val="0"/>
          <w:numId w:val="29"/>
        </w:numPr>
        <w:spacing w:after="60"/>
        <w:ind w:left="1985" w:hanging="284"/>
        <w:jc w:val="both"/>
        <w:rPr>
          <w:sz w:val="18"/>
          <w:szCs w:val="18"/>
        </w:rPr>
      </w:pPr>
      <w:r w:rsidRPr="00D56C84">
        <w:rPr>
          <w:sz w:val="18"/>
          <w:szCs w:val="18"/>
        </w:rPr>
        <w:t>Determine relative Council need</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lastRenderedPageBreak/>
        <w:t>Allocate funds</w:t>
      </w:r>
    </w:p>
    <w:p w:rsidR="001F4F2D" w:rsidRPr="00D56C84" w:rsidRDefault="001F4F2D" w:rsidP="00D52723">
      <w:pPr>
        <w:pStyle w:val="ParaIndent"/>
        <w:keepNext/>
        <w:numPr>
          <w:ilvl w:val="0"/>
          <w:numId w:val="29"/>
        </w:numPr>
        <w:ind w:left="1985" w:hanging="284"/>
        <w:jc w:val="both"/>
        <w:rPr>
          <w:sz w:val="18"/>
          <w:szCs w:val="18"/>
        </w:rPr>
      </w:pPr>
      <w:r w:rsidRPr="00D56C84">
        <w:rPr>
          <w:sz w:val="18"/>
          <w:szCs w:val="18"/>
        </w:rPr>
        <w:t>Perform an averaging step to moderate extremes in Financial Assistance Grant outcomes for similar Councils</w:t>
      </w:r>
      <w:r w:rsidR="002A3E9B">
        <w:rPr>
          <w:sz w:val="18"/>
          <w:szCs w:val="18"/>
        </w:rPr>
        <w:t>.</w:t>
      </w:r>
    </w:p>
    <w:p w:rsidR="001F4F2D" w:rsidRPr="00D56C84" w:rsidRDefault="001F4F2D" w:rsidP="00D52723">
      <w:pPr>
        <w:pStyle w:val="ParaIndent"/>
        <w:jc w:val="both"/>
      </w:pPr>
      <w:r w:rsidRPr="00D56C84">
        <w:t xml:space="preserve">The determination of revenue for </w:t>
      </w:r>
      <w:r w:rsidR="00C42EE9">
        <w:t>c</w:t>
      </w:r>
      <w:r w:rsidRPr="00D56C84">
        <w:t>ouncils includes addressing four revenue categories, one of which is ‘Garbage charges’. The 2010 Report provides the following units of measure in assessing the garbage charges revenue category (</w:t>
      </w:r>
      <w:fldSimple w:instr=" REF _Ref297116226 \h  \* MERGEFORMAT ">
        <w:r w:rsidR="00166111" w:rsidRPr="00D56C84">
          <w:t xml:space="preserve">Table </w:t>
        </w:r>
        <w:r w:rsidR="00166111">
          <w:rPr>
            <w:noProof/>
          </w:rPr>
          <w:t>8</w:t>
        </w:r>
        <w:r w:rsidR="00166111" w:rsidRPr="00D56C84">
          <w:rPr>
            <w:noProof/>
          </w:rPr>
          <w:t>-</w:t>
        </w:r>
        <w:r w:rsidR="00166111">
          <w:rPr>
            <w:noProof/>
          </w:rPr>
          <w:t>21</w:t>
        </w:r>
      </w:fldSimple>
      <w:r w:rsidRPr="00D56C84">
        <w:t>).</w:t>
      </w:r>
    </w:p>
    <w:p w:rsidR="001F4F2D" w:rsidRPr="00D56C84" w:rsidRDefault="001F4F2D" w:rsidP="001F4F2D">
      <w:pPr>
        <w:pStyle w:val="Caption"/>
      </w:pPr>
      <w:bookmarkStart w:id="76" w:name="_Ref297116226"/>
      <w:r w:rsidRPr="00D56C84">
        <w:t xml:space="preserve">Table </w:t>
      </w:r>
      <w:r w:rsidR="00ED6CA0">
        <w:fldChar w:fldCharType="begin"/>
      </w:r>
      <w:r w:rsidR="006D5406">
        <w:instrText xml:space="preserve"> STYLEREF "_Heading1" \n </w:instrText>
      </w:r>
      <w:r w:rsidR="00ED6CA0">
        <w:fldChar w:fldCharType="separate"/>
      </w:r>
      <w:r w:rsidR="00166111">
        <w:rPr>
          <w:noProof/>
        </w:rPr>
        <w:t>8</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21</w:t>
      </w:r>
      <w:r w:rsidR="00ED6CA0">
        <w:rPr>
          <w:noProof/>
        </w:rPr>
        <w:fldChar w:fldCharType="end"/>
      </w:r>
      <w:bookmarkEnd w:id="76"/>
      <w:r w:rsidRPr="00D56C84">
        <w:tab/>
        <w:t xml:space="preserve">Revenue category and units of measure </w:t>
      </w:r>
    </w:p>
    <w:tbl>
      <w:tblPr>
        <w:tblStyle w:val="TableGrid"/>
        <w:tblW w:w="8505" w:type="dxa"/>
        <w:tblInd w:w="1134" w:type="dxa"/>
        <w:tblBorders>
          <w:top w:val="none" w:sz="0" w:space="0" w:color="auto"/>
          <w:left w:val="none" w:sz="0" w:space="0" w:color="auto"/>
          <w:bottom w:val="single" w:sz="4"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2835"/>
        <w:gridCol w:w="2835"/>
        <w:gridCol w:w="2835"/>
      </w:tblGrid>
      <w:tr w:rsidR="001F4F2D" w:rsidRPr="00D56C84" w:rsidTr="00FF7720">
        <w:tc>
          <w:tcPr>
            <w:tcW w:w="2835" w:type="dxa"/>
            <w:shd w:val="clear" w:color="auto" w:fill="auto"/>
            <w:vAlign w:val="center"/>
          </w:tcPr>
          <w:p w:rsidR="001F4F2D" w:rsidRPr="00D56C84" w:rsidRDefault="001F4F2D" w:rsidP="00FF7720">
            <w:pPr>
              <w:pStyle w:val="TableHeading"/>
            </w:pPr>
            <w:r w:rsidRPr="00D56C84">
              <w:t>Revenue category</w:t>
            </w:r>
          </w:p>
        </w:tc>
        <w:tc>
          <w:tcPr>
            <w:tcW w:w="2835" w:type="dxa"/>
            <w:shd w:val="clear" w:color="auto" w:fill="auto"/>
            <w:vAlign w:val="center"/>
          </w:tcPr>
          <w:p w:rsidR="001F4F2D" w:rsidRPr="00D56C84" w:rsidRDefault="001F4F2D" w:rsidP="00FF7720">
            <w:pPr>
              <w:pStyle w:val="TableHeading"/>
            </w:pPr>
            <w:r w:rsidRPr="00D56C84">
              <w:t>Revenue driver</w:t>
            </w:r>
          </w:p>
        </w:tc>
        <w:tc>
          <w:tcPr>
            <w:tcW w:w="2835" w:type="dxa"/>
            <w:shd w:val="clear" w:color="auto" w:fill="auto"/>
            <w:vAlign w:val="center"/>
          </w:tcPr>
          <w:p w:rsidR="001F4F2D" w:rsidRPr="00D56C84" w:rsidRDefault="001F4F2D" w:rsidP="00FF7720">
            <w:pPr>
              <w:pStyle w:val="TableHeading"/>
            </w:pPr>
            <w:r w:rsidRPr="00D56C84">
              <w:t>Unit of measure (state average)</w:t>
            </w:r>
          </w:p>
        </w:tc>
      </w:tr>
      <w:tr w:rsidR="001F4F2D" w:rsidRPr="00D56C84" w:rsidTr="00FF7720">
        <w:tc>
          <w:tcPr>
            <w:tcW w:w="2835" w:type="dxa"/>
            <w:shd w:val="clear" w:color="auto" w:fill="auto"/>
          </w:tcPr>
          <w:p w:rsidR="001F4F2D" w:rsidRPr="00D56C84" w:rsidRDefault="001F4F2D" w:rsidP="00FF7720">
            <w:pPr>
              <w:pStyle w:val="TableText"/>
            </w:pPr>
            <w:r w:rsidRPr="00D56C84">
              <w:t>Garbage charges</w:t>
            </w:r>
          </w:p>
        </w:tc>
        <w:tc>
          <w:tcPr>
            <w:tcW w:w="2835" w:type="dxa"/>
            <w:shd w:val="clear" w:color="auto" w:fill="auto"/>
          </w:tcPr>
          <w:p w:rsidR="001F4F2D" w:rsidRPr="00D56C84" w:rsidRDefault="001F4F2D" w:rsidP="00FF7720">
            <w:pPr>
              <w:pStyle w:val="TableText"/>
            </w:pPr>
            <w:r w:rsidRPr="00D56C84">
              <w:t>Occupied urban properties</w:t>
            </w:r>
          </w:p>
        </w:tc>
        <w:tc>
          <w:tcPr>
            <w:tcW w:w="2835" w:type="dxa"/>
            <w:shd w:val="clear" w:color="auto" w:fill="auto"/>
          </w:tcPr>
          <w:p w:rsidR="001F4F2D" w:rsidRPr="00D56C84" w:rsidRDefault="001F4F2D" w:rsidP="00FF7720">
            <w:pPr>
              <w:pStyle w:val="TableText"/>
            </w:pPr>
            <w:r w:rsidRPr="00D56C84">
              <w:rPr>
                <w:rFonts w:cs="Arial"/>
                <w:szCs w:val="18"/>
                <w:lang w:eastAsia="en-AU"/>
              </w:rPr>
              <w:t>$419.80/ occupied residential property</w:t>
            </w:r>
          </w:p>
        </w:tc>
      </w:tr>
    </w:tbl>
    <w:p w:rsidR="001F4F2D" w:rsidRPr="00D56C84" w:rsidRDefault="001F4F2D" w:rsidP="001F4F2D">
      <w:pPr>
        <w:spacing w:after="0"/>
        <w:ind w:left="1134"/>
        <w:rPr>
          <w:rFonts w:cs="Arial"/>
          <w:lang w:eastAsia="en-AU"/>
        </w:rPr>
      </w:pPr>
    </w:p>
    <w:p w:rsidR="001F4F2D" w:rsidRPr="00D56C84" w:rsidRDefault="001F4F2D" w:rsidP="00D52723">
      <w:pPr>
        <w:pStyle w:val="ParaIndent"/>
        <w:keepNext/>
        <w:spacing w:after="60"/>
        <w:jc w:val="both"/>
      </w:pPr>
      <w:r w:rsidRPr="00D56C84">
        <w:t>The 2010 Report acknowledges that:</w:t>
      </w:r>
    </w:p>
    <w:p w:rsidR="001F4F2D" w:rsidRPr="00D56C84" w:rsidRDefault="001F4F2D" w:rsidP="00D52723">
      <w:pPr>
        <w:pStyle w:val="ParaIndent"/>
        <w:ind w:left="1701"/>
        <w:jc w:val="both"/>
        <w:rPr>
          <w:sz w:val="18"/>
          <w:szCs w:val="18"/>
        </w:rPr>
      </w:pPr>
      <w:r w:rsidRPr="00D56C84">
        <w:rPr>
          <w:sz w:val="18"/>
          <w:szCs w:val="18"/>
        </w:rPr>
        <w:t>While waste expenditure is considered by the Commission to be driven by population, waste revenue is assigned to Councils per occupied urban property.</w:t>
      </w:r>
    </w:p>
    <w:p w:rsidR="001F4F2D" w:rsidRPr="00D56C84" w:rsidRDefault="001F4F2D" w:rsidP="00D52723">
      <w:pPr>
        <w:pStyle w:val="ParaIndent"/>
        <w:jc w:val="both"/>
      </w:pPr>
      <w:r w:rsidRPr="00D56C84">
        <w:t xml:space="preserve">In assessing local government expenditure the LGGC has eight non-road focused categories, one of which is ‘garbage (waste) and recycling’. As with some other </w:t>
      </w:r>
      <w:r w:rsidR="000B5361" w:rsidRPr="00D56C84">
        <w:t>s</w:t>
      </w:r>
      <w:r w:rsidRPr="00D56C84">
        <w:t>tates, cost adjusters are applied to this service expenditure category. An outline of the expenditure calculation for garbage (waste) and recycling the 2010</w:t>
      </w:r>
      <w:r w:rsidR="002A3E9B">
        <w:t>–</w:t>
      </w:r>
      <w:r w:rsidRPr="00D56C84">
        <w:t>11 unit of measure that has been applied is ‘$95.46 per urban capita’.</w:t>
      </w:r>
    </w:p>
    <w:p w:rsidR="001F4F2D" w:rsidRPr="00D56C84" w:rsidRDefault="001F4F2D" w:rsidP="00D52723">
      <w:pPr>
        <w:pStyle w:val="ParaIndent"/>
        <w:keepNext/>
        <w:spacing w:after="60"/>
        <w:jc w:val="both"/>
      </w:pPr>
      <w:r w:rsidRPr="00D56C84">
        <w:t>Five cost adjustors are applied, being:</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Location</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Dispersion</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Scale</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Tourism</w:t>
      </w:r>
    </w:p>
    <w:p w:rsidR="001F4F2D" w:rsidRPr="00D56C84" w:rsidRDefault="001F4F2D" w:rsidP="00D52723">
      <w:pPr>
        <w:pStyle w:val="ParaIndent"/>
        <w:keepNext/>
        <w:numPr>
          <w:ilvl w:val="0"/>
          <w:numId w:val="29"/>
        </w:numPr>
        <w:spacing w:after="60"/>
        <w:ind w:left="1985" w:hanging="284"/>
        <w:jc w:val="both"/>
        <w:rPr>
          <w:sz w:val="18"/>
          <w:szCs w:val="18"/>
        </w:rPr>
      </w:pPr>
      <w:r w:rsidRPr="00D56C84">
        <w:rPr>
          <w:sz w:val="18"/>
          <w:szCs w:val="18"/>
        </w:rPr>
        <w:t>Non-resident service expenditure</w:t>
      </w:r>
      <w:r w:rsidR="002A3E9B">
        <w:rPr>
          <w:sz w:val="18"/>
          <w:szCs w:val="18"/>
        </w:rPr>
        <w:t>.</w:t>
      </w:r>
    </w:p>
    <w:p w:rsidR="001F4F2D" w:rsidRPr="00D56C84" w:rsidRDefault="001F4F2D" w:rsidP="00D52723">
      <w:pPr>
        <w:pStyle w:val="ParaIndent"/>
        <w:jc w:val="both"/>
        <w:rPr>
          <w:rFonts w:cs="Arial"/>
          <w:lang w:eastAsia="en-AU"/>
        </w:rPr>
      </w:pPr>
      <w:r w:rsidRPr="00D56C84">
        <w:t>The</w:t>
      </w:r>
      <w:r w:rsidRPr="00D56C84">
        <w:rPr>
          <w:rFonts w:cs="Arial"/>
          <w:lang w:eastAsia="en-AU"/>
        </w:rPr>
        <w:t xml:space="preserve"> 2010 Report specifically details what t</w:t>
      </w:r>
      <w:r w:rsidR="000B5361" w:rsidRPr="00D56C84">
        <w:rPr>
          <w:rFonts w:cs="Arial"/>
          <w:lang w:eastAsia="en-AU"/>
        </w:rPr>
        <w:t>he cost adjustors are for each c</w:t>
      </w:r>
      <w:r w:rsidRPr="00D56C84">
        <w:rPr>
          <w:rFonts w:cs="Arial"/>
          <w:lang w:eastAsia="en-AU"/>
        </w:rPr>
        <w:t>ouncil for all the service categories</w:t>
      </w:r>
      <w:r w:rsidR="000B5361" w:rsidRPr="00D56C84">
        <w:rPr>
          <w:rFonts w:cs="Arial"/>
          <w:lang w:eastAsia="en-AU"/>
        </w:rPr>
        <w:t>,</w:t>
      </w:r>
      <w:r w:rsidRPr="00D56C84">
        <w:rPr>
          <w:rFonts w:cs="Arial"/>
          <w:lang w:eastAsia="en-AU"/>
        </w:rPr>
        <w:t xml:space="preserve"> including ‘garbage (waste) and recycling’. However</w:t>
      </w:r>
      <w:r w:rsidR="000B5361" w:rsidRPr="00D56C84">
        <w:rPr>
          <w:rFonts w:cs="Arial"/>
          <w:lang w:eastAsia="en-AU"/>
        </w:rPr>
        <w:t>,</w:t>
      </w:r>
      <w:r w:rsidRPr="00D56C84">
        <w:rPr>
          <w:rFonts w:cs="Arial"/>
          <w:lang w:eastAsia="en-AU"/>
        </w:rPr>
        <w:t xml:space="preserve"> the report does not publish local government specific standardised revenues and expenditure calculations for each </w:t>
      </w:r>
      <w:r w:rsidR="000B5361" w:rsidRPr="00D56C84">
        <w:rPr>
          <w:rFonts w:cs="Arial"/>
          <w:lang w:eastAsia="en-AU"/>
        </w:rPr>
        <w:t>c</w:t>
      </w:r>
      <w:r w:rsidRPr="00D56C84">
        <w:rPr>
          <w:rFonts w:cs="Arial"/>
          <w:lang w:eastAsia="en-AU"/>
        </w:rPr>
        <w:t>ouncil</w:t>
      </w:r>
      <w:r w:rsidR="000B5361" w:rsidRPr="00D56C84">
        <w:rPr>
          <w:rFonts w:cs="Arial"/>
          <w:lang w:eastAsia="en-AU"/>
        </w:rPr>
        <w:t>,</w:t>
      </w:r>
      <w:r w:rsidRPr="00D56C84">
        <w:rPr>
          <w:rFonts w:cs="Arial"/>
          <w:lang w:eastAsia="en-AU"/>
        </w:rPr>
        <w:t xml:space="preserve"> as other </w:t>
      </w:r>
      <w:r w:rsidR="000B5361" w:rsidRPr="00D56C84">
        <w:rPr>
          <w:rFonts w:cs="Arial"/>
          <w:lang w:eastAsia="en-AU"/>
        </w:rPr>
        <w:t>jurisdictions</w:t>
      </w:r>
      <w:r w:rsidRPr="00D56C84">
        <w:rPr>
          <w:rFonts w:cs="Arial"/>
          <w:lang w:eastAsia="en-AU"/>
        </w:rPr>
        <w:t xml:space="preserve"> such as Victoria do; only aggregated general purpose grant information is published for Queensland.</w:t>
      </w:r>
    </w:p>
    <w:p w:rsidR="001F4F2D" w:rsidRPr="00D56C84" w:rsidRDefault="001F4F2D" w:rsidP="00D52723">
      <w:pPr>
        <w:pStyle w:val="Heading3"/>
        <w:jc w:val="both"/>
        <w:rPr>
          <w:lang w:eastAsia="en-AU"/>
        </w:rPr>
      </w:pPr>
      <w:r w:rsidRPr="00D56C84">
        <w:rPr>
          <w:lang w:eastAsia="en-AU"/>
        </w:rPr>
        <w:t>Local government reporting</w:t>
      </w:r>
    </w:p>
    <w:p w:rsidR="001F4F2D" w:rsidRPr="00D52723" w:rsidRDefault="001F4F2D" w:rsidP="00D52723">
      <w:pPr>
        <w:pStyle w:val="ParaIndent"/>
        <w:jc w:val="both"/>
      </w:pPr>
      <w:r w:rsidRPr="00D52723">
        <w:t xml:space="preserve">The Department of Local Government and Planning (DLGP) manages the </w:t>
      </w:r>
      <w:r w:rsidRPr="00D52723">
        <w:rPr>
          <w:i/>
        </w:rPr>
        <w:t>Queensland local government comparative information</w:t>
      </w:r>
      <w:r w:rsidRPr="00D52723">
        <w:t xml:space="preserve"> report. This annual report provides a comprehensive collection of performance information for local government in the state.</w:t>
      </w:r>
    </w:p>
    <w:p w:rsidR="00161A53" w:rsidRDefault="000B5361" w:rsidP="00161A53">
      <w:pPr>
        <w:ind w:left="1134"/>
        <w:jc w:val="both"/>
        <w:rPr>
          <w:rFonts w:cs="Arial"/>
          <w:color w:val="000000"/>
        </w:rPr>
      </w:pPr>
      <w:r w:rsidRPr="00D52723">
        <w:rPr>
          <w:rFonts w:cs="Arial"/>
          <w:color w:val="000000"/>
        </w:rPr>
        <w:t>In April 2003 the former Queensland Department of Infrastructure and Planning (now the DLGP) initiated a project to improve and streamline the collection of local government financial and performance data. This involved developing a data collection instrument which standardised the requirements of the ABS, the Queensland Local Government Grants Commission (LGGC), and include</w:t>
      </w:r>
      <w:r w:rsidR="00C34194">
        <w:rPr>
          <w:rFonts w:cs="Arial"/>
          <w:color w:val="000000"/>
        </w:rPr>
        <w:t>d</w:t>
      </w:r>
      <w:r w:rsidRPr="00D52723">
        <w:rPr>
          <w:rFonts w:cs="Arial"/>
          <w:color w:val="000000"/>
        </w:rPr>
        <w:t xml:space="preserve"> the department’s annual performance indicator collection. Councils supply a wide range of financial data including:</w:t>
      </w:r>
    </w:p>
    <w:p w:rsidR="000B5361" w:rsidRPr="00161A53" w:rsidRDefault="000B5361" w:rsidP="00161A53">
      <w:pPr>
        <w:pStyle w:val="ParaIndent"/>
        <w:keepNext/>
        <w:numPr>
          <w:ilvl w:val="0"/>
          <w:numId w:val="29"/>
        </w:numPr>
        <w:spacing w:after="60"/>
        <w:ind w:left="1985" w:hanging="284"/>
        <w:jc w:val="both"/>
        <w:rPr>
          <w:sz w:val="18"/>
          <w:szCs w:val="18"/>
        </w:rPr>
      </w:pPr>
      <w:r w:rsidRPr="00161A53">
        <w:rPr>
          <w:sz w:val="18"/>
          <w:szCs w:val="18"/>
        </w:rPr>
        <w:lastRenderedPageBreak/>
        <w:t xml:space="preserve">waste collection costs, </w:t>
      </w:r>
    </w:p>
    <w:p w:rsidR="000B5361" w:rsidRPr="00161A53" w:rsidRDefault="000B5361" w:rsidP="00161A53">
      <w:pPr>
        <w:pStyle w:val="ParaIndent"/>
        <w:keepNext/>
        <w:numPr>
          <w:ilvl w:val="0"/>
          <w:numId w:val="29"/>
        </w:numPr>
        <w:spacing w:after="60"/>
        <w:ind w:left="1985" w:hanging="284"/>
        <w:jc w:val="both"/>
        <w:rPr>
          <w:sz w:val="18"/>
          <w:szCs w:val="18"/>
        </w:rPr>
      </w:pPr>
      <w:r w:rsidRPr="00161A53">
        <w:rPr>
          <w:sz w:val="18"/>
          <w:szCs w:val="18"/>
        </w:rPr>
        <w:t xml:space="preserve">waste tonnage and </w:t>
      </w:r>
    </w:p>
    <w:p w:rsidR="000B5361" w:rsidRPr="00161A53" w:rsidRDefault="000B5361" w:rsidP="00161A53">
      <w:pPr>
        <w:pStyle w:val="ParaIndent"/>
        <w:keepNext/>
        <w:numPr>
          <w:ilvl w:val="0"/>
          <w:numId w:val="29"/>
        </w:numPr>
        <w:spacing w:after="60"/>
        <w:ind w:left="1985" w:hanging="284"/>
        <w:jc w:val="both"/>
        <w:rPr>
          <w:sz w:val="18"/>
          <w:szCs w:val="18"/>
        </w:rPr>
      </w:pPr>
      <w:proofErr w:type="gramStart"/>
      <w:r w:rsidRPr="00161A53">
        <w:rPr>
          <w:sz w:val="18"/>
          <w:szCs w:val="18"/>
        </w:rPr>
        <w:t>information</w:t>
      </w:r>
      <w:proofErr w:type="gramEnd"/>
      <w:r w:rsidRPr="00161A53">
        <w:rPr>
          <w:sz w:val="18"/>
          <w:szCs w:val="18"/>
        </w:rPr>
        <w:t xml:space="preserve"> relating to the level of service offered. </w:t>
      </w:r>
    </w:p>
    <w:p w:rsidR="000B5361" w:rsidRPr="00D56C84" w:rsidRDefault="000B5361" w:rsidP="00D52723">
      <w:pPr>
        <w:pStyle w:val="ListParagraph"/>
        <w:ind w:left="1134"/>
        <w:jc w:val="both"/>
        <w:rPr>
          <w:rFonts w:cs="Arial"/>
          <w:color w:val="000000"/>
        </w:rPr>
      </w:pPr>
      <w:r w:rsidRPr="00D52723">
        <w:rPr>
          <w:rFonts w:cs="Arial"/>
          <w:color w:val="000000"/>
        </w:rPr>
        <w:t xml:space="preserve">Legislation enacted in 2010 requires councils to provide this data, and grants can be withheld from non-complying councils. A copy of the reporting template used by the DLGP is appended. </w:t>
      </w:r>
      <w:r w:rsidRPr="00D52723">
        <w:t xml:space="preserve">The </w:t>
      </w:r>
      <w:r w:rsidRPr="00D52723">
        <w:rPr>
          <w:i/>
        </w:rPr>
        <w:t>Queensland local government comparative information</w:t>
      </w:r>
      <w:r w:rsidRPr="00D52723">
        <w:t xml:space="preserve"> report provides a range of service indicators which</w:t>
      </w:r>
      <w:r w:rsidRPr="00D56C84">
        <w:t xml:space="preserve"> cover the following key functional and financial areas of local government:</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Financial operations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Personnel</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Road maintenance</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Water services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Sewerage services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Waste management</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Library services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Parks and gardens</w:t>
      </w:r>
      <w:r w:rsidR="00C34194">
        <w:rPr>
          <w:sz w:val="18"/>
          <w:szCs w:val="18"/>
        </w:rPr>
        <w:t>.</w:t>
      </w:r>
    </w:p>
    <w:p w:rsidR="000B5361" w:rsidRPr="00D56C84" w:rsidRDefault="000B5361" w:rsidP="00D87D5B">
      <w:pPr>
        <w:pStyle w:val="ParaIndent"/>
        <w:keepNext/>
        <w:spacing w:after="60"/>
        <w:jc w:val="both"/>
        <w:rPr>
          <w:rFonts w:cs="Arial"/>
          <w:lang w:eastAsia="en-AU"/>
        </w:rPr>
      </w:pPr>
      <w:r w:rsidRPr="00D56C84">
        <w:t>For</w:t>
      </w:r>
      <w:r w:rsidRPr="00D56C84">
        <w:rPr>
          <w:rFonts w:cs="Arial"/>
          <w:lang w:eastAsia="en-AU"/>
        </w:rPr>
        <w:t xml:space="preserve"> the functional area of waste management, the data presented for each local government includes: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waste collection costs</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number of residential properties serviced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number of bins serviced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tonnage of domestic waste collected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Number of services provided per property per week</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Waste bin type (split / non-split / galvanised)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Waste bin size</w:t>
      </w:r>
      <w:r w:rsidR="00C34194">
        <w:rPr>
          <w:sz w:val="18"/>
          <w:szCs w:val="18"/>
        </w:rPr>
        <w:t>.</w:t>
      </w:r>
    </w:p>
    <w:p w:rsidR="000B5361" w:rsidRPr="00D56C84" w:rsidRDefault="000B5361" w:rsidP="00D87D5B">
      <w:pPr>
        <w:pStyle w:val="ParaIndent"/>
        <w:keepNext/>
        <w:spacing w:after="60"/>
        <w:jc w:val="both"/>
        <w:rPr>
          <w:rFonts w:cs="Arial"/>
          <w:lang w:eastAsia="en-AU"/>
        </w:rPr>
      </w:pPr>
      <w:r w:rsidRPr="00D56C84">
        <w:rPr>
          <w:rFonts w:cs="Arial"/>
          <w:lang w:eastAsia="en-AU"/>
        </w:rPr>
        <w:t>Where available, data is presented over a time series for the following information:</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Waste collection costs per property serviced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tonnage of waste collected per property serviced</w:t>
      </w:r>
    </w:p>
    <w:p w:rsidR="000B5361" w:rsidRPr="00D56C84" w:rsidRDefault="000B5361" w:rsidP="00D87D5B">
      <w:pPr>
        <w:pStyle w:val="ParaIndent"/>
        <w:keepNext/>
        <w:numPr>
          <w:ilvl w:val="0"/>
          <w:numId w:val="29"/>
        </w:numPr>
        <w:spacing w:after="60"/>
        <w:ind w:left="1985" w:hanging="284"/>
        <w:jc w:val="both"/>
        <w:rPr>
          <w:sz w:val="18"/>
          <w:szCs w:val="18"/>
        </w:rPr>
      </w:pPr>
      <w:r w:rsidRPr="00D56C84">
        <w:rPr>
          <w:sz w:val="18"/>
          <w:szCs w:val="18"/>
        </w:rPr>
        <w:t>Total tonnage of waste collected per bin serviced</w:t>
      </w:r>
      <w:r w:rsidR="00C34194">
        <w:rPr>
          <w:sz w:val="18"/>
          <w:szCs w:val="18"/>
        </w:rPr>
        <w:t>.</w:t>
      </w:r>
    </w:p>
    <w:p w:rsidR="000B5361" w:rsidRPr="00D56C84" w:rsidRDefault="000B5361" w:rsidP="00D87D5B">
      <w:pPr>
        <w:pStyle w:val="ParaIndent"/>
        <w:jc w:val="both"/>
        <w:rPr>
          <w:rFonts w:cs="Arial"/>
          <w:lang w:eastAsia="en-AU"/>
        </w:rPr>
      </w:pPr>
      <w:r w:rsidRPr="00D56C84">
        <w:rPr>
          <w:rFonts w:cs="Arial"/>
          <w:lang w:eastAsia="en-AU"/>
        </w:rPr>
        <w:t xml:space="preserve">For these </w:t>
      </w:r>
      <w:r w:rsidRPr="00D56C84">
        <w:t>three</w:t>
      </w:r>
      <w:r w:rsidRPr="00D56C84">
        <w:rPr>
          <w:rFonts w:cs="Arial"/>
          <w:lang w:eastAsia="en-AU"/>
        </w:rPr>
        <w:t xml:space="preserve"> data sets, the following information is provided on the associated </w:t>
      </w:r>
      <w:proofErr w:type="gramStart"/>
      <w:r w:rsidRPr="00D56C84">
        <w:rPr>
          <w:rFonts w:cs="Arial"/>
          <w:lang w:eastAsia="en-AU"/>
        </w:rPr>
        <w:t>objectives,</w:t>
      </w:r>
      <w:proofErr w:type="gramEnd"/>
      <w:r w:rsidRPr="00D56C84">
        <w:rPr>
          <w:rFonts w:cs="Arial"/>
          <w:lang w:eastAsia="en-AU"/>
        </w:rPr>
        <w:t xml:space="preserve"> formula and influencing factors for each (</w:t>
      </w:r>
      <w:fldSimple w:instr=" REF _Ref297116547 \h  \* MERGEFORMAT ">
        <w:r w:rsidR="00166111" w:rsidRPr="00D56C84">
          <w:rPr>
            <w:lang w:eastAsia="en-AU"/>
          </w:rPr>
          <w:t xml:space="preserve">Table </w:t>
        </w:r>
        <w:r w:rsidR="00166111">
          <w:rPr>
            <w:noProof/>
            <w:lang w:eastAsia="en-AU"/>
          </w:rPr>
          <w:t>8</w:t>
        </w:r>
        <w:r w:rsidR="00166111" w:rsidRPr="00D56C84">
          <w:rPr>
            <w:noProof/>
            <w:lang w:eastAsia="en-AU"/>
          </w:rPr>
          <w:t>-</w:t>
        </w:r>
        <w:r w:rsidR="00166111">
          <w:rPr>
            <w:noProof/>
            <w:lang w:eastAsia="en-AU"/>
          </w:rPr>
          <w:t>22</w:t>
        </w:r>
      </w:fldSimple>
      <w:r w:rsidRPr="00D56C84">
        <w:rPr>
          <w:rFonts w:cs="Arial"/>
          <w:lang w:eastAsia="en-AU"/>
        </w:rPr>
        <w:t xml:space="preserve">). </w:t>
      </w:r>
    </w:p>
    <w:p w:rsidR="000B5361" w:rsidRPr="00D56C84" w:rsidRDefault="000B5361">
      <w:pPr>
        <w:spacing w:after="0" w:line="240" w:lineRule="auto"/>
        <w:ind w:left="0"/>
        <w:rPr>
          <w:rFonts w:cs="Arial"/>
          <w:lang w:eastAsia="en-AU"/>
        </w:rPr>
      </w:pPr>
      <w:r w:rsidRPr="00D56C84">
        <w:rPr>
          <w:rFonts w:cs="Arial"/>
          <w:lang w:eastAsia="en-AU"/>
        </w:rPr>
        <w:br w:type="page"/>
      </w:r>
    </w:p>
    <w:p w:rsidR="001F4F2D" w:rsidRPr="00D56C84" w:rsidRDefault="001F4F2D" w:rsidP="001F4F2D">
      <w:pPr>
        <w:pStyle w:val="Caption"/>
        <w:rPr>
          <w:lang w:eastAsia="en-AU"/>
        </w:rPr>
      </w:pPr>
      <w:bookmarkStart w:id="77" w:name="_Ref297116547"/>
      <w:r w:rsidRPr="00D56C84">
        <w:rPr>
          <w:lang w:eastAsia="en-AU"/>
        </w:rPr>
        <w:lastRenderedPageBreak/>
        <w:t xml:space="preserve">Table </w:t>
      </w:r>
      <w:r w:rsidR="00ED6CA0" w:rsidRPr="00D56C84">
        <w:rPr>
          <w:lang w:eastAsia="en-AU"/>
        </w:rPr>
        <w:fldChar w:fldCharType="begin"/>
      </w:r>
      <w:r w:rsidRPr="00D56C84">
        <w:rPr>
          <w:lang w:eastAsia="en-AU"/>
        </w:rPr>
        <w:instrText xml:space="preserve"> STYLEREF "_Heading1" \n </w:instrText>
      </w:r>
      <w:r w:rsidR="00ED6CA0" w:rsidRPr="00D56C84">
        <w:rPr>
          <w:lang w:eastAsia="en-AU"/>
        </w:rPr>
        <w:fldChar w:fldCharType="separate"/>
      </w:r>
      <w:r w:rsidR="00166111">
        <w:rPr>
          <w:noProof/>
          <w:lang w:eastAsia="en-AU"/>
        </w:rPr>
        <w:t>8</w:t>
      </w:r>
      <w:r w:rsidR="00ED6CA0" w:rsidRPr="00D56C84">
        <w:rPr>
          <w:lang w:eastAsia="en-AU"/>
        </w:rPr>
        <w:fldChar w:fldCharType="end"/>
      </w:r>
      <w:r w:rsidRPr="00D56C84">
        <w:rPr>
          <w:lang w:eastAsia="en-AU"/>
        </w:rPr>
        <w:t>-</w:t>
      </w:r>
      <w:r w:rsidR="00ED6CA0" w:rsidRPr="00D56C84">
        <w:rPr>
          <w:lang w:eastAsia="en-AU"/>
        </w:rPr>
        <w:fldChar w:fldCharType="begin"/>
      </w:r>
      <w:r w:rsidRPr="00D56C84">
        <w:rPr>
          <w:lang w:eastAsia="en-AU"/>
        </w:rPr>
        <w:instrText xml:space="preserve"> SEQ Table \* Arabic </w:instrText>
      </w:r>
      <w:r w:rsidR="00ED6CA0" w:rsidRPr="00D56C84">
        <w:rPr>
          <w:lang w:eastAsia="en-AU"/>
        </w:rPr>
        <w:fldChar w:fldCharType="separate"/>
      </w:r>
      <w:r w:rsidR="00166111">
        <w:rPr>
          <w:noProof/>
          <w:lang w:eastAsia="en-AU"/>
        </w:rPr>
        <w:t>22</w:t>
      </w:r>
      <w:r w:rsidR="00ED6CA0" w:rsidRPr="00D56C84">
        <w:rPr>
          <w:lang w:eastAsia="en-AU"/>
        </w:rPr>
        <w:fldChar w:fldCharType="end"/>
      </w:r>
      <w:bookmarkEnd w:id="77"/>
      <w:r w:rsidRPr="00D56C84">
        <w:rPr>
          <w:lang w:eastAsia="en-AU"/>
        </w:rPr>
        <w:tab/>
        <w:t xml:space="preserve">Waste </w:t>
      </w:r>
      <w:r w:rsidRPr="00D56C84">
        <w:t>performance information for local government in Queensland</w:t>
      </w:r>
    </w:p>
    <w:tbl>
      <w:tblPr>
        <w:tblStyle w:val="TableGrid"/>
        <w:tblW w:w="8505" w:type="dxa"/>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1134"/>
        <w:gridCol w:w="2457"/>
        <w:gridCol w:w="2457"/>
        <w:gridCol w:w="2457"/>
      </w:tblGrid>
      <w:tr w:rsidR="001F4F2D" w:rsidRPr="00D56C84" w:rsidTr="00FF7720">
        <w:trPr>
          <w:cantSplit/>
        </w:trPr>
        <w:tc>
          <w:tcPr>
            <w:tcW w:w="1134" w:type="dxa"/>
            <w:tcBorders>
              <w:top w:val="nil"/>
              <w:bottom w:val="single" w:sz="4" w:space="0" w:color="808080"/>
            </w:tcBorders>
            <w:shd w:val="clear" w:color="auto" w:fill="auto"/>
          </w:tcPr>
          <w:p w:rsidR="001F4F2D" w:rsidRPr="00D56C84" w:rsidRDefault="001F4F2D" w:rsidP="00FF7720">
            <w:pPr>
              <w:pStyle w:val="TableHeading"/>
            </w:pPr>
          </w:p>
        </w:tc>
        <w:tc>
          <w:tcPr>
            <w:tcW w:w="2457" w:type="dxa"/>
            <w:tcBorders>
              <w:top w:val="nil"/>
              <w:bottom w:val="single" w:sz="4" w:space="0" w:color="808080"/>
            </w:tcBorders>
            <w:shd w:val="clear" w:color="auto" w:fill="auto"/>
          </w:tcPr>
          <w:p w:rsidR="001F4F2D" w:rsidRPr="00D56C84" w:rsidRDefault="001F4F2D" w:rsidP="00FF7720">
            <w:pPr>
              <w:pStyle w:val="TableHeading"/>
            </w:pPr>
            <w:r w:rsidRPr="00D56C84">
              <w:t>Waste collection costs per property serviced</w:t>
            </w:r>
          </w:p>
        </w:tc>
        <w:tc>
          <w:tcPr>
            <w:tcW w:w="2457" w:type="dxa"/>
            <w:tcBorders>
              <w:top w:val="nil"/>
              <w:bottom w:val="single" w:sz="4" w:space="0" w:color="808080"/>
            </w:tcBorders>
            <w:shd w:val="clear" w:color="auto" w:fill="auto"/>
          </w:tcPr>
          <w:p w:rsidR="001F4F2D" w:rsidRPr="00D56C84" w:rsidRDefault="001F4F2D" w:rsidP="00FF7720">
            <w:pPr>
              <w:pStyle w:val="TableHeading"/>
            </w:pPr>
            <w:r w:rsidRPr="00D56C84">
              <w:t>Total tonnage of waste collected per property serviced</w:t>
            </w:r>
          </w:p>
        </w:tc>
        <w:tc>
          <w:tcPr>
            <w:tcW w:w="2457" w:type="dxa"/>
            <w:tcBorders>
              <w:top w:val="nil"/>
              <w:bottom w:val="single" w:sz="4" w:space="0" w:color="808080"/>
            </w:tcBorders>
            <w:shd w:val="clear" w:color="auto" w:fill="auto"/>
          </w:tcPr>
          <w:p w:rsidR="001F4F2D" w:rsidRPr="00D56C84" w:rsidRDefault="001F4F2D" w:rsidP="00FF7720">
            <w:pPr>
              <w:pStyle w:val="TableHeading"/>
            </w:pPr>
            <w:r w:rsidRPr="00D56C84">
              <w:t>Total tonnage of waste collected per bin serviced</w:t>
            </w:r>
          </w:p>
        </w:tc>
      </w:tr>
      <w:tr w:rsidR="001F4F2D" w:rsidRPr="00D56C84" w:rsidTr="00FF7720">
        <w:trPr>
          <w:cantSplit/>
        </w:trPr>
        <w:tc>
          <w:tcPr>
            <w:tcW w:w="1134"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Objective</w:t>
            </w:r>
          </w:p>
        </w:tc>
        <w:tc>
          <w:tcPr>
            <w:tcW w:w="2457" w:type="dxa"/>
            <w:tcBorders>
              <w:top w:val="single" w:sz="4" w:space="0" w:color="808080"/>
              <w:bottom w:val="single" w:sz="4" w:space="0" w:color="808080"/>
            </w:tcBorders>
            <w:shd w:val="clear" w:color="auto" w:fill="auto"/>
            <w:vAlign w:val="bottom"/>
          </w:tcPr>
          <w:p w:rsidR="001F4F2D" w:rsidRPr="00D56C84" w:rsidRDefault="001F4F2D" w:rsidP="00FF7720">
            <w:pPr>
              <w:pStyle w:val="TableText"/>
              <w:rPr>
                <w:rFonts w:cs="Arial"/>
                <w:szCs w:val="18"/>
                <w:lang w:eastAsia="en-AU"/>
              </w:rPr>
            </w:pPr>
            <w:r w:rsidRPr="00D56C84">
              <w:rPr>
                <w:rFonts w:cs="Arial"/>
                <w:szCs w:val="18"/>
                <w:lang w:eastAsia="en-AU"/>
              </w:rPr>
              <w:t>To assess the relative efficiency of domestic waste collection per property serviced</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To measure the effectiveness of council’s efforts towards waste minimisation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To measure the effectiveness of council’s efforts towards waste minimisation</w:t>
            </w:r>
          </w:p>
        </w:tc>
      </w:tr>
      <w:tr w:rsidR="001F4F2D" w:rsidRPr="00D56C84" w:rsidTr="00FF7720">
        <w:trPr>
          <w:cantSplit/>
          <w:trHeight w:val="1118"/>
        </w:trPr>
        <w:tc>
          <w:tcPr>
            <w:tcW w:w="1134" w:type="dxa"/>
            <w:tcBorders>
              <w:top w:val="single" w:sz="4" w:space="0" w:color="808080"/>
              <w:bottom w:val="single" w:sz="4" w:space="0" w:color="808080"/>
            </w:tcBorders>
            <w:shd w:val="clear" w:color="auto" w:fill="auto"/>
          </w:tcPr>
          <w:p w:rsidR="001F4F2D" w:rsidRPr="00D56C84" w:rsidRDefault="001F4F2D" w:rsidP="00FF7720">
            <w:pPr>
              <w:pStyle w:val="TableText"/>
            </w:pPr>
            <w:r w:rsidRPr="00D56C84">
              <w:t>Formula</w:t>
            </w:r>
          </w:p>
        </w:tc>
        <w:tc>
          <w:tcPr>
            <w:tcW w:w="2457" w:type="dxa"/>
            <w:tcBorders>
              <w:top w:val="single" w:sz="4" w:space="0" w:color="808080"/>
              <w:bottom w:val="single" w:sz="4" w:space="0" w:color="808080"/>
            </w:tcBorders>
            <w:shd w:val="clear" w:color="auto" w:fill="auto"/>
            <w:vAlign w:val="center"/>
          </w:tcPr>
          <w:p w:rsidR="001F4F2D" w:rsidRPr="00D56C84" w:rsidRDefault="001F4F2D" w:rsidP="00FF7720">
            <w:pPr>
              <w:pStyle w:val="TableText"/>
              <w:rPr>
                <w:rFonts w:cs="Arial"/>
                <w:szCs w:val="18"/>
                <w:u w:val="single"/>
                <w:lang w:eastAsia="en-AU"/>
              </w:rPr>
            </w:pPr>
            <w:r w:rsidRPr="00D56C84">
              <w:rPr>
                <w:rFonts w:cs="Arial"/>
                <w:szCs w:val="18"/>
                <w:lang w:eastAsia="en-AU"/>
              </w:rPr>
              <w:t>Total domestic waste collection costs^</w:t>
            </w:r>
          </w:p>
          <w:p w:rsidR="001F4F2D" w:rsidRPr="00D56C84" w:rsidRDefault="001F4F2D" w:rsidP="00FF7720">
            <w:pPr>
              <w:pStyle w:val="TableText"/>
              <w:rPr>
                <w:rFonts w:cs="Arial"/>
                <w:szCs w:val="18"/>
                <w:lang w:eastAsia="en-AU"/>
              </w:rPr>
            </w:pPr>
            <w:r w:rsidRPr="00D56C84">
              <w:rPr>
                <w:rFonts w:cs="Arial"/>
                <w:szCs w:val="18"/>
                <w:lang w:eastAsia="en-AU"/>
              </w:rPr>
              <w:t>Total No. of properties serviced</w:t>
            </w:r>
          </w:p>
          <w:p w:rsidR="001F4F2D" w:rsidRPr="00D56C84" w:rsidRDefault="001F4F2D" w:rsidP="00FF7720">
            <w:pPr>
              <w:pStyle w:val="TableText"/>
              <w:rPr>
                <w:rFonts w:cs="Arial"/>
                <w:szCs w:val="18"/>
                <w:lang w:eastAsia="en-AU"/>
              </w:rPr>
            </w:pPr>
          </w:p>
          <w:p w:rsidR="001F4F2D" w:rsidRPr="00D56C84" w:rsidRDefault="001F4F2D" w:rsidP="00FF7720">
            <w:pPr>
              <w:pStyle w:val="TableText"/>
              <w:rPr>
                <w:rFonts w:cs="Arial"/>
                <w:sz w:val="16"/>
                <w:szCs w:val="16"/>
                <w:u w:val="single"/>
                <w:lang w:eastAsia="en-AU"/>
              </w:rPr>
            </w:pPr>
            <w:r w:rsidRPr="00D56C84">
              <w:rPr>
                <w:rFonts w:cs="Arial"/>
                <w:sz w:val="16"/>
                <w:szCs w:val="16"/>
                <w:lang w:eastAsia="en-AU"/>
              </w:rPr>
              <w:t>^ including recyclables</w:t>
            </w:r>
          </w:p>
        </w:tc>
        <w:tc>
          <w:tcPr>
            <w:tcW w:w="2457" w:type="dxa"/>
            <w:tcBorders>
              <w:top w:val="single" w:sz="4" w:space="0" w:color="808080"/>
              <w:bottom w:val="single" w:sz="4" w:space="0" w:color="808080"/>
            </w:tcBorders>
            <w:shd w:val="clear" w:color="auto" w:fill="auto"/>
            <w:vAlign w:val="center"/>
          </w:tcPr>
          <w:p w:rsidR="001F4F2D" w:rsidRPr="00D56C84" w:rsidRDefault="001F4F2D" w:rsidP="00FF7720">
            <w:pPr>
              <w:pStyle w:val="TableText"/>
              <w:rPr>
                <w:rFonts w:cs="Arial"/>
                <w:szCs w:val="18"/>
                <w:lang w:eastAsia="en-AU"/>
              </w:rPr>
            </w:pPr>
            <w:r w:rsidRPr="00D56C84">
              <w:rPr>
                <w:rFonts w:cs="Arial"/>
                <w:szCs w:val="18"/>
                <w:lang w:eastAsia="en-AU"/>
              </w:rPr>
              <w:t>Total tonnage of waste collected^</w:t>
            </w:r>
          </w:p>
          <w:p w:rsidR="001F4F2D" w:rsidRPr="00D56C84" w:rsidRDefault="001F4F2D" w:rsidP="00FF7720">
            <w:pPr>
              <w:pStyle w:val="TableText"/>
              <w:rPr>
                <w:rFonts w:cs="Arial"/>
                <w:szCs w:val="18"/>
                <w:lang w:eastAsia="en-AU"/>
              </w:rPr>
            </w:pPr>
            <w:r w:rsidRPr="00D56C84">
              <w:rPr>
                <w:rFonts w:cs="Arial"/>
                <w:szCs w:val="18"/>
                <w:lang w:eastAsia="en-AU"/>
              </w:rPr>
              <w:t>Total No. of residential properties serviced</w:t>
            </w:r>
          </w:p>
          <w:p w:rsidR="001F4F2D" w:rsidRPr="00D56C84" w:rsidRDefault="001F4F2D" w:rsidP="00FF7720">
            <w:pPr>
              <w:pStyle w:val="TableText"/>
              <w:rPr>
                <w:rFonts w:cs="Arial"/>
                <w:szCs w:val="18"/>
                <w:lang w:eastAsia="en-AU"/>
              </w:rPr>
            </w:pPr>
          </w:p>
          <w:p w:rsidR="001F4F2D" w:rsidRPr="00D56C84" w:rsidRDefault="001F4F2D" w:rsidP="00FF7720">
            <w:pPr>
              <w:pStyle w:val="TableText"/>
              <w:rPr>
                <w:rFonts w:cs="Arial"/>
                <w:sz w:val="16"/>
                <w:szCs w:val="16"/>
                <w:u w:val="single"/>
                <w:lang w:eastAsia="en-AU"/>
              </w:rPr>
            </w:pPr>
            <w:r w:rsidRPr="00D56C84">
              <w:rPr>
                <w:rFonts w:cs="Arial"/>
                <w:sz w:val="16"/>
                <w:szCs w:val="16"/>
                <w:lang w:eastAsia="en-AU"/>
              </w:rPr>
              <w:t>^ including recyclables</w:t>
            </w:r>
          </w:p>
        </w:tc>
        <w:tc>
          <w:tcPr>
            <w:tcW w:w="2457" w:type="dxa"/>
            <w:tcBorders>
              <w:top w:val="single" w:sz="4" w:space="0" w:color="808080"/>
              <w:bottom w:val="single" w:sz="4" w:space="0" w:color="808080"/>
            </w:tcBorders>
            <w:shd w:val="clear" w:color="auto" w:fill="auto"/>
            <w:vAlign w:val="center"/>
          </w:tcPr>
          <w:p w:rsidR="001F4F2D" w:rsidRPr="00D56C84" w:rsidRDefault="001F4F2D" w:rsidP="00FF7720">
            <w:pPr>
              <w:pStyle w:val="TableText"/>
              <w:rPr>
                <w:rFonts w:cs="Arial"/>
                <w:szCs w:val="18"/>
                <w:lang w:eastAsia="en-AU"/>
              </w:rPr>
            </w:pPr>
            <w:r w:rsidRPr="00D56C84">
              <w:rPr>
                <w:rFonts w:cs="Arial"/>
                <w:szCs w:val="18"/>
                <w:lang w:eastAsia="en-AU"/>
              </w:rPr>
              <w:t>Total tonnage of waste collected^</w:t>
            </w:r>
          </w:p>
          <w:p w:rsidR="001F4F2D" w:rsidRPr="00D56C84" w:rsidRDefault="001F4F2D" w:rsidP="00FF7720">
            <w:pPr>
              <w:pStyle w:val="TableText"/>
              <w:rPr>
                <w:rFonts w:cs="Arial"/>
                <w:szCs w:val="18"/>
                <w:lang w:eastAsia="en-AU"/>
              </w:rPr>
            </w:pPr>
            <w:r w:rsidRPr="00D56C84">
              <w:rPr>
                <w:rFonts w:cs="Arial"/>
                <w:szCs w:val="18"/>
                <w:lang w:eastAsia="en-AU"/>
              </w:rPr>
              <w:t>Total No. of domestic waste bins serviced</w:t>
            </w:r>
          </w:p>
          <w:p w:rsidR="001F4F2D" w:rsidRPr="00D56C84" w:rsidRDefault="001F4F2D" w:rsidP="00FF7720">
            <w:pPr>
              <w:pStyle w:val="TableText"/>
              <w:rPr>
                <w:rFonts w:cs="Arial"/>
                <w:szCs w:val="18"/>
                <w:u w:val="single"/>
                <w:lang w:eastAsia="en-AU"/>
              </w:rPr>
            </w:pPr>
          </w:p>
          <w:p w:rsidR="001F4F2D" w:rsidRPr="00D56C84" w:rsidRDefault="001F4F2D" w:rsidP="00FF7720">
            <w:pPr>
              <w:pStyle w:val="TableText"/>
              <w:rPr>
                <w:rFonts w:cs="Arial"/>
                <w:sz w:val="16"/>
                <w:szCs w:val="16"/>
                <w:lang w:eastAsia="en-AU"/>
              </w:rPr>
            </w:pPr>
            <w:r w:rsidRPr="00D56C84">
              <w:rPr>
                <w:rFonts w:cs="Arial"/>
                <w:sz w:val="16"/>
                <w:szCs w:val="16"/>
                <w:lang w:eastAsia="en-AU"/>
              </w:rPr>
              <w:t>^ including recyclables</w:t>
            </w:r>
          </w:p>
        </w:tc>
      </w:tr>
      <w:tr w:rsidR="001F4F2D" w:rsidRPr="00D56C84" w:rsidTr="00FF7720">
        <w:trPr>
          <w:cantSplit/>
        </w:trPr>
        <w:tc>
          <w:tcPr>
            <w:tcW w:w="1134" w:type="dxa"/>
            <w:vMerge w:val="restart"/>
            <w:tcBorders>
              <w:top w:val="single" w:sz="4" w:space="0" w:color="808080"/>
              <w:bottom w:val="single" w:sz="4" w:space="0" w:color="808080"/>
            </w:tcBorders>
            <w:shd w:val="clear" w:color="auto" w:fill="auto"/>
          </w:tcPr>
          <w:p w:rsidR="001F4F2D" w:rsidRPr="00D56C84" w:rsidRDefault="001F4F2D" w:rsidP="00FF7720">
            <w:pPr>
              <w:pStyle w:val="TableText"/>
            </w:pPr>
            <w:r w:rsidRPr="00D56C84">
              <w:t>Influencing factors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size and type of waste container</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size of waste containers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size of waste containers</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frequency of collection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frequency of collection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frequency of collection</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type of recycling service in operation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promotion and education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promotion and education</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distance to disposal facility</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availability of council tip</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availability of council tip</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use of contractors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new services/development</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new services/development</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service standard specified in contract</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terrain</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terrain</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distance travelled on route</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rural or residential areas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rural or residential areas</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extent of recycling</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multi-residential properties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multi-residential properties</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extent of mixed loads of domestic, commercial and industrial wastes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tourism/seasonal population changes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tourism/seasonal population changes</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vMerge w:val="restart"/>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tourism/seasonal population changes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climate</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climate</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demographics</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demographics</w:t>
            </w:r>
          </w:p>
        </w:tc>
      </w:tr>
      <w:tr w:rsidR="001F4F2D" w:rsidRPr="00D56C84" w:rsidTr="00FF7720">
        <w:trPr>
          <w:cantSplit/>
        </w:trPr>
        <w:tc>
          <w:tcPr>
            <w:tcW w:w="1134"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b/>
                <w:bCs/>
                <w:lang w:eastAsia="en-AU"/>
              </w:rPr>
            </w:pPr>
          </w:p>
        </w:tc>
        <w:tc>
          <w:tcPr>
            <w:tcW w:w="2457" w:type="dxa"/>
            <w:vMerge/>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economy (e</w:t>
            </w:r>
            <w:r w:rsidR="0064732A" w:rsidRPr="00D56C84">
              <w:rPr>
                <w:rFonts w:cs="Arial"/>
                <w:szCs w:val="18"/>
                <w:lang w:eastAsia="en-AU"/>
              </w:rPr>
              <w:t>.</w:t>
            </w:r>
            <w:r w:rsidRPr="00D56C84">
              <w:rPr>
                <w:rFonts w:cs="Arial"/>
                <w:szCs w:val="18"/>
                <w:lang w:eastAsia="en-AU"/>
              </w:rPr>
              <w:t>g. tourism)</w:t>
            </w:r>
          </w:p>
        </w:tc>
        <w:tc>
          <w:tcPr>
            <w:tcW w:w="2457" w:type="dxa"/>
            <w:tcBorders>
              <w:top w:val="single" w:sz="4" w:space="0" w:color="808080"/>
              <w:bottom w:val="single" w:sz="4" w:space="0" w:color="808080"/>
            </w:tcBorders>
            <w:shd w:val="clear" w:color="auto" w:fill="auto"/>
          </w:tcPr>
          <w:p w:rsidR="001F4F2D" w:rsidRPr="00D56C84" w:rsidRDefault="001F4F2D" w:rsidP="00FF7720">
            <w:pPr>
              <w:pStyle w:val="TableText"/>
              <w:rPr>
                <w:rFonts w:cs="Arial"/>
                <w:szCs w:val="18"/>
                <w:lang w:eastAsia="en-AU"/>
              </w:rPr>
            </w:pPr>
            <w:r w:rsidRPr="00D56C84">
              <w:rPr>
                <w:rFonts w:cs="Arial"/>
                <w:szCs w:val="18"/>
                <w:lang w:eastAsia="en-AU"/>
              </w:rPr>
              <w:t>economy (e</w:t>
            </w:r>
            <w:r w:rsidR="0064732A" w:rsidRPr="00D56C84">
              <w:rPr>
                <w:rFonts w:cs="Arial"/>
                <w:szCs w:val="18"/>
                <w:lang w:eastAsia="en-AU"/>
              </w:rPr>
              <w:t>.</w:t>
            </w:r>
            <w:r w:rsidRPr="00D56C84">
              <w:rPr>
                <w:rFonts w:cs="Arial"/>
                <w:szCs w:val="18"/>
                <w:lang w:eastAsia="en-AU"/>
              </w:rPr>
              <w:t>g. tourism)</w:t>
            </w:r>
          </w:p>
        </w:tc>
      </w:tr>
    </w:tbl>
    <w:p w:rsidR="00FB0BE4" w:rsidRDefault="00FB0BE4" w:rsidP="00FB0BE4">
      <w:pPr>
        <w:pStyle w:val="ParaIndent"/>
        <w:rPr>
          <w:rFonts w:cs="Arial"/>
          <w:color w:val="495F70"/>
          <w:sz w:val="32"/>
        </w:rPr>
      </w:pPr>
      <w:r>
        <w:br w:type="page"/>
      </w:r>
    </w:p>
    <w:p w:rsidR="00AE087B" w:rsidRPr="00D56C84" w:rsidRDefault="00AE087B" w:rsidP="00AE087B">
      <w:pPr>
        <w:pStyle w:val="Heading2"/>
      </w:pPr>
      <w:bookmarkStart w:id="78" w:name="_Toc307470442"/>
      <w:r w:rsidRPr="00D56C84">
        <w:lastRenderedPageBreak/>
        <w:t>Performance</w:t>
      </w:r>
      <w:r w:rsidR="00085D2C" w:rsidRPr="00085D2C">
        <w:t xml:space="preserve"> </w:t>
      </w:r>
      <w:r w:rsidR="00085D2C">
        <w:t>in Queensland</w:t>
      </w:r>
      <w:bookmarkEnd w:id="78"/>
    </w:p>
    <w:p w:rsidR="007E1A0B" w:rsidRPr="00D56C84" w:rsidRDefault="007E1A0B" w:rsidP="00D87D5B">
      <w:pPr>
        <w:pStyle w:val="ParaIndent"/>
        <w:jc w:val="both"/>
      </w:pPr>
      <w:r w:rsidRPr="00D56C84">
        <w:rPr>
          <w:i/>
        </w:rPr>
        <w:t>The State of Waste and Recycling in Queensland 2008 Technical Report</w:t>
      </w:r>
      <w:r w:rsidRPr="00D56C84">
        <w:t xml:space="preserve"> provides an assessment of the amount of information provided by each LGA, with the results summarised in</w:t>
      </w:r>
      <w:r w:rsidR="00B725F9" w:rsidRPr="00D56C84">
        <w:t xml:space="preserve"> </w:t>
      </w:r>
      <w:fldSimple w:instr=" REF _Ref298752337 \h  \* MERGEFORMAT ">
        <w:r w:rsidR="00166111" w:rsidRPr="00D56C84">
          <w:rPr>
            <w:lang w:eastAsia="en-AU"/>
          </w:rPr>
          <w:t xml:space="preserve">Table </w:t>
        </w:r>
        <w:r w:rsidR="00166111">
          <w:rPr>
            <w:noProof/>
            <w:lang w:eastAsia="en-AU"/>
          </w:rPr>
          <w:t>8</w:t>
        </w:r>
        <w:r w:rsidR="00166111" w:rsidRPr="00D56C84">
          <w:rPr>
            <w:noProof/>
            <w:lang w:eastAsia="en-AU"/>
          </w:rPr>
          <w:t>-</w:t>
        </w:r>
        <w:r w:rsidR="00166111">
          <w:rPr>
            <w:noProof/>
            <w:lang w:eastAsia="en-AU"/>
          </w:rPr>
          <w:t>23</w:t>
        </w:r>
      </w:fldSimple>
      <w:r w:rsidRPr="00D56C84">
        <w:t>.</w:t>
      </w:r>
      <w:r w:rsidR="00B23878" w:rsidRPr="00D56C84">
        <w:t xml:space="preserve"> Only 33% of LGAs </w:t>
      </w:r>
      <w:r w:rsidR="000B502D">
        <w:t>(</w:t>
      </w:r>
      <w:r w:rsidR="004F0879">
        <w:t xml:space="preserve">but </w:t>
      </w:r>
      <w:r w:rsidR="000B502D">
        <w:t xml:space="preserve">representing 80% of the state’s population) </w:t>
      </w:r>
      <w:r w:rsidR="00B23878" w:rsidRPr="00D56C84">
        <w:t>were considered to have provided full data</w:t>
      </w:r>
      <w:r w:rsidR="00980063">
        <w:rPr>
          <w:rStyle w:val="FootnoteReference"/>
        </w:rPr>
        <w:footnoteReference w:id="11"/>
      </w:r>
      <w:r w:rsidR="00B23878" w:rsidRPr="00D56C84">
        <w:t>.</w:t>
      </w:r>
    </w:p>
    <w:p w:rsidR="00A01211" w:rsidRPr="00D56C84" w:rsidRDefault="00A01211" w:rsidP="007E1A0B">
      <w:pPr>
        <w:pStyle w:val="ParaIndent"/>
      </w:pPr>
    </w:p>
    <w:p w:rsidR="00B725F9" w:rsidRPr="00D56C84" w:rsidRDefault="00B725F9" w:rsidP="00B725F9">
      <w:pPr>
        <w:pStyle w:val="Caption"/>
        <w:rPr>
          <w:lang w:eastAsia="en-AU"/>
        </w:rPr>
      </w:pPr>
      <w:bookmarkStart w:id="79" w:name="_Ref298752337"/>
      <w:r w:rsidRPr="00D56C84">
        <w:rPr>
          <w:lang w:eastAsia="en-AU"/>
        </w:rPr>
        <w:t xml:space="preserve">Table </w:t>
      </w:r>
      <w:r w:rsidR="00ED6CA0" w:rsidRPr="00D56C84">
        <w:rPr>
          <w:lang w:eastAsia="en-AU"/>
        </w:rPr>
        <w:fldChar w:fldCharType="begin"/>
      </w:r>
      <w:r w:rsidRPr="00D56C84">
        <w:rPr>
          <w:lang w:eastAsia="en-AU"/>
        </w:rPr>
        <w:instrText xml:space="preserve"> STYLEREF "_Heading1" \n </w:instrText>
      </w:r>
      <w:r w:rsidR="00ED6CA0" w:rsidRPr="00D56C84">
        <w:rPr>
          <w:lang w:eastAsia="en-AU"/>
        </w:rPr>
        <w:fldChar w:fldCharType="separate"/>
      </w:r>
      <w:r w:rsidR="00166111">
        <w:rPr>
          <w:noProof/>
          <w:lang w:eastAsia="en-AU"/>
        </w:rPr>
        <w:t>8</w:t>
      </w:r>
      <w:r w:rsidR="00ED6CA0" w:rsidRPr="00D56C84">
        <w:rPr>
          <w:lang w:eastAsia="en-AU"/>
        </w:rPr>
        <w:fldChar w:fldCharType="end"/>
      </w:r>
      <w:r w:rsidRPr="00D56C84">
        <w:rPr>
          <w:lang w:eastAsia="en-AU"/>
        </w:rPr>
        <w:t>-</w:t>
      </w:r>
      <w:r w:rsidR="00ED6CA0" w:rsidRPr="00D56C84">
        <w:rPr>
          <w:lang w:eastAsia="en-AU"/>
        </w:rPr>
        <w:fldChar w:fldCharType="begin"/>
      </w:r>
      <w:r w:rsidRPr="00D56C84">
        <w:rPr>
          <w:lang w:eastAsia="en-AU"/>
        </w:rPr>
        <w:instrText xml:space="preserve"> SEQ Table \* Arabic </w:instrText>
      </w:r>
      <w:r w:rsidR="00ED6CA0" w:rsidRPr="00D56C84">
        <w:rPr>
          <w:lang w:eastAsia="en-AU"/>
        </w:rPr>
        <w:fldChar w:fldCharType="separate"/>
      </w:r>
      <w:r w:rsidR="00166111">
        <w:rPr>
          <w:noProof/>
          <w:lang w:eastAsia="en-AU"/>
        </w:rPr>
        <w:t>23</w:t>
      </w:r>
      <w:r w:rsidR="00ED6CA0" w:rsidRPr="00D56C84">
        <w:rPr>
          <w:lang w:eastAsia="en-AU"/>
        </w:rPr>
        <w:fldChar w:fldCharType="end"/>
      </w:r>
      <w:bookmarkEnd w:id="79"/>
      <w:r w:rsidRPr="00D56C84">
        <w:rPr>
          <w:lang w:eastAsia="en-AU"/>
        </w:rPr>
        <w:tab/>
        <w:t xml:space="preserve">Assessment of information provided by LGAs in </w:t>
      </w:r>
      <w:r w:rsidRPr="00D56C84">
        <w:rPr>
          <w:i/>
          <w:lang w:eastAsia="en-AU"/>
        </w:rPr>
        <w:t>The State of Waste and Recycling in Queensland 2008 Technical Report</w:t>
      </w:r>
      <w:r w:rsidRPr="00D56C84">
        <w:rPr>
          <w:lang w:eastAsia="en-AU"/>
        </w:rPr>
        <w:t>.</w:t>
      </w:r>
    </w:p>
    <w:tbl>
      <w:tblPr>
        <w:tblW w:w="5000" w:type="pct"/>
        <w:tblBorders>
          <w:bottom w:val="single" w:sz="18" w:space="0" w:color="808080"/>
          <w:insideH w:val="single" w:sz="4" w:space="0" w:color="808080"/>
        </w:tblBorders>
        <w:tblCellMar>
          <w:left w:w="0" w:type="dxa"/>
          <w:right w:w="0" w:type="dxa"/>
        </w:tblCellMar>
        <w:tblLook w:val="04A0"/>
      </w:tblPr>
      <w:tblGrid>
        <w:gridCol w:w="3213"/>
        <w:gridCol w:w="3214"/>
        <w:gridCol w:w="3212"/>
      </w:tblGrid>
      <w:tr w:rsidR="007E1A0B" w:rsidRPr="00D56C84" w:rsidTr="007E1A0B">
        <w:trPr>
          <w:trHeight w:val="315"/>
        </w:trPr>
        <w:tc>
          <w:tcPr>
            <w:tcW w:w="1667" w:type="pct"/>
            <w:shd w:val="clear" w:color="auto" w:fill="auto"/>
            <w:noWrap/>
            <w:vAlign w:val="bottom"/>
            <w:hideMark/>
          </w:tcPr>
          <w:p w:rsidR="007E1A0B" w:rsidRPr="00D56C84" w:rsidRDefault="007E1A0B" w:rsidP="007E1A0B">
            <w:pPr>
              <w:pStyle w:val="TableHeading"/>
              <w:rPr>
                <w:lang w:eastAsia="en-AU"/>
              </w:rPr>
            </w:pPr>
            <w:r w:rsidRPr="00D56C84">
              <w:rPr>
                <w:lang w:eastAsia="en-AU"/>
              </w:rPr>
              <w:t>Amount of information provided</w:t>
            </w:r>
          </w:p>
        </w:tc>
        <w:tc>
          <w:tcPr>
            <w:tcW w:w="1667" w:type="pct"/>
            <w:shd w:val="clear" w:color="auto" w:fill="auto"/>
            <w:noWrap/>
            <w:vAlign w:val="bottom"/>
            <w:hideMark/>
          </w:tcPr>
          <w:p w:rsidR="007E1A0B" w:rsidRPr="00D56C84" w:rsidRDefault="007E1A0B" w:rsidP="007E1A0B">
            <w:pPr>
              <w:pStyle w:val="TableHeading"/>
              <w:rPr>
                <w:lang w:eastAsia="en-AU"/>
              </w:rPr>
            </w:pPr>
            <w:r w:rsidRPr="00D56C84">
              <w:rPr>
                <w:lang w:eastAsia="en-AU"/>
              </w:rPr>
              <w:t>No. of LGAs</w:t>
            </w:r>
          </w:p>
        </w:tc>
        <w:tc>
          <w:tcPr>
            <w:tcW w:w="1667" w:type="pct"/>
            <w:shd w:val="clear" w:color="auto" w:fill="auto"/>
            <w:noWrap/>
            <w:vAlign w:val="bottom"/>
            <w:hideMark/>
          </w:tcPr>
          <w:p w:rsidR="007E1A0B" w:rsidRPr="00D56C84" w:rsidRDefault="007E1A0B" w:rsidP="007E1A0B">
            <w:pPr>
              <w:pStyle w:val="TableHeading"/>
              <w:rPr>
                <w:lang w:eastAsia="en-AU"/>
              </w:rPr>
            </w:pPr>
            <w:r w:rsidRPr="00D56C84">
              <w:rPr>
                <w:lang w:eastAsia="en-AU"/>
              </w:rPr>
              <w:t>% of total</w:t>
            </w:r>
          </w:p>
        </w:tc>
      </w:tr>
      <w:tr w:rsidR="007E1A0B" w:rsidRPr="00D56C84" w:rsidTr="007E1A0B">
        <w:trPr>
          <w:trHeight w:val="300"/>
        </w:trPr>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Full Data</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24</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33%</w:t>
            </w:r>
          </w:p>
        </w:tc>
      </w:tr>
      <w:tr w:rsidR="007E1A0B" w:rsidRPr="00D56C84" w:rsidTr="007E1A0B">
        <w:trPr>
          <w:trHeight w:val="300"/>
        </w:trPr>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Most Data</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20</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27%</w:t>
            </w:r>
          </w:p>
        </w:tc>
      </w:tr>
      <w:tr w:rsidR="007E1A0B" w:rsidRPr="00D56C84" w:rsidTr="007E1A0B">
        <w:trPr>
          <w:trHeight w:val="300"/>
        </w:trPr>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Some Data</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13</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18%</w:t>
            </w:r>
          </w:p>
        </w:tc>
      </w:tr>
      <w:tr w:rsidR="007E1A0B" w:rsidRPr="00D56C84" w:rsidTr="007E1A0B">
        <w:trPr>
          <w:trHeight w:val="300"/>
        </w:trPr>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Basic Info</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4</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5%</w:t>
            </w:r>
          </w:p>
        </w:tc>
      </w:tr>
      <w:tr w:rsidR="007E1A0B" w:rsidRPr="00D56C84" w:rsidTr="007E1A0B">
        <w:trPr>
          <w:trHeight w:val="315"/>
        </w:trPr>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None</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12</w:t>
            </w:r>
          </w:p>
        </w:tc>
        <w:tc>
          <w:tcPr>
            <w:tcW w:w="1667" w:type="pct"/>
            <w:shd w:val="clear" w:color="auto" w:fill="auto"/>
            <w:noWrap/>
            <w:vAlign w:val="bottom"/>
            <w:hideMark/>
          </w:tcPr>
          <w:p w:rsidR="007E1A0B" w:rsidRPr="00D56C84" w:rsidRDefault="007E1A0B" w:rsidP="007E1A0B">
            <w:pPr>
              <w:pStyle w:val="TableText"/>
              <w:rPr>
                <w:lang w:eastAsia="en-AU"/>
              </w:rPr>
            </w:pPr>
            <w:r w:rsidRPr="00D56C84">
              <w:rPr>
                <w:lang w:eastAsia="en-AU"/>
              </w:rPr>
              <w:t>16%</w:t>
            </w:r>
          </w:p>
        </w:tc>
      </w:tr>
      <w:tr w:rsidR="007E1A0B" w:rsidRPr="00D56C84" w:rsidTr="007E1A0B">
        <w:trPr>
          <w:trHeight w:val="315"/>
        </w:trPr>
        <w:tc>
          <w:tcPr>
            <w:tcW w:w="1667" w:type="pct"/>
            <w:shd w:val="clear" w:color="auto" w:fill="auto"/>
            <w:noWrap/>
            <w:vAlign w:val="bottom"/>
            <w:hideMark/>
          </w:tcPr>
          <w:p w:rsidR="007E1A0B" w:rsidRPr="00D56C84" w:rsidRDefault="007E1A0B" w:rsidP="007E1A0B">
            <w:pPr>
              <w:pStyle w:val="TableText"/>
              <w:rPr>
                <w:b/>
                <w:bCs/>
                <w:lang w:eastAsia="en-AU"/>
              </w:rPr>
            </w:pPr>
            <w:r w:rsidRPr="00D56C84">
              <w:rPr>
                <w:b/>
                <w:bCs/>
                <w:lang w:eastAsia="en-AU"/>
              </w:rPr>
              <w:t>TOTAL</w:t>
            </w:r>
          </w:p>
        </w:tc>
        <w:tc>
          <w:tcPr>
            <w:tcW w:w="1667" w:type="pct"/>
            <w:shd w:val="clear" w:color="auto" w:fill="auto"/>
            <w:noWrap/>
            <w:vAlign w:val="bottom"/>
            <w:hideMark/>
          </w:tcPr>
          <w:p w:rsidR="007E1A0B" w:rsidRPr="00D56C84" w:rsidRDefault="007E1A0B" w:rsidP="007E1A0B">
            <w:pPr>
              <w:pStyle w:val="TableText"/>
              <w:rPr>
                <w:b/>
                <w:bCs/>
                <w:lang w:eastAsia="en-AU"/>
              </w:rPr>
            </w:pPr>
            <w:r w:rsidRPr="00D56C84">
              <w:rPr>
                <w:b/>
                <w:bCs/>
                <w:lang w:eastAsia="en-AU"/>
              </w:rPr>
              <w:t>73</w:t>
            </w:r>
          </w:p>
        </w:tc>
        <w:tc>
          <w:tcPr>
            <w:tcW w:w="1667" w:type="pct"/>
            <w:shd w:val="clear" w:color="auto" w:fill="auto"/>
            <w:noWrap/>
            <w:vAlign w:val="bottom"/>
            <w:hideMark/>
          </w:tcPr>
          <w:p w:rsidR="007E1A0B" w:rsidRPr="00D56C84" w:rsidRDefault="007E1A0B" w:rsidP="007E1A0B">
            <w:pPr>
              <w:pStyle w:val="TableText"/>
              <w:rPr>
                <w:b/>
                <w:bCs/>
                <w:lang w:eastAsia="en-AU"/>
              </w:rPr>
            </w:pPr>
            <w:r w:rsidRPr="00D56C84">
              <w:rPr>
                <w:b/>
                <w:bCs/>
                <w:lang w:eastAsia="en-AU"/>
              </w:rPr>
              <w:t>100%</w:t>
            </w:r>
          </w:p>
        </w:tc>
      </w:tr>
    </w:tbl>
    <w:p w:rsidR="007E1A0B" w:rsidRPr="00D56C84" w:rsidRDefault="007E1A0B" w:rsidP="00464F70">
      <w:pPr>
        <w:pStyle w:val="ParaIndent"/>
      </w:pPr>
    </w:p>
    <w:p w:rsidR="0077687F" w:rsidRDefault="007E1A0B" w:rsidP="00D87D5B">
      <w:pPr>
        <w:pStyle w:val="ParaIndent"/>
        <w:jc w:val="both"/>
      </w:pPr>
      <w:r w:rsidRPr="00D56C84">
        <w:t>Due to the high proportion of LGAs (67%) that did not provide full data for</w:t>
      </w:r>
      <w:r w:rsidRPr="00D56C84">
        <w:rPr>
          <w:i/>
        </w:rPr>
        <w:t xml:space="preserve"> The State of Waste and Recycling in Queensland 2008 Technical Report</w:t>
      </w:r>
      <w:r w:rsidRPr="00D56C84">
        <w:t xml:space="preserve">, it is difficult to draw </w:t>
      </w:r>
      <w:r w:rsidR="00B23878" w:rsidRPr="00D56C84">
        <w:t xml:space="preserve">robust </w:t>
      </w:r>
      <w:r w:rsidRPr="00D56C84">
        <w:t>conclusions about the performance of those LGAs.</w:t>
      </w:r>
      <w:r w:rsidR="00040BFF" w:rsidRPr="00D56C84">
        <w:t xml:space="preserve"> </w:t>
      </w:r>
      <w:fldSimple w:instr=" REF _Ref298752374 \h  \* MERGEFORMAT ">
        <w:r w:rsidR="00166111" w:rsidRPr="00D56C84">
          <w:t xml:space="preserve">Table </w:t>
        </w:r>
        <w:r w:rsidR="00166111">
          <w:rPr>
            <w:noProof/>
          </w:rPr>
          <w:t>8</w:t>
        </w:r>
        <w:r w:rsidR="00166111" w:rsidRPr="00D56C84">
          <w:rPr>
            <w:noProof/>
          </w:rPr>
          <w:t>-</w:t>
        </w:r>
        <w:r w:rsidR="00166111">
          <w:rPr>
            <w:noProof/>
          </w:rPr>
          <w:t>24</w:t>
        </w:r>
      </w:fldSimple>
      <w:r w:rsidR="00B725F9" w:rsidRPr="00D56C84">
        <w:t xml:space="preserve"> </w:t>
      </w:r>
      <w:r w:rsidR="00B10953" w:rsidRPr="00D56C84">
        <w:t xml:space="preserve">provides a summary of the proportion of LGAs </w:t>
      </w:r>
      <w:r w:rsidR="00040BFF" w:rsidRPr="00D56C84">
        <w:t xml:space="preserve">that reported </w:t>
      </w:r>
      <w:r w:rsidR="00B10953" w:rsidRPr="00D56C84">
        <w:t>collecting or recycling various material streams.</w:t>
      </w:r>
    </w:p>
    <w:p w:rsidR="0077687F" w:rsidRDefault="0077687F">
      <w:pPr>
        <w:spacing w:after="0" w:line="240" w:lineRule="auto"/>
        <w:ind w:left="0"/>
      </w:pPr>
      <w:r>
        <w:br w:type="page"/>
      </w:r>
    </w:p>
    <w:p w:rsidR="00B725F9" w:rsidRPr="00D56C84" w:rsidRDefault="00B725F9" w:rsidP="00B725F9">
      <w:pPr>
        <w:pStyle w:val="Caption"/>
      </w:pPr>
      <w:bookmarkStart w:id="80" w:name="_Ref298752374"/>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8</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24</w:t>
      </w:r>
      <w:r w:rsidR="00ED6CA0">
        <w:rPr>
          <w:noProof/>
        </w:rPr>
        <w:fldChar w:fldCharType="end"/>
      </w:r>
      <w:bookmarkEnd w:id="80"/>
      <w:r w:rsidRPr="00D56C84">
        <w:tab/>
        <w:t>Portion of Queensland LGAs that reported collecting or recycling various material streams, versus those that do not collect or recycle the material, or did not specify a response</w:t>
      </w:r>
      <w:r w:rsidR="00EC57B5" w:rsidRPr="00D56C84">
        <w:t xml:space="preserve">, in </w:t>
      </w:r>
      <w:r w:rsidR="00EC57B5" w:rsidRPr="00D56C84">
        <w:rPr>
          <w:i/>
        </w:rPr>
        <w:t>The State of Waste and Recycling in Queensland 2008 Technical Report</w:t>
      </w:r>
      <w:r w:rsidRPr="00D56C84">
        <w:t>.</w:t>
      </w:r>
    </w:p>
    <w:tbl>
      <w:tblPr>
        <w:tblW w:w="5000" w:type="pct"/>
        <w:tblBorders>
          <w:bottom w:val="single" w:sz="18" w:space="0" w:color="808080"/>
          <w:insideH w:val="single" w:sz="4" w:space="0" w:color="808080"/>
        </w:tblBorders>
        <w:tblLayout w:type="fixed"/>
        <w:tblCellMar>
          <w:left w:w="0" w:type="dxa"/>
          <w:right w:w="0" w:type="dxa"/>
        </w:tblCellMar>
        <w:tblLook w:val="04A0"/>
      </w:tblPr>
      <w:tblGrid>
        <w:gridCol w:w="2409"/>
        <w:gridCol w:w="2410"/>
        <w:gridCol w:w="2410"/>
        <w:gridCol w:w="2410"/>
      </w:tblGrid>
      <w:tr w:rsidR="00B10953" w:rsidRPr="00D56C84" w:rsidTr="00B10953">
        <w:trPr>
          <w:trHeight w:val="915"/>
        </w:trPr>
        <w:tc>
          <w:tcPr>
            <w:tcW w:w="1250" w:type="pct"/>
            <w:shd w:val="clear" w:color="auto" w:fill="auto"/>
            <w:noWrap/>
            <w:vAlign w:val="bottom"/>
            <w:hideMark/>
          </w:tcPr>
          <w:p w:rsidR="00B10953" w:rsidRPr="00D56C84" w:rsidRDefault="00B10953" w:rsidP="00B10953">
            <w:pPr>
              <w:pStyle w:val="TableHeading"/>
              <w:rPr>
                <w:lang w:eastAsia="en-AU"/>
              </w:rPr>
            </w:pPr>
          </w:p>
        </w:tc>
        <w:tc>
          <w:tcPr>
            <w:tcW w:w="1250" w:type="pct"/>
            <w:shd w:val="clear" w:color="auto" w:fill="auto"/>
            <w:noWrap/>
            <w:vAlign w:val="bottom"/>
            <w:hideMark/>
          </w:tcPr>
          <w:p w:rsidR="00B10953" w:rsidRPr="00D56C84" w:rsidRDefault="00B10953" w:rsidP="00B725F9">
            <w:pPr>
              <w:pStyle w:val="TableHeading"/>
              <w:rPr>
                <w:lang w:eastAsia="en-AU"/>
              </w:rPr>
            </w:pPr>
            <w:r w:rsidRPr="00D56C84">
              <w:rPr>
                <w:lang w:eastAsia="en-AU"/>
              </w:rPr>
              <w:t xml:space="preserve">LGAs that </w:t>
            </w:r>
            <w:r w:rsidR="00B725F9" w:rsidRPr="00D56C84">
              <w:rPr>
                <w:lang w:eastAsia="en-AU"/>
              </w:rPr>
              <w:t>reported</w:t>
            </w:r>
            <w:r w:rsidRPr="00D56C84">
              <w:rPr>
                <w:lang w:eastAsia="en-AU"/>
              </w:rPr>
              <w:t xml:space="preserve"> collect</w:t>
            </w:r>
            <w:r w:rsidR="00B725F9" w:rsidRPr="00D56C84">
              <w:rPr>
                <w:lang w:eastAsia="en-AU"/>
              </w:rPr>
              <w:t>ing</w:t>
            </w:r>
            <w:r w:rsidRPr="00D56C84">
              <w:rPr>
                <w:lang w:eastAsia="en-AU"/>
              </w:rPr>
              <w:t xml:space="preserve"> or recycl</w:t>
            </w:r>
            <w:r w:rsidR="00B725F9" w:rsidRPr="00D56C84">
              <w:rPr>
                <w:lang w:eastAsia="en-AU"/>
              </w:rPr>
              <w:t>ing</w:t>
            </w:r>
            <w:r w:rsidR="000B5361" w:rsidRPr="00D56C84">
              <w:rPr>
                <w:lang w:eastAsia="en-AU"/>
              </w:rPr>
              <w:t xml:space="preserve"> (%)</w:t>
            </w:r>
          </w:p>
        </w:tc>
        <w:tc>
          <w:tcPr>
            <w:tcW w:w="1250" w:type="pct"/>
            <w:shd w:val="clear" w:color="auto" w:fill="auto"/>
            <w:noWrap/>
            <w:vAlign w:val="bottom"/>
            <w:hideMark/>
          </w:tcPr>
          <w:p w:rsidR="00B10953" w:rsidRPr="00D56C84" w:rsidRDefault="00B10953" w:rsidP="00B725F9">
            <w:pPr>
              <w:pStyle w:val="TableHeading"/>
              <w:rPr>
                <w:lang w:eastAsia="en-AU"/>
              </w:rPr>
            </w:pPr>
            <w:r w:rsidRPr="00D56C84">
              <w:rPr>
                <w:lang w:eastAsia="en-AU"/>
              </w:rPr>
              <w:t>LGAs that</w:t>
            </w:r>
            <w:r w:rsidR="00B725F9" w:rsidRPr="00D56C84">
              <w:rPr>
                <w:lang w:eastAsia="en-AU"/>
              </w:rPr>
              <w:t xml:space="preserve"> reported not</w:t>
            </w:r>
            <w:r w:rsidRPr="00D56C84">
              <w:rPr>
                <w:lang w:eastAsia="en-AU"/>
              </w:rPr>
              <w:t xml:space="preserve"> collect</w:t>
            </w:r>
            <w:r w:rsidR="00B725F9" w:rsidRPr="00D56C84">
              <w:rPr>
                <w:lang w:eastAsia="en-AU"/>
              </w:rPr>
              <w:t>ing</w:t>
            </w:r>
            <w:r w:rsidRPr="00D56C84">
              <w:rPr>
                <w:lang w:eastAsia="en-AU"/>
              </w:rPr>
              <w:t xml:space="preserve"> or recycl</w:t>
            </w:r>
            <w:r w:rsidR="00B725F9" w:rsidRPr="00D56C84">
              <w:rPr>
                <w:lang w:eastAsia="en-AU"/>
              </w:rPr>
              <w:t>ing</w:t>
            </w:r>
            <w:r w:rsidR="000B5361" w:rsidRPr="00D56C84">
              <w:rPr>
                <w:lang w:eastAsia="en-AU"/>
              </w:rPr>
              <w:t xml:space="preserve"> (%)</w:t>
            </w:r>
          </w:p>
        </w:tc>
        <w:tc>
          <w:tcPr>
            <w:tcW w:w="1250" w:type="pct"/>
            <w:shd w:val="clear" w:color="auto" w:fill="auto"/>
            <w:noWrap/>
            <w:vAlign w:val="bottom"/>
            <w:hideMark/>
          </w:tcPr>
          <w:p w:rsidR="00B10953" w:rsidRPr="00D56C84" w:rsidRDefault="00B10953" w:rsidP="00B725F9">
            <w:pPr>
              <w:pStyle w:val="TableHeading"/>
              <w:rPr>
                <w:lang w:eastAsia="en-AU"/>
              </w:rPr>
            </w:pPr>
            <w:r w:rsidRPr="00D56C84">
              <w:rPr>
                <w:lang w:eastAsia="en-AU"/>
              </w:rPr>
              <w:t xml:space="preserve">LGAs </w:t>
            </w:r>
            <w:r w:rsidR="00B725F9" w:rsidRPr="00D56C84">
              <w:rPr>
                <w:lang w:eastAsia="en-AU"/>
              </w:rPr>
              <w:t>that did not specify a</w:t>
            </w:r>
            <w:r w:rsidRPr="00D56C84">
              <w:rPr>
                <w:lang w:eastAsia="en-AU"/>
              </w:rPr>
              <w:t xml:space="preserve"> response</w:t>
            </w:r>
            <w:r w:rsidR="000B5361" w:rsidRPr="00D56C84">
              <w:rPr>
                <w:lang w:eastAsia="en-AU"/>
              </w:rPr>
              <w:t xml:space="preserve"> (%)</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Glass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38%</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62%</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Paper</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36%</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64%</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Cardboard</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29%</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71%</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Plastics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30%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70%</w:t>
            </w:r>
          </w:p>
        </w:tc>
      </w:tr>
      <w:tr w:rsidR="00B10953" w:rsidRPr="00D56C84" w:rsidTr="00B10953">
        <w:trPr>
          <w:trHeight w:val="316"/>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Aluminium cans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44%</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56%</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Steel cans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30%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70%</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proofErr w:type="spellStart"/>
            <w:r w:rsidRPr="00D56C84">
              <w:rPr>
                <w:lang w:eastAsia="en-AU"/>
              </w:rPr>
              <w:t>Greenwaste</w:t>
            </w:r>
            <w:proofErr w:type="spellEnd"/>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49%</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51%</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proofErr w:type="spellStart"/>
            <w:r w:rsidRPr="00D56C84">
              <w:rPr>
                <w:lang w:eastAsia="en-AU"/>
              </w:rPr>
              <w:t>Biosolids</w:t>
            </w:r>
            <w:proofErr w:type="spellEnd"/>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27%</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73%</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Waste water</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41%</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59%</w:t>
            </w:r>
          </w:p>
        </w:tc>
      </w:tr>
      <w:tr w:rsidR="00B10953" w:rsidRPr="00D56C84" w:rsidTr="00B10953">
        <w:trPr>
          <w:trHeight w:val="641"/>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Construction &amp; demolition waste</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29%</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71%</w:t>
            </w:r>
          </w:p>
        </w:tc>
      </w:tr>
      <w:tr w:rsidR="00B10953" w:rsidRPr="00D56C84" w:rsidTr="00B10953">
        <w:trPr>
          <w:trHeight w:val="551"/>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Commercial and industrial waste</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25%</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75%</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Recycle tyres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51%</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33%</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16%</w:t>
            </w:r>
          </w:p>
        </w:tc>
      </w:tr>
      <w:tr w:rsidR="00B10953" w:rsidRPr="00D56C84" w:rsidTr="00B10953">
        <w:trPr>
          <w:trHeight w:val="31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Recycle oil</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70%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11%</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19%</w:t>
            </w:r>
          </w:p>
        </w:tc>
      </w:tr>
      <w:tr w:rsidR="00B10953" w:rsidRPr="00D56C84" w:rsidTr="00B10953">
        <w:trPr>
          <w:trHeight w:val="388"/>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Recycle batteries</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68%</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15%</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16%</w:t>
            </w:r>
          </w:p>
        </w:tc>
      </w:tr>
      <w:tr w:rsidR="00B10953" w:rsidRPr="00D56C84" w:rsidTr="00B10953">
        <w:trPr>
          <w:trHeight w:val="421"/>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Hazardous waste collection</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21%</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60%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19%</w:t>
            </w:r>
          </w:p>
        </w:tc>
      </w:tr>
      <w:tr w:rsidR="00B10953" w:rsidRPr="00D56C84" w:rsidTr="00B10953">
        <w:trPr>
          <w:trHeight w:val="413"/>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Electronic waste collection</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15%</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67%</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18%</w:t>
            </w:r>
          </w:p>
        </w:tc>
      </w:tr>
      <w:tr w:rsidR="00B10953" w:rsidRPr="00D56C84" w:rsidTr="00B10953">
        <w:trPr>
          <w:trHeight w:val="405"/>
        </w:trPr>
        <w:tc>
          <w:tcPr>
            <w:tcW w:w="1250" w:type="pct"/>
            <w:shd w:val="clear" w:color="auto" w:fill="auto"/>
            <w:vAlign w:val="bottom"/>
            <w:hideMark/>
          </w:tcPr>
          <w:p w:rsidR="00B10953" w:rsidRPr="00D56C84" w:rsidRDefault="00B10953" w:rsidP="00B10953">
            <w:pPr>
              <w:pStyle w:val="TableText"/>
              <w:rPr>
                <w:lang w:eastAsia="en-AU"/>
              </w:rPr>
            </w:pPr>
            <w:r w:rsidRPr="00D56C84">
              <w:rPr>
                <w:lang w:eastAsia="en-AU"/>
              </w:rPr>
              <w:t>Clean fill collected</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42%</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40%</w:t>
            </w:r>
          </w:p>
        </w:tc>
        <w:tc>
          <w:tcPr>
            <w:tcW w:w="1250" w:type="pct"/>
            <w:shd w:val="clear" w:color="auto" w:fill="auto"/>
            <w:noWrap/>
            <w:vAlign w:val="bottom"/>
            <w:hideMark/>
          </w:tcPr>
          <w:p w:rsidR="00B10953" w:rsidRPr="00D56C84" w:rsidRDefault="00B10953" w:rsidP="00B10953">
            <w:pPr>
              <w:pStyle w:val="TableText"/>
              <w:rPr>
                <w:lang w:eastAsia="en-AU"/>
              </w:rPr>
            </w:pPr>
            <w:r w:rsidRPr="00D56C84">
              <w:rPr>
                <w:lang w:eastAsia="en-AU"/>
              </w:rPr>
              <w:t>18%</w:t>
            </w:r>
          </w:p>
        </w:tc>
      </w:tr>
    </w:tbl>
    <w:p w:rsidR="00B10953" w:rsidRPr="00D56C84" w:rsidRDefault="00B10953" w:rsidP="00464F70">
      <w:pPr>
        <w:pStyle w:val="ParaIndent"/>
      </w:pPr>
    </w:p>
    <w:p w:rsidR="00F16457" w:rsidRPr="00D56C84" w:rsidRDefault="00B725F9" w:rsidP="003A5F6E">
      <w:pPr>
        <w:pStyle w:val="ParaIndent"/>
        <w:jc w:val="both"/>
      </w:pPr>
      <w:r w:rsidRPr="00D56C84">
        <w:t xml:space="preserve">There is no data available for a significant </w:t>
      </w:r>
      <w:r w:rsidR="000B502D">
        <w:t>number of LGAs</w:t>
      </w:r>
      <w:r w:rsidR="00B23878" w:rsidRPr="00D56C84">
        <w:t xml:space="preserve"> </w:t>
      </w:r>
      <w:r w:rsidRPr="00D56C84">
        <w:t>(22%</w:t>
      </w:r>
      <w:r w:rsidR="000B502D">
        <w:t xml:space="preserve"> but representing just 1% of the population)</w:t>
      </w:r>
      <w:r w:rsidRPr="00D56C84">
        <w:t xml:space="preserve"> in the </w:t>
      </w:r>
      <w:r w:rsidRPr="00D56C84">
        <w:rPr>
          <w:i/>
        </w:rPr>
        <w:t>Queensland local government comparative information 2008</w:t>
      </w:r>
      <w:r w:rsidR="00C34194">
        <w:rPr>
          <w:i/>
        </w:rPr>
        <w:t>–</w:t>
      </w:r>
      <w:r w:rsidRPr="00D56C84">
        <w:rPr>
          <w:i/>
        </w:rPr>
        <w:t>09</w:t>
      </w:r>
      <w:r w:rsidRPr="00D56C84">
        <w:t xml:space="preserve"> report. </w:t>
      </w:r>
      <w:r w:rsidR="000B5361" w:rsidRPr="00D56C84">
        <w:t>For those LGAs where data is available, t</w:t>
      </w:r>
      <w:r w:rsidRPr="00D56C84">
        <w:t xml:space="preserve">otal waste collection costs ranged from a </w:t>
      </w:r>
      <w:r w:rsidR="00B23878" w:rsidRPr="00D56C84">
        <w:t>high</w:t>
      </w:r>
      <w:r w:rsidRPr="00D56C84">
        <w:t xml:space="preserve"> of $54,523,000 (Brisbane City Council) to a </w:t>
      </w:r>
      <w:r w:rsidR="00B23878" w:rsidRPr="00D56C84">
        <w:t>low</w:t>
      </w:r>
      <w:r w:rsidRPr="00D56C84">
        <w:t xml:space="preserve"> of $21,000 (Barcoo Shire Council).</w:t>
      </w:r>
    </w:p>
    <w:p w:rsidR="00F16457" w:rsidRPr="00D56C84" w:rsidRDefault="00B725F9" w:rsidP="003A5F6E">
      <w:pPr>
        <w:pStyle w:val="ParaIndent"/>
        <w:jc w:val="both"/>
      </w:pPr>
      <w:r w:rsidRPr="00D56C84">
        <w:t xml:space="preserve">Based on the </w:t>
      </w:r>
      <w:r w:rsidR="00EC57B5" w:rsidRPr="00D56C84">
        <w:t xml:space="preserve">78% of </w:t>
      </w:r>
      <w:r w:rsidRPr="00D56C84">
        <w:t>councils that provided information</w:t>
      </w:r>
      <w:r w:rsidR="00B23878" w:rsidRPr="00D56C84">
        <w:t xml:space="preserve"> on the costs of collection </w:t>
      </w:r>
      <w:r w:rsidR="00107F62" w:rsidRPr="00D56C84">
        <w:t>as well as on</w:t>
      </w:r>
      <w:r w:rsidR="00B23878" w:rsidRPr="00D56C84">
        <w:t xml:space="preserve"> the number of residential properties serviced, </w:t>
      </w:r>
      <w:r w:rsidRPr="00D56C84">
        <w:t>the</w:t>
      </w:r>
      <w:r w:rsidR="00107F62" w:rsidRPr="00D56C84">
        <w:t xml:space="preserve"> weighted</w:t>
      </w:r>
      <w:r w:rsidRPr="00D56C84">
        <w:t xml:space="preserve"> average </w:t>
      </w:r>
      <w:r w:rsidR="00B23878" w:rsidRPr="00D56C84">
        <w:t>cost of waste collection in Queensland is $115.58 per property.</w:t>
      </w:r>
      <w:r w:rsidR="00F16457" w:rsidRPr="00D56C84">
        <w:t xml:space="preserve"> The costs range from a low of $39.12/property (Sunshine Coast Council) to $914.73/property (Diamantina Shire Council).</w:t>
      </w:r>
    </w:p>
    <w:p w:rsidR="00107F62" w:rsidRPr="00D56C84" w:rsidRDefault="00107F62" w:rsidP="003A5F6E">
      <w:pPr>
        <w:pStyle w:val="ParaIndent"/>
        <w:jc w:val="both"/>
      </w:pPr>
      <w:r w:rsidRPr="00D56C84">
        <w:t>Based on the</w:t>
      </w:r>
      <w:r w:rsidR="00EE4FDA" w:rsidRPr="00D56C84">
        <w:t xml:space="preserve"> 64% of Queensland</w:t>
      </w:r>
      <w:r w:rsidRPr="00D56C84">
        <w:t xml:space="preserve"> councils that provided information on the tonnage of domestic waste collected as well as on the number of residential properties serviced, the average weight of domestic waste collected </w:t>
      </w:r>
      <w:r w:rsidR="000B0B34" w:rsidRPr="00D56C84">
        <w:t xml:space="preserve">per property </w:t>
      </w:r>
      <w:r w:rsidRPr="00D56C84">
        <w:t>was 474kg in 2008</w:t>
      </w:r>
      <w:r w:rsidR="00C34194">
        <w:rPr>
          <w:rFonts w:cs="Arial"/>
        </w:rPr>
        <w:t>–</w:t>
      </w:r>
      <w:r w:rsidRPr="00D56C84">
        <w:t>09.</w:t>
      </w:r>
    </w:p>
    <w:p w:rsidR="007E1A0B" w:rsidRPr="00D56C84" w:rsidRDefault="00ED6CA0" w:rsidP="003A5F6E">
      <w:pPr>
        <w:pStyle w:val="ParaIndent"/>
        <w:jc w:val="both"/>
      </w:pPr>
      <w:fldSimple w:instr=" REF _Ref298770904 \h  \* MERGEFORMAT ">
        <w:r w:rsidR="00166111" w:rsidRPr="00D56C84">
          <w:t xml:space="preserve">Table </w:t>
        </w:r>
        <w:r w:rsidR="00166111">
          <w:rPr>
            <w:noProof/>
          </w:rPr>
          <w:t>8</w:t>
        </w:r>
        <w:r w:rsidR="00166111" w:rsidRPr="00D56C84">
          <w:rPr>
            <w:noProof/>
          </w:rPr>
          <w:t>-</w:t>
        </w:r>
        <w:r w:rsidR="00166111">
          <w:rPr>
            <w:noProof/>
          </w:rPr>
          <w:t>25</w:t>
        </w:r>
      </w:fldSimple>
      <w:r w:rsidR="00107F62" w:rsidRPr="00D56C84">
        <w:t xml:space="preserve"> </w:t>
      </w:r>
      <w:r w:rsidR="00B23878" w:rsidRPr="00D56C84">
        <w:t>provides a summary of the number of collection services</w:t>
      </w:r>
      <w:r w:rsidR="00107F62" w:rsidRPr="00D56C84">
        <w:t xml:space="preserve"> provided per property per week, based on the </w:t>
      </w:r>
      <w:r w:rsidR="00107F62" w:rsidRPr="00D56C84">
        <w:rPr>
          <w:i/>
        </w:rPr>
        <w:t>Queensland local government comparative information 2008</w:t>
      </w:r>
      <w:r w:rsidR="00C34194">
        <w:rPr>
          <w:rFonts w:cs="Arial"/>
          <w:i/>
        </w:rPr>
        <w:t>–</w:t>
      </w:r>
      <w:r w:rsidR="00107F62" w:rsidRPr="00D56C84">
        <w:rPr>
          <w:i/>
        </w:rPr>
        <w:t>09</w:t>
      </w:r>
      <w:r w:rsidR="00107F62" w:rsidRPr="00D56C84">
        <w:t xml:space="preserve"> report.</w:t>
      </w:r>
    </w:p>
    <w:p w:rsidR="000B0B34" w:rsidRPr="00D56C84" w:rsidRDefault="000B0B34" w:rsidP="00464F70">
      <w:pPr>
        <w:pStyle w:val="ParaIndent"/>
      </w:pPr>
    </w:p>
    <w:p w:rsidR="00B23878" w:rsidRPr="00D56C84" w:rsidRDefault="008E3761" w:rsidP="008E3761">
      <w:pPr>
        <w:pStyle w:val="Caption"/>
      </w:pPr>
      <w:bookmarkStart w:id="81" w:name="_Ref298770904"/>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8</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25</w:t>
      </w:r>
      <w:r w:rsidR="00ED6CA0">
        <w:rPr>
          <w:noProof/>
        </w:rPr>
        <w:fldChar w:fldCharType="end"/>
      </w:r>
      <w:bookmarkEnd w:id="81"/>
      <w:r w:rsidRPr="00D56C84">
        <w:tab/>
        <w:t>Number of collection services provided per property per week.</w:t>
      </w:r>
    </w:p>
    <w:tbl>
      <w:tblPr>
        <w:tblStyle w:val="TableGrid"/>
        <w:tblW w:w="3677" w:type="pct"/>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3685"/>
        <w:gridCol w:w="3404"/>
      </w:tblGrid>
      <w:tr w:rsidR="00B23878" w:rsidRPr="00D56C84" w:rsidTr="00107F62">
        <w:tc>
          <w:tcPr>
            <w:tcW w:w="2599" w:type="pct"/>
            <w:shd w:val="clear" w:color="auto" w:fill="auto"/>
          </w:tcPr>
          <w:p w:rsidR="00B23878" w:rsidRPr="00D56C84" w:rsidRDefault="00B23878" w:rsidP="008E3761">
            <w:pPr>
              <w:pStyle w:val="TableHeading"/>
            </w:pPr>
            <w:r w:rsidRPr="00D56C84">
              <w:t>Number of collection services per property per week</w:t>
            </w:r>
          </w:p>
        </w:tc>
        <w:tc>
          <w:tcPr>
            <w:tcW w:w="2401" w:type="pct"/>
            <w:shd w:val="clear" w:color="auto" w:fill="auto"/>
          </w:tcPr>
          <w:p w:rsidR="00B23878" w:rsidRPr="00D56C84" w:rsidRDefault="00B23878" w:rsidP="008E3761">
            <w:pPr>
              <w:pStyle w:val="TableHeading"/>
            </w:pPr>
            <w:r w:rsidRPr="00D56C84">
              <w:t>Percentage of LGAs</w:t>
            </w:r>
          </w:p>
        </w:tc>
      </w:tr>
      <w:tr w:rsidR="00B23878" w:rsidRPr="00D56C84" w:rsidTr="00107F62">
        <w:tc>
          <w:tcPr>
            <w:tcW w:w="2599" w:type="pct"/>
            <w:shd w:val="clear" w:color="auto" w:fill="auto"/>
          </w:tcPr>
          <w:p w:rsidR="00B23878" w:rsidRPr="00D56C84" w:rsidRDefault="00B23878" w:rsidP="008E3761">
            <w:pPr>
              <w:pStyle w:val="TableText"/>
            </w:pPr>
            <w:r w:rsidRPr="00D56C84">
              <w:t>1</w:t>
            </w:r>
          </w:p>
        </w:tc>
        <w:tc>
          <w:tcPr>
            <w:tcW w:w="2401" w:type="pct"/>
            <w:shd w:val="clear" w:color="auto" w:fill="auto"/>
          </w:tcPr>
          <w:p w:rsidR="00B23878" w:rsidRPr="00D56C84" w:rsidRDefault="00B23878" w:rsidP="008E3761">
            <w:pPr>
              <w:pStyle w:val="TableText"/>
            </w:pPr>
            <w:r w:rsidRPr="00D56C84">
              <w:t>63%</w:t>
            </w:r>
          </w:p>
        </w:tc>
      </w:tr>
      <w:tr w:rsidR="00B23878" w:rsidRPr="00D56C84" w:rsidTr="00107F62">
        <w:tc>
          <w:tcPr>
            <w:tcW w:w="2599" w:type="pct"/>
            <w:shd w:val="clear" w:color="auto" w:fill="auto"/>
          </w:tcPr>
          <w:p w:rsidR="00B23878" w:rsidRPr="00D56C84" w:rsidRDefault="00B23878" w:rsidP="008E3761">
            <w:pPr>
              <w:pStyle w:val="TableText"/>
            </w:pPr>
            <w:r w:rsidRPr="00D56C84">
              <w:t>1.5</w:t>
            </w:r>
          </w:p>
        </w:tc>
        <w:tc>
          <w:tcPr>
            <w:tcW w:w="2401" w:type="pct"/>
            <w:shd w:val="clear" w:color="auto" w:fill="auto"/>
          </w:tcPr>
          <w:p w:rsidR="00B23878" w:rsidRPr="00D56C84" w:rsidRDefault="00B23878" w:rsidP="008E3761">
            <w:pPr>
              <w:pStyle w:val="TableText"/>
            </w:pPr>
            <w:r w:rsidRPr="00D56C84">
              <w:t>6%</w:t>
            </w:r>
          </w:p>
        </w:tc>
      </w:tr>
      <w:tr w:rsidR="00B23878" w:rsidRPr="00D56C84" w:rsidTr="00107F62">
        <w:tc>
          <w:tcPr>
            <w:tcW w:w="2599" w:type="pct"/>
            <w:shd w:val="clear" w:color="auto" w:fill="auto"/>
          </w:tcPr>
          <w:p w:rsidR="00B23878" w:rsidRPr="00D56C84" w:rsidRDefault="00B23878" w:rsidP="008E3761">
            <w:pPr>
              <w:pStyle w:val="TableText"/>
            </w:pPr>
            <w:r w:rsidRPr="00D56C84">
              <w:t>2</w:t>
            </w:r>
          </w:p>
        </w:tc>
        <w:tc>
          <w:tcPr>
            <w:tcW w:w="2401" w:type="pct"/>
            <w:shd w:val="clear" w:color="auto" w:fill="auto"/>
          </w:tcPr>
          <w:p w:rsidR="00B23878" w:rsidRPr="00D56C84" w:rsidRDefault="008E3761" w:rsidP="008E3761">
            <w:pPr>
              <w:pStyle w:val="TableText"/>
            </w:pPr>
            <w:r w:rsidRPr="00D56C84">
              <w:t>8</w:t>
            </w:r>
            <w:r w:rsidR="00B23878" w:rsidRPr="00D56C84">
              <w:t>%</w:t>
            </w:r>
          </w:p>
        </w:tc>
      </w:tr>
      <w:tr w:rsidR="00B23878" w:rsidRPr="00D56C84" w:rsidTr="00107F62">
        <w:tc>
          <w:tcPr>
            <w:tcW w:w="2599" w:type="pct"/>
            <w:shd w:val="clear" w:color="auto" w:fill="auto"/>
          </w:tcPr>
          <w:p w:rsidR="00B23878" w:rsidRPr="00D56C84" w:rsidRDefault="00B23878" w:rsidP="008E3761">
            <w:pPr>
              <w:pStyle w:val="TableText"/>
            </w:pPr>
            <w:r w:rsidRPr="00D56C84">
              <w:t>Not specified</w:t>
            </w:r>
          </w:p>
        </w:tc>
        <w:tc>
          <w:tcPr>
            <w:tcW w:w="2401" w:type="pct"/>
            <w:shd w:val="clear" w:color="auto" w:fill="auto"/>
          </w:tcPr>
          <w:p w:rsidR="00B23878" w:rsidRPr="00D56C84" w:rsidRDefault="008E3761" w:rsidP="008E3761">
            <w:pPr>
              <w:pStyle w:val="TableText"/>
            </w:pPr>
            <w:r w:rsidRPr="00D56C84">
              <w:t>24%</w:t>
            </w:r>
          </w:p>
        </w:tc>
      </w:tr>
    </w:tbl>
    <w:p w:rsidR="00E452F0" w:rsidRDefault="00E452F0" w:rsidP="00E452F0">
      <w:pPr>
        <w:pStyle w:val="Heading2"/>
      </w:pPr>
      <w:bookmarkStart w:id="82" w:name="_Toc307470443"/>
      <w:r>
        <w:t>Summary</w:t>
      </w:r>
      <w:r w:rsidR="00085D2C">
        <w:t xml:space="preserve"> – Queensland</w:t>
      </w:r>
      <w:bookmarkEnd w:id="82"/>
    </w:p>
    <w:p w:rsidR="00476718" w:rsidRDefault="00476718" w:rsidP="004C4847">
      <w:pPr>
        <w:pStyle w:val="ParaIndent"/>
        <w:jc w:val="both"/>
      </w:pPr>
      <w:r>
        <w:t xml:space="preserve">Based on research for this </w:t>
      </w:r>
      <w:r w:rsidRPr="00161A53">
        <w:t>report,</w:t>
      </w:r>
      <w:r w:rsidR="00C42EE9" w:rsidRPr="00161A53">
        <w:t xml:space="preserve"> considering the availability of information only,</w:t>
      </w:r>
      <w:r w:rsidRPr="00161A53">
        <w:t xml:space="preserve"> the degree</w:t>
      </w:r>
      <w:r>
        <w:t xml:space="preserve"> to which information about municipal waste and recycling in Queensland meets the needs of users is considered to be MODERATE.</w:t>
      </w:r>
    </w:p>
    <w:p w:rsidR="00476718" w:rsidRDefault="00476718" w:rsidP="004C4847">
      <w:pPr>
        <w:pStyle w:val="ParaIndent"/>
        <w:jc w:val="both"/>
      </w:pPr>
      <w:r>
        <w:t xml:space="preserve">Key performance and service level information is made available at the LGA level, although there are significant gaps in coverage of responses from the state’s LGAs. </w:t>
      </w:r>
    </w:p>
    <w:p w:rsidR="00C42EE9" w:rsidRDefault="00ED6CA0" w:rsidP="00C42EE9">
      <w:pPr>
        <w:pStyle w:val="ParaIndent"/>
        <w:jc w:val="both"/>
      </w:pPr>
      <w:fldSimple w:instr=" REF _Ref301858556 \h  \* MERGEFORMAT ">
        <w:r w:rsidR="00166111">
          <w:t xml:space="preserve">Table </w:t>
        </w:r>
        <w:r w:rsidR="00166111">
          <w:rPr>
            <w:noProof/>
          </w:rPr>
          <w:t>8</w:t>
        </w:r>
        <w:r w:rsidR="00166111" w:rsidRPr="00D56C84">
          <w:rPr>
            <w:noProof/>
          </w:rPr>
          <w:t>-</w:t>
        </w:r>
        <w:r w:rsidR="00166111">
          <w:rPr>
            <w:noProof/>
          </w:rPr>
          <w:t>26</w:t>
        </w:r>
      </w:fldSimple>
      <w:r w:rsidR="00A35187">
        <w:t xml:space="preserve"> provides a comparison of the waste and recycling data collected by government bodies in Queensland against the </w:t>
      </w:r>
      <w:r w:rsidR="00085D2C">
        <w:t xml:space="preserve">LGA-specific </w:t>
      </w:r>
      <w:r w:rsidR="00A35187">
        <w:t xml:space="preserve">data </w:t>
      </w:r>
      <w:r w:rsidR="00A35187" w:rsidRPr="00161A53">
        <w:t>which is made available to the public.</w:t>
      </w:r>
      <w:r w:rsidR="00C42EE9" w:rsidRPr="00161A53">
        <w:t xml:space="preserve"> Note that the quality of available information has not been assessed.</w:t>
      </w:r>
    </w:p>
    <w:p w:rsidR="0077687F" w:rsidRDefault="0077687F" w:rsidP="004C4847">
      <w:pPr>
        <w:pStyle w:val="ParaIndent"/>
        <w:jc w:val="both"/>
      </w:pPr>
    </w:p>
    <w:p w:rsidR="0077687F" w:rsidRDefault="0077687F">
      <w:pPr>
        <w:spacing w:after="0" w:line="240" w:lineRule="auto"/>
        <w:ind w:left="0"/>
      </w:pPr>
      <w:r>
        <w:br w:type="page"/>
      </w:r>
    </w:p>
    <w:p w:rsidR="00A35187" w:rsidRDefault="00A35187" w:rsidP="00A35187">
      <w:pPr>
        <w:pStyle w:val="TableHeading"/>
      </w:pPr>
      <w:bookmarkStart w:id="83" w:name="_Ref301858556"/>
      <w:r>
        <w:lastRenderedPageBreak/>
        <w:t xml:space="preserve">Table </w:t>
      </w:r>
      <w:r w:rsidR="00ED6CA0">
        <w:fldChar w:fldCharType="begin"/>
      </w:r>
      <w:r w:rsidR="006D5406">
        <w:instrText xml:space="preserve"> STYLEREF "_Heading1" \n </w:instrText>
      </w:r>
      <w:r w:rsidR="00ED6CA0">
        <w:fldChar w:fldCharType="separate"/>
      </w:r>
      <w:r w:rsidR="00166111">
        <w:rPr>
          <w:noProof/>
        </w:rPr>
        <w:t>8</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26</w:t>
      </w:r>
      <w:r w:rsidR="00ED6CA0">
        <w:rPr>
          <w:noProof/>
        </w:rPr>
        <w:fldChar w:fldCharType="end"/>
      </w:r>
      <w:bookmarkEnd w:id="83"/>
      <w:r>
        <w:rPr>
          <w:noProof/>
        </w:rPr>
        <w:tab/>
        <w:t xml:space="preserve">Summary of waste and recycling data collected in Queensland </w:t>
      </w:r>
      <w:r w:rsidR="006E78EF">
        <w:rPr>
          <w:noProof/>
        </w:rPr>
        <w:t>and</w:t>
      </w:r>
      <w:r>
        <w:rPr>
          <w:noProof/>
        </w:rPr>
        <w:t xml:space="preserve">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A35187" w:rsidRPr="00DC4F78" w:rsidTr="00A35187">
        <w:trPr>
          <w:trHeight w:val="270"/>
          <w:tblHeader/>
        </w:trPr>
        <w:tc>
          <w:tcPr>
            <w:tcW w:w="2693" w:type="pct"/>
            <w:shd w:val="clear" w:color="auto" w:fill="auto"/>
            <w:noWrap/>
            <w:vAlign w:val="bottom"/>
            <w:hideMark/>
          </w:tcPr>
          <w:p w:rsidR="00A35187" w:rsidRPr="00A42A0E" w:rsidRDefault="00A35187" w:rsidP="00A35187">
            <w:pPr>
              <w:pStyle w:val="TableText"/>
              <w:rPr>
                <w:lang w:val="en-US"/>
              </w:rPr>
            </w:pPr>
            <w:r w:rsidRPr="00A42A0E">
              <w:rPr>
                <w:lang w:val="en-US"/>
              </w:rPr>
              <w:t> </w:t>
            </w:r>
          </w:p>
        </w:tc>
        <w:tc>
          <w:tcPr>
            <w:tcW w:w="980" w:type="pct"/>
          </w:tcPr>
          <w:p w:rsidR="00A35187" w:rsidRPr="00DC4F78" w:rsidRDefault="00A35187" w:rsidP="00A35187">
            <w:pPr>
              <w:pStyle w:val="TableHeading"/>
              <w:jc w:val="center"/>
              <w:rPr>
                <w:lang w:val="en-US"/>
              </w:rPr>
            </w:pPr>
            <w:r w:rsidRPr="00A42A0E">
              <w:rPr>
                <w:lang w:val="en-US"/>
              </w:rPr>
              <w:t>Data collected</w:t>
            </w:r>
          </w:p>
        </w:tc>
        <w:tc>
          <w:tcPr>
            <w:tcW w:w="1327" w:type="pct"/>
            <w:shd w:val="clear" w:color="auto" w:fill="auto"/>
            <w:noWrap/>
            <w:vAlign w:val="bottom"/>
            <w:hideMark/>
          </w:tcPr>
          <w:p w:rsidR="00A35187" w:rsidRPr="00DC4F78" w:rsidRDefault="00A35187" w:rsidP="00A35187">
            <w:pPr>
              <w:pStyle w:val="TableHeading"/>
              <w:jc w:val="center"/>
              <w:rPr>
                <w:lang w:val="en-US"/>
              </w:rPr>
            </w:pPr>
            <w:r w:rsidRPr="00A42A0E">
              <w:rPr>
                <w:lang w:val="en-US"/>
              </w:rPr>
              <w:t>Data available</w:t>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17" name="Picture 51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51" name="Picture 551"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Collection frequencies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19" name="Picture 51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52" name="Picture 552"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Bin sizes/ types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21" name="Picture 52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53" name="Picture 553"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23" name="Picture 52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54" name="Picture 55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25" name="Picture 52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55" name="Picture 55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27" name="Picture 52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28" name="Picture 52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29" name="Picture 52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56" name="Picture 55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infrastructure</w:t>
            </w:r>
          </w:p>
        </w:tc>
        <w:tc>
          <w:tcPr>
            <w:tcW w:w="980" w:type="pct"/>
            <w:vAlign w:val="center"/>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57" name="Picture 55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32" name="Picture 53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costs/ expenditure</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33" name="Picture 53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58" name="Picture 558"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Contractor information</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35" name="Picture 53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36" name="Picture 53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Waste management charges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59" name="Picture 55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60" name="Picture 56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Hard waste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39" name="Picture 53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40" name="Picture 54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Litter/ illegal dumping</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41" name="Picture 541"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42" name="Picture 54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A35187" w:rsidRPr="00A42A0E" w:rsidTr="00A35187">
        <w:trPr>
          <w:trHeight w:val="320"/>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Public Place Collections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43" name="Picture 54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61" name="Picture 561"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Commercial &amp; Industrial Services</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45" name="Picture 54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62" name="Picture 562"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RPr="00A42A0E" w:rsidTr="00A35187">
        <w:trPr>
          <w:trHeight w:val="255"/>
        </w:trPr>
        <w:tc>
          <w:tcPr>
            <w:tcW w:w="2693" w:type="pct"/>
            <w:shd w:val="clear" w:color="auto" w:fill="auto"/>
            <w:vAlign w:val="center"/>
            <w:hideMark/>
          </w:tcPr>
          <w:p w:rsidR="00A35187" w:rsidRPr="00A42A0E" w:rsidRDefault="00A35187" w:rsidP="00A35187">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A35187" w:rsidRPr="00A42A0E" w:rsidRDefault="00A35187" w:rsidP="00A35187">
            <w:pPr>
              <w:pStyle w:val="TableHeading"/>
              <w:jc w:val="center"/>
              <w:rPr>
                <w:lang w:val="en-US"/>
              </w:rPr>
            </w:pPr>
            <w:r>
              <w:rPr>
                <w:noProof/>
                <w:lang w:eastAsia="en-AU"/>
              </w:rPr>
              <w:drawing>
                <wp:inline distT="0" distB="0" distL="0" distR="0">
                  <wp:extent cx="238125" cy="238125"/>
                  <wp:effectExtent l="0" t="0" r="9525" b="9525"/>
                  <wp:docPr id="563" name="Picture 563"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A35187" w:rsidRPr="00A42A0E" w:rsidRDefault="00A35187" w:rsidP="00A35187">
            <w:pPr>
              <w:pStyle w:val="TableText"/>
              <w:jc w:val="center"/>
              <w:rPr>
                <w:lang w:val="en-US"/>
              </w:rPr>
            </w:pPr>
            <w:r>
              <w:rPr>
                <w:noProof/>
                <w:lang w:eastAsia="en-AU"/>
              </w:rPr>
              <w:drawing>
                <wp:inline distT="0" distB="0" distL="0" distR="0">
                  <wp:extent cx="209550" cy="209550"/>
                  <wp:effectExtent l="0" t="0" r="0" b="0"/>
                  <wp:docPr id="564" name="Picture 56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A35187" w:rsidTr="00A35187">
        <w:trPr>
          <w:trHeight w:val="255"/>
        </w:trPr>
        <w:tc>
          <w:tcPr>
            <w:tcW w:w="2693" w:type="pct"/>
            <w:shd w:val="clear" w:color="auto" w:fill="auto"/>
            <w:noWrap/>
            <w:vAlign w:val="center"/>
            <w:hideMark/>
          </w:tcPr>
          <w:p w:rsidR="00A35187" w:rsidRPr="00A42A0E" w:rsidRDefault="00A35187" w:rsidP="00A35187">
            <w:pPr>
              <w:pStyle w:val="TableText"/>
              <w:rPr>
                <w:b/>
                <w:bCs/>
                <w:lang w:val="en-US"/>
              </w:rPr>
            </w:pPr>
            <w:r w:rsidRPr="00A42A0E">
              <w:rPr>
                <w:b/>
                <w:bCs/>
                <w:lang w:val="en-US"/>
              </w:rPr>
              <w:t>Waste Audit Data</w:t>
            </w:r>
          </w:p>
        </w:tc>
        <w:tc>
          <w:tcPr>
            <w:tcW w:w="980" w:type="pct"/>
            <w:vAlign w:val="center"/>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65" name="Picture 56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A35187" w:rsidRDefault="00A35187" w:rsidP="00A35187">
            <w:pPr>
              <w:pStyle w:val="TableHeading"/>
              <w:jc w:val="center"/>
            </w:pPr>
            <w:r w:rsidRPr="00BB7661">
              <w:rPr>
                <w:noProof/>
                <w:lang w:eastAsia="en-AU"/>
              </w:rPr>
              <w:drawing>
                <wp:inline distT="0" distB="0" distL="0" distR="0">
                  <wp:extent cx="200025" cy="200025"/>
                  <wp:effectExtent l="0" t="0" r="9525" b="9525"/>
                  <wp:docPr id="550" name="Picture 55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9445BE" w:rsidRPr="00A35187" w:rsidRDefault="009445BE" w:rsidP="009445BE">
      <w:pPr>
        <w:pStyle w:val="ParaIndent"/>
        <w:rPr>
          <w:sz w:val="14"/>
          <w:szCs w:val="14"/>
        </w:rPr>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Pr="00A35187">
        <w:rPr>
          <w:noProof/>
          <w:sz w:val="14"/>
          <w:szCs w:val="14"/>
          <w:lang w:eastAsia="en-AU"/>
        </w:rPr>
        <w:drawing>
          <wp:inline distT="0" distB="0" distL="0" distR="0">
            <wp:extent cx="209550" cy="209550"/>
            <wp:effectExtent l="0" t="0" r="0" b="0"/>
            <wp:docPr id="15" name="Picture 1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Pr="00A35187">
        <w:rPr>
          <w:noProof/>
          <w:sz w:val="14"/>
          <w:szCs w:val="14"/>
          <w:lang w:eastAsia="en-AU"/>
        </w:rPr>
        <w:drawing>
          <wp:inline distT="0" distB="0" distL="0" distR="0">
            <wp:extent cx="200025" cy="200025"/>
            <wp:effectExtent l="0" t="0" r="0" b="0"/>
            <wp:docPr id="16" name="Picture 16"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Pr="00A35187">
        <w:rPr>
          <w:noProof/>
          <w:sz w:val="14"/>
          <w:szCs w:val="14"/>
          <w:lang w:eastAsia="en-AU"/>
        </w:rPr>
        <w:drawing>
          <wp:inline distT="0" distB="0" distL="0" distR="0">
            <wp:extent cx="200025" cy="200025"/>
            <wp:effectExtent l="0" t="0" r="0" b="0"/>
            <wp:docPr id="17" name="Picture 1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 </w:t>
      </w:r>
      <w:r w:rsidRPr="00A35187">
        <w:rPr>
          <w:sz w:val="14"/>
          <w:szCs w:val="14"/>
        </w:rPr>
        <w:br/>
      </w:r>
    </w:p>
    <w:p w:rsidR="00A35187" w:rsidRPr="003804F4" w:rsidRDefault="00A35187" w:rsidP="00476718">
      <w:pPr>
        <w:pStyle w:val="ParaIndent"/>
      </w:pPr>
    </w:p>
    <w:p w:rsidR="004D0A0A" w:rsidRPr="00D56C84" w:rsidRDefault="004D0A0A">
      <w:pPr>
        <w:spacing w:after="0" w:line="240" w:lineRule="auto"/>
        <w:ind w:left="0"/>
        <w:rPr>
          <w:highlight w:val="yellow"/>
        </w:rPr>
      </w:pPr>
      <w:r w:rsidRPr="00D56C84">
        <w:rPr>
          <w:highlight w:val="yellow"/>
        </w:rPr>
        <w:br w:type="page"/>
      </w:r>
    </w:p>
    <w:p w:rsidR="00CF5BE5" w:rsidRPr="00D56C84" w:rsidRDefault="00CF5BE5" w:rsidP="00AE087B">
      <w:pPr>
        <w:pStyle w:val="Heading1"/>
      </w:pPr>
      <w:bookmarkStart w:id="84" w:name="_Toc307470444"/>
      <w:r w:rsidRPr="00D56C84">
        <w:lastRenderedPageBreak/>
        <w:t>South Australia</w:t>
      </w:r>
      <w:bookmarkEnd w:id="84"/>
    </w:p>
    <w:p w:rsidR="00F16457" w:rsidRPr="00D56C84" w:rsidRDefault="00F16457" w:rsidP="004C4847">
      <w:pPr>
        <w:pStyle w:val="ParaIndent"/>
        <w:jc w:val="both"/>
      </w:pPr>
      <w:r w:rsidRPr="00D56C84">
        <w:t xml:space="preserve">There are 70 Local Government Areas in South Australia, with 17 of these (covering 62% of the state’s population) considered as metropolitan, 12 (23% of the population) considered regional, and 41 (15% of the population)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the availability of LGA-specific waste and recycling information is generally rated as ‘low’ within this jurisdiction.</w:t>
      </w:r>
    </w:p>
    <w:p w:rsidR="00F16457" w:rsidRPr="00D56C84" w:rsidRDefault="00F16457" w:rsidP="004C4847">
      <w:pPr>
        <w:pStyle w:val="ParaIndent"/>
        <w:jc w:val="both"/>
      </w:pPr>
      <w:r w:rsidRPr="00D56C84">
        <w:t xml:space="preserve">This chapter provides an overview of the role of local government in this state in relation to waste management and recycling, as well as explaining the information reporting pathways for relevant information. There is a limited overview of council performance in terms of service provision, landfill diversion rates, and </w:t>
      </w:r>
      <w:proofErr w:type="gramStart"/>
      <w:r w:rsidRPr="00D56C84">
        <w:t>costs,</w:t>
      </w:r>
      <w:proofErr w:type="gramEnd"/>
      <w:r w:rsidRPr="00D56C84">
        <w:t xml:space="preserve"> given data availability is not high. </w:t>
      </w:r>
    </w:p>
    <w:p w:rsidR="00AE087B" w:rsidRPr="00D56C84" w:rsidRDefault="00AE087B" w:rsidP="00AE087B">
      <w:pPr>
        <w:pStyle w:val="Heading2"/>
      </w:pPr>
      <w:bookmarkStart w:id="85" w:name="_Toc307470445"/>
      <w:r w:rsidRPr="00D56C84">
        <w:t xml:space="preserve">The role of local government </w:t>
      </w:r>
      <w:r w:rsidR="00085D2C">
        <w:t>in South Australia</w:t>
      </w:r>
      <w:bookmarkEnd w:id="85"/>
    </w:p>
    <w:p w:rsidR="0099625B" w:rsidRPr="00D56C84" w:rsidRDefault="008116C1" w:rsidP="004C4847">
      <w:pPr>
        <w:pStyle w:val="ParaIndent"/>
        <w:keepNext/>
        <w:spacing w:after="60"/>
        <w:jc w:val="both"/>
      </w:pPr>
      <w:r w:rsidRPr="00D56C84">
        <w:t xml:space="preserve">The </w:t>
      </w:r>
      <w:r w:rsidRPr="0077687F">
        <w:rPr>
          <w:i/>
        </w:rPr>
        <w:t>South Australian</w:t>
      </w:r>
      <w:r w:rsidR="0099625B" w:rsidRPr="0077687F">
        <w:rPr>
          <w:i/>
        </w:rPr>
        <w:t xml:space="preserve"> Local Government Act </w:t>
      </w:r>
      <w:r w:rsidR="006A408C" w:rsidRPr="0077687F">
        <w:rPr>
          <w:i/>
        </w:rPr>
        <w:t>(</w:t>
      </w:r>
      <w:r w:rsidR="0099625B" w:rsidRPr="0077687F">
        <w:rPr>
          <w:i/>
        </w:rPr>
        <w:t>1999</w:t>
      </w:r>
      <w:r w:rsidR="006A408C" w:rsidRPr="0077687F">
        <w:rPr>
          <w:i/>
        </w:rPr>
        <w:t>)</w:t>
      </w:r>
      <w:r w:rsidR="0099625B" w:rsidRPr="00D56C84">
        <w:t xml:space="preserve"> specifically states that local government is required to provide a range of services including </w:t>
      </w:r>
      <w:r w:rsidRPr="00D56C84">
        <w:t>waste collection. Under the Act, local government is</w:t>
      </w:r>
      <w:r w:rsidR="0099625B" w:rsidRPr="00D56C84">
        <w:t xml:space="preserve"> able to collect service rates and charges to deliver the collection, treatment and disposal (including recycling) of waste.</w:t>
      </w:r>
    </w:p>
    <w:p w:rsidR="0099625B" w:rsidRPr="00D56C84" w:rsidRDefault="0099625B" w:rsidP="004C4847">
      <w:pPr>
        <w:pStyle w:val="ParaIndent"/>
        <w:keepNext/>
        <w:spacing w:after="60"/>
        <w:ind w:left="1701"/>
        <w:jc w:val="both"/>
        <w:rPr>
          <w:b/>
          <w:sz w:val="18"/>
          <w:szCs w:val="18"/>
        </w:rPr>
      </w:pPr>
      <w:r w:rsidRPr="00D56C84">
        <w:rPr>
          <w:b/>
          <w:sz w:val="18"/>
          <w:szCs w:val="18"/>
        </w:rPr>
        <w:t>7—Functions of a council</w:t>
      </w:r>
    </w:p>
    <w:p w:rsidR="0099625B" w:rsidRPr="00D56C84" w:rsidRDefault="0099625B" w:rsidP="004C4847">
      <w:pPr>
        <w:pStyle w:val="ParaIndent"/>
        <w:keepNext/>
        <w:spacing w:after="60"/>
        <w:ind w:left="1701"/>
        <w:jc w:val="both"/>
        <w:rPr>
          <w:sz w:val="18"/>
          <w:szCs w:val="18"/>
        </w:rPr>
      </w:pPr>
      <w:r w:rsidRPr="00D56C84">
        <w:rPr>
          <w:sz w:val="18"/>
          <w:szCs w:val="18"/>
        </w:rPr>
        <w:t>The functions of a council include—</w:t>
      </w:r>
    </w:p>
    <w:p w:rsidR="0099625B" w:rsidRPr="00D56C84" w:rsidRDefault="0099625B" w:rsidP="004C4847">
      <w:pPr>
        <w:pStyle w:val="ParaIndent"/>
        <w:keepNext/>
        <w:spacing w:after="60"/>
        <w:ind w:left="1701"/>
        <w:jc w:val="both"/>
        <w:rPr>
          <w:sz w:val="18"/>
          <w:szCs w:val="18"/>
        </w:rPr>
      </w:pPr>
      <w:r w:rsidRPr="00D56C84">
        <w:rPr>
          <w:sz w:val="18"/>
          <w:szCs w:val="18"/>
        </w:rPr>
        <w:t>(</w:t>
      </w:r>
      <w:r w:rsidR="008116C1" w:rsidRPr="00D56C84">
        <w:rPr>
          <w:sz w:val="18"/>
          <w:szCs w:val="18"/>
        </w:rPr>
        <w:t xml:space="preserve"> </w:t>
      </w:r>
      <w:r w:rsidRPr="00D56C84">
        <w:rPr>
          <w:sz w:val="18"/>
          <w:szCs w:val="18"/>
        </w:rPr>
        <w:t xml:space="preserve">) </w:t>
      </w:r>
      <w:r w:rsidR="008116C1" w:rsidRPr="00D56C84">
        <w:rPr>
          <w:sz w:val="18"/>
          <w:szCs w:val="18"/>
        </w:rPr>
        <w:t>...</w:t>
      </w:r>
    </w:p>
    <w:p w:rsidR="0099625B" w:rsidRPr="00D56C84" w:rsidRDefault="0099625B" w:rsidP="004C4847">
      <w:pPr>
        <w:pStyle w:val="ParaIndent"/>
        <w:ind w:left="1701"/>
        <w:jc w:val="both"/>
        <w:rPr>
          <w:sz w:val="18"/>
          <w:szCs w:val="18"/>
        </w:rPr>
      </w:pPr>
      <w:r w:rsidRPr="00D56C84">
        <w:rPr>
          <w:sz w:val="18"/>
          <w:szCs w:val="18"/>
        </w:rPr>
        <w:t xml:space="preserve">(b) </w:t>
      </w:r>
      <w:proofErr w:type="gramStart"/>
      <w:r w:rsidRPr="00D56C84">
        <w:rPr>
          <w:sz w:val="18"/>
          <w:szCs w:val="18"/>
        </w:rPr>
        <w:t>to</w:t>
      </w:r>
      <w:proofErr w:type="gramEnd"/>
      <w:r w:rsidRPr="00D56C84">
        <w:rPr>
          <w:sz w:val="18"/>
          <w:szCs w:val="18"/>
        </w:rPr>
        <w:t xml:space="preserve"> provide services and facilities that benefit its area, its ratepayers and residents, and visitors to its area (including </w:t>
      </w:r>
      <w:r w:rsidR="008116C1" w:rsidRPr="00D56C84">
        <w:rPr>
          <w:sz w:val="18"/>
          <w:szCs w:val="18"/>
        </w:rPr>
        <w:t xml:space="preserve">... </w:t>
      </w:r>
      <w:r w:rsidRPr="00D56C84">
        <w:rPr>
          <w:sz w:val="18"/>
          <w:szCs w:val="18"/>
        </w:rPr>
        <w:t>waste collection</w:t>
      </w:r>
      <w:r w:rsidR="008116C1" w:rsidRPr="00D56C84">
        <w:rPr>
          <w:sz w:val="18"/>
          <w:szCs w:val="18"/>
        </w:rPr>
        <w:t xml:space="preserve"> ...)</w:t>
      </w:r>
      <w:r w:rsidR="00C34194">
        <w:rPr>
          <w:sz w:val="18"/>
          <w:szCs w:val="18"/>
        </w:rPr>
        <w:t>.</w:t>
      </w:r>
    </w:p>
    <w:p w:rsidR="0099625B" w:rsidRPr="00D56C84" w:rsidRDefault="0099625B" w:rsidP="004C4847">
      <w:pPr>
        <w:pStyle w:val="ParaIndent"/>
        <w:keepNext/>
        <w:spacing w:after="60"/>
        <w:jc w:val="both"/>
      </w:pPr>
      <w:r w:rsidRPr="00D56C84">
        <w:t xml:space="preserve">The </w:t>
      </w:r>
      <w:r w:rsidRPr="0077687F">
        <w:rPr>
          <w:i/>
        </w:rPr>
        <w:t>Zero Waste SA Act</w:t>
      </w:r>
      <w:r w:rsidR="004D0A0A" w:rsidRPr="0077687F">
        <w:rPr>
          <w:i/>
        </w:rPr>
        <w:t xml:space="preserve"> </w:t>
      </w:r>
      <w:r w:rsidR="006A408C" w:rsidRPr="0077687F">
        <w:rPr>
          <w:i/>
        </w:rPr>
        <w:t>(</w:t>
      </w:r>
      <w:r w:rsidRPr="0077687F">
        <w:rPr>
          <w:i/>
        </w:rPr>
        <w:t>2004</w:t>
      </w:r>
      <w:r w:rsidR="006A408C" w:rsidRPr="0077687F">
        <w:rPr>
          <w:i/>
        </w:rPr>
        <w:t>)</w:t>
      </w:r>
      <w:r w:rsidR="006A408C" w:rsidRPr="00D56C84">
        <w:t xml:space="preserve"> </w:t>
      </w:r>
      <w:r w:rsidR="00A30620" w:rsidRPr="00D56C84">
        <w:t xml:space="preserve">establishes the Zero Waste SA agency and </w:t>
      </w:r>
      <w:r w:rsidR="006A408C" w:rsidRPr="00D56C84">
        <w:t xml:space="preserve">requires </w:t>
      </w:r>
      <w:r w:rsidR="00A30620" w:rsidRPr="00D56C84">
        <w:t>the agency</w:t>
      </w:r>
      <w:r w:rsidR="006A408C" w:rsidRPr="00D56C84">
        <w:t xml:space="preserve"> to consult with local government in respect to </w:t>
      </w:r>
      <w:r w:rsidRPr="00D56C84">
        <w:t>waste management policy and strategy</w:t>
      </w:r>
      <w:r w:rsidR="006A408C" w:rsidRPr="00D56C84">
        <w:t xml:space="preserve"> development</w:t>
      </w:r>
      <w:r w:rsidRPr="00D56C84">
        <w:t>.</w:t>
      </w:r>
      <w:r w:rsidR="006A408C" w:rsidRPr="00D56C84">
        <w:t xml:space="preserve"> The Act also </w:t>
      </w:r>
      <w:r w:rsidR="004D0A0A" w:rsidRPr="00D56C84">
        <w:t>specifies</w:t>
      </w:r>
      <w:r w:rsidR="006A408C" w:rsidRPr="00D56C84">
        <w:t>:</w:t>
      </w:r>
    </w:p>
    <w:p w:rsidR="006A408C" w:rsidRPr="00D56C84" w:rsidRDefault="006A408C" w:rsidP="004C4847">
      <w:pPr>
        <w:pStyle w:val="ParaIndent"/>
        <w:keepNext/>
        <w:spacing w:after="60"/>
        <w:ind w:left="1701"/>
        <w:jc w:val="both"/>
        <w:rPr>
          <w:b/>
          <w:sz w:val="18"/>
          <w:szCs w:val="18"/>
        </w:rPr>
      </w:pPr>
      <w:r w:rsidRPr="00D56C84">
        <w:rPr>
          <w:b/>
          <w:sz w:val="18"/>
          <w:szCs w:val="18"/>
        </w:rPr>
        <w:t>6—Functions of Zero Waste SA</w:t>
      </w:r>
    </w:p>
    <w:p w:rsidR="006A408C" w:rsidRPr="00D56C84" w:rsidRDefault="006A408C" w:rsidP="004C4847">
      <w:pPr>
        <w:pStyle w:val="ParaIndent"/>
        <w:keepNext/>
        <w:spacing w:after="60"/>
        <w:ind w:left="1701"/>
        <w:jc w:val="both"/>
        <w:rPr>
          <w:sz w:val="18"/>
          <w:szCs w:val="18"/>
        </w:rPr>
      </w:pPr>
      <w:r w:rsidRPr="00D56C84">
        <w:rPr>
          <w:sz w:val="18"/>
          <w:szCs w:val="18"/>
        </w:rPr>
        <w:t>The functions of Zero Waste SA are—</w:t>
      </w:r>
    </w:p>
    <w:p w:rsidR="006A408C" w:rsidRPr="00D56C84" w:rsidRDefault="006A408C" w:rsidP="004C4847">
      <w:pPr>
        <w:pStyle w:val="ParaIndent"/>
        <w:keepNext/>
        <w:spacing w:after="60"/>
        <w:ind w:left="1701"/>
        <w:jc w:val="both"/>
        <w:rPr>
          <w:sz w:val="18"/>
          <w:szCs w:val="18"/>
        </w:rPr>
      </w:pPr>
      <w:r w:rsidRPr="00D56C84">
        <w:rPr>
          <w:sz w:val="18"/>
          <w:szCs w:val="18"/>
        </w:rPr>
        <w:t>( ) ...</w:t>
      </w:r>
    </w:p>
    <w:p w:rsidR="006A408C" w:rsidRPr="00D56C84" w:rsidRDefault="006A408C" w:rsidP="004C4847">
      <w:pPr>
        <w:pStyle w:val="ParaIndent"/>
        <w:ind w:left="1701"/>
        <w:jc w:val="both"/>
        <w:rPr>
          <w:sz w:val="18"/>
          <w:szCs w:val="18"/>
        </w:rPr>
      </w:pPr>
      <w:r w:rsidRPr="00D56C84">
        <w:rPr>
          <w:sz w:val="18"/>
          <w:szCs w:val="18"/>
        </w:rPr>
        <w:t xml:space="preserve">(d) </w:t>
      </w:r>
      <w:proofErr w:type="gramStart"/>
      <w:r w:rsidRPr="00D56C84">
        <w:rPr>
          <w:sz w:val="18"/>
          <w:szCs w:val="18"/>
        </w:rPr>
        <w:t>to</w:t>
      </w:r>
      <w:proofErr w:type="gramEnd"/>
      <w:r w:rsidRPr="00D56C84">
        <w:rPr>
          <w:sz w:val="18"/>
          <w:szCs w:val="18"/>
        </w:rPr>
        <w:t xml:space="preserve"> provide assistance to local councils with arrangements for regional waste management</w:t>
      </w:r>
      <w:r w:rsidR="00C34194">
        <w:rPr>
          <w:sz w:val="18"/>
          <w:szCs w:val="18"/>
        </w:rPr>
        <w:t>.</w:t>
      </w:r>
    </w:p>
    <w:p w:rsidR="00AE087B" w:rsidRPr="00D56C84" w:rsidRDefault="00AE087B" w:rsidP="00AE087B">
      <w:pPr>
        <w:pStyle w:val="Heading2"/>
      </w:pPr>
      <w:bookmarkStart w:id="86" w:name="_Toc307470446"/>
      <w:r w:rsidRPr="00D56C84">
        <w:t>Groupings</w:t>
      </w:r>
      <w:r w:rsidR="00085D2C" w:rsidRPr="00085D2C">
        <w:t xml:space="preserve"> </w:t>
      </w:r>
      <w:r w:rsidR="00085D2C">
        <w:t>in South Australia</w:t>
      </w:r>
      <w:bookmarkEnd w:id="86"/>
    </w:p>
    <w:p w:rsidR="008C3594" w:rsidRPr="00D56C84" w:rsidRDefault="008C3594" w:rsidP="008C3594">
      <w:pPr>
        <w:pStyle w:val="Heading3"/>
      </w:pPr>
      <w:r w:rsidRPr="00D56C84">
        <w:t>Waste Management Groups</w:t>
      </w:r>
    </w:p>
    <w:p w:rsidR="001C38E4" w:rsidRPr="00D56C84" w:rsidRDefault="00CC0966" w:rsidP="004C4847">
      <w:pPr>
        <w:pStyle w:val="ParaIndent"/>
        <w:jc w:val="both"/>
      </w:pPr>
      <w:r w:rsidRPr="00D56C84">
        <w:t>Waste Management Groups are not formalised in South Australia.</w:t>
      </w:r>
      <w:r w:rsidR="001C38E4" w:rsidRPr="00D56C84">
        <w:t xml:space="preserve"> However, local government is organised into five regional groups, a metropolitan group, and</w:t>
      </w:r>
      <w:r w:rsidR="00C34194">
        <w:t xml:space="preserve"> a</w:t>
      </w:r>
      <w:r w:rsidR="001C38E4" w:rsidRPr="00D56C84">
        <w:t xml:space="preserve"> provincial cities association.</w:t>
      </w:r>
      <w:r w:rsidR="00D75A3A" w:rsidRPr="00D56C84">
        <w:t xml:space="preserve"> T</w:t>
      </w:r>
      <w:r w:rsidR="001C38E4" w:rsidRPr="00D56C84">
        <w:t>hese groupings cover all but 10 LGAs, account</w:t>
      </w:r>
      <w:r w:rsidR="004D0A0A" w:rsidRPr="00D56C84">
        <w:t>ing</w:t>
      </w:r>
      <w:r w:rsidR="001C38E4" w:rsidRPr="00D56C84">
        <w:t xml:space="preserve"> for 97% of the population and </w:t>
      </w:r>
      <w:r w:rsidR="006E6B6B" w:rsidRPr="00D56C84">
        <w:t xml:space="preserve">about </w:t>
      </w:r>
      <w:r w:rsidR="001C38E4" w:rsidRPr="00D56C84">
        <w:t>52% of the land area.</w:t>
      </w:r>
    </w:p>
    <w:p w:rsidR="006E6B6B" w:rsidRPr="00D56C84" w:rsidRDefault="006E6B6B" w:rsidP="004C4847">
      <w:pPr>
        <w:pStyle w:val="ParaIndent"/>
        <w:jc w:val="both"/>
      </w:pPr>
      <w:r w:rsidRPr="00D56C84">
        <w:t>There also exist</w:t>
      </w:r>
      <w:r w:rsidR="00A30620" w:rsidRPr="00D56C84">
        <w:t>s</w:t>
      </w:r>
      <w:r w:rsidRPr="00D56C84">
        <w:t xml:space="preserve"> the Southern Region Waste Resource Authority (SRWRA)</w:t>
      </w:r>
      <w:r w:rsidR="004A6410" w:rsidRPr="00D56C84">
        <w:t>, which</w:t>
      </w:r>
      <w:r w:rsidRPr="00D56C84">
        <w:t xml:space="preserve"> is a Regional Subsidiary </w:t>
      </w:r>
      <w:r w:rsidR="004A6410" w:rsidRPr="00D56C84">
        <w:t>under</w:t>
      </w:r>
      <w:r w:rsidRPr="00D56C84">
        <w:t xml:space="preserve"> </w:t>
      </w:r>
      <w:r w:rsidR="00FE0559" w:rsidRPr="00D56C84">
        <w:t xml:space="preserve">the </w:t>
      </w:r>
      <w:r w:rsidR="00FE0559" w:rsidRPr="0077687F">
        <w:rPr>
          <w:i/>
        </w:rPr>
        <w:t>Local Government Act</w:t>
      </w:r>
      <w:r w:rsidRPr="0077687F">
        <w:rPr>
          <w:i/>
        </w:rPr>
        <w:t xml:space="preserve"> </w:t>
      </w:r>
      <w:r w:rsidR="00FE0559" w:rsidRPr="0077687F">
        <w:rPr>
          <w:i/>
        </w:rPr>
        <w:t>(</w:t>
      </w:r>
      <w:r w:rsidRPr="0077687F">
        <w:rPr>
          <w:i/>
        </w:rPr>
        <w:t>1999</w:t>
      </w:r>
      <w:r w:rsidR="00FE0559" w:rsidRPr="0077687F">
        <w:rPr>
          <w:i/>
        </w:rPr>
        <w:t>)</w:t>
      </w:r>
      <w:r w:rsidR="004A6410" w:rsidRPr="00D56C84">
        <w:t xml:space="preserve"> </w:t>
      </w:r>
      <w:r w:rsidR="004D0A0A" w:rsidRPr="00D56C84">
        <w:t xml:space="preserve">that was </w:t>
      </w:r>
      <w:r w:rsidR="004A6410" w:rsidRPr="00D56C84">
        <w:t>established by the Cities of Onkaparinga, Marion and Holdfast Bay</w:t>
      </w:r>
      <w:r w:rsidR="004D0A0A" w:rsidRPr="00D56C84">
        <w:t>,</w:t>
      </w:r>
      <w:r w:rsidR="00FE0559" w:rsidRPr="00D56C84">
        <w:t xml:space="preserve"> primarily to manage a landfill facility.</w:t>
      </w:r>
    </w:p>
    <w:p w:rsidR="001C38E4" w:rsidRPr="00D56C84" w:rsidRDefault="00ED6CA0" w:rsidP="004C4847">
      <w:pPr>
        <w:pStyle w:val="ParaIndent"/>
        <w:jc w:val="both"/>
      </w:pPr>
      <w:fldSimple w:instr=" REF _Ref297109124 \h  \* MERGEFORMAT ">
        <w:r w:rsidR="00166111" w:rsidRPr="00D56C84">
          <w:t xml:space="preserve">Table </w:t>
        </w:r>
        <w:r w:rsidR="00166111">
          <w:rPr>
            <w:noProof/>
          </w:rPr>
          <w:t>9</w:t>
        </w:r>
        <w:r w:rsidR="00166111" w:rsidRPr="00D56C84">
          <w:rPr>
            <w:noProof/>
          </w:rPr>
          <w:t>-</w:t>
        </w:r>
        <w:r w:rsidR="00166111">
          <w:rPr>
            <w:noProof/>
          </w:rPr>
          <w:t>27</w:t>
        </w:r>
      </w:fldSimple>
      <w:r w:rsidR="00A30620" w:rsidRPr="00D56C84">
        <w:t xml:space="preserve"> </w:t>
      </w:r>
      <w:r w:rsidR="001C38E4" w:rsidRPr="00D56C84">
        <w:t>shows the</w:t>
      </w:r>
      <w:r w:rsidR="00D75A3A" w:rsidRPr="00D56C84">
        <w:t>se</w:t>
      </w:r>
      <w:r w:rsidR="001C38E4" w:rsidRPr="00D56C84">
        <w:t xml:space="preserve"> local government groups, their member LGAs, their population and population density. It should be noted that some members of the metropolitan and provincial groups are also members of regions.</w:t>
      </w:r>
    </w:p>
    <w:p w:rsidR="00A30620" w:rsidRPr="00D56C84" w:rsidRDefault="00A30620" w:rsidP="001C38E4">
      <w:pPr>
        <w:pStyle w:val="ParaIndent"/>
      </w:pPr>
    </w:p>
    <w:p w:rsidR="00A30620" w:rsidRPr="00D56C84" w:rsidRDefault="00A30620" w:rsidP="00A30620">
      <w:pPr>
        <w:pStyle w:val="Caption"/>
      </w:pPr>
      <w:bookmarkStart w:id="87" w:name="_Ref297109124"/>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9</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27</w:t>
      </w:r>
      <w:r w:rsidR="00ED6CA0">
        <w:rPr>
          <w:noProof/>
        </w:rPr>
        <w:fldChar w:fldCharType="end"/>
      </w:r>
      <w:bookmarkEnd w:id="87"/>
      <w:r w:rsidRPr="00D56C84">
        <w:tab/>
      </w:r>
      <w:r w:rsidRPr="00D56C84">
        <w:rPr>
          <w:rFonts w:cs="Arial"/>
        </w:rPr>
        <w:t>Local groupings and organisations in South Australia</w:t>
      </w:r>
    </w:p>
    <w:tbl>
      <w:tblPr>
        <w:tblW w:w="8505" w:type="dxa"/>
        <w:tblInd w:w="1134" w:type="dxa"/>
        <w:tblBorders>
          <w:bottom w:val="single" w:sz="18" w:space="0" w:color="808080"/>
          <w:insideH w:val="single" w:sz="4" w:space="0" w:color="808080"/>
        </w:tblBorders>
        <w:tblLayout w:type="fixed"/>
        <w:tblCellMar>
          <w:left w:w="0" w:type="dxa"/>
          <w:right w:w="113" w:type="dxa"/>
        </w:tblCellMar>
        <w:tblLook w:val="04A0"/>
      </w:tblPr>
      <w:tblGrid>
        <w:gridCol w:w="1560"/>
        <w:gridCol w:w="4536"/>
        <w:gridCol w:w="1275"/>
        <w:gridCol w:w="1134"/>
      </w:tblGrid>
      <w:tr w:rsidR="00770E4B" w:rsidRPr="00D56C84" w:rsidTr="00550094">
        <w:trPr>
          <w:cantSplit/>
          <w:trHeight w:val="227"/>
          <w:tblHeader/>
        </w:trPr>
        <w:tc>
          <w:tcPr>
            <w:tcW w:w="1560" w:type="dxa"/>
            <w:shd w:val="clear" w:color="auto" w:fill="auto"/>
            <w:noWrap/>
            <w:vAlign w:val="center"/>
            <w:hideMark/>
          </w:tcPr>
          <w:p w:rsidR="00770E4B" w:rsidRPr="00D56C84" w:rsidRDefault="00770E4B" w:rsidP="006E6B6B">
            <w:pPr>
              <w:pStyle w:val="TableHeading"/>
              <w:rPr>
                <w:lang w:eastAsia="en-AU"/>
              </w:rPr>
            </w:pPr>
            <w:r w:rsidRPr="00D56C84">
              <w:rPr>
                <w:lang w:eastAsia="en-AU"/>
              </w:rPr>
              <w:t>Region</w:t>
            </w:r>
            <w:r w:rsidR="002B05C3" w:rsidRPr="00D56C84">
              <w:rPr>
                <w:lang w:eastAsia="en-AU"/>
              </w:rPr>
              <w:t xml:space="preserve">/ </w:t>
            </w:r>
            <w:r w:rsidR="006E6B6B" w:rsidRPr="00D56C84">
              <w:rPr>
                <w:lang w:eastAsia="en-AU"/>
              </w:rPr>
              <w:t xml:space="preserve">Group/ Authority/ </w:t>
            </w:r>
            <w:r w:rsidR="002B05C3" w:rsidRPr="00D56C84">
              <w:rPr>
                <w:lang w:eastAsia="en-AU"/>
              </w:rPr>
              <w:t>Association</w:t>
            </w:r>
          </w:p>
        </w:tc>
        <w:tc>
          <w:tcPr>
            <w:tcW w:w="4536" w:type="dxa"/>
            <w:shd w:val="clear" w:color="auto" w:fill="auto"/>
            <w:noWrap/>
            <w:vAlign w:val="center"/>
            <w:hideMark/>
          </w:tcPr>
          <w:p w:rsidR="00770E4B" w:rsidRPr="00D56C84" w:rsidRDefault="00770E4B" w:rsidP="00770E4B">
            <w:pPr>
              <w:pStyle w:val="TableHeading"/>
              <w:rPr>
                <w:lang w:eastAsia="en-AU"/>
              </w:rPr>
            </w:pPr>
            <w:r w:rsidRPr="00D56C84">
              <w:rPr>
                <w:lang w:eastAsia="en-AU"/>
              </w:rPr>
              <w:t>LGAs</w:t>
            </w:r>
          </w:p>
        </w:tc>
        <w:tc>
          <w:tcPr>
            <w:tcW w:w="1275" w:type="dxa"/>
            <w:vAlign w:val="center"/>
          </w:tcPr>
          <w:p w:rsidR="00770E4B" w:rsidRPr="00D56C84" w:rsidRDefault="00770E4B" w:rsidP="006E6B6B">
            <w:pPr>
              <w:pStyle w:val="TableHeading"/>
              <w:jc w:val="right"/>
              <w:rPr>
                <w:lang w:eastAsia="en-AU"/>
              </w:rPr>
            </w:pPr>
            <w:r w:rsidRPr="00D56C84">
              <w:rPr>
                <w:lang w:eastAsia="en-AU"/>
              </w:rPr>
              <w:t>Population</w:t>
            </w:r>
            <w:r w:rsidR="00550094">
              <w:rPr>
                <w:rStyle w:val="FootnoteReference"/>
                <w:lang w:eastAsia="en-AU"/>
              </w:rPr>
              <w:footnoteReference w:id="12"/>
            </w:r>
          </w:p>
        </w:tc>
        <w:tc>
          <w:tcPr>
            <w:tcW w:w="1134" w:type="dxa"/>
            <w:vAlign w:val="center"/>
          </w:tcPr>
          <w:p w:rsidR="00770E4B" w:rsidRPr="00D56C84" w:rsidRDefault="00770E4B" w:rsidP="006E6B6B">
            <w:pPr>
              <w:pStyle w:val="TableHeading"/>
              <w:jc w:val="right"/>
              <w:rPr>
                <w:lang w:eastAsia="en-AU"/>
              </w:rPr>
            </w:pPr>
            <w:r w:rsidRPr="00D56C84">
              <w:rPr>
                <w:lang w:eastAsia="en-AU"/>
              </w:rPr>
              <w:t>Population density</w:t>
            </w:r>
            <w:r w:rsidR="00101C06" w:rsidRPr="00D56C84">
              <w:rPr>
                <w:lang w:eastAsia="en-AU"/>
              </w:rPr>
              <w:t xml:space="preserve"> (/km</w:t>
            </w:r>
            <w:r w:rsidR="00101C06" w:rsidRPr="00D56C84">
              <w:rPr>
                <w:vertAlign w:val="superscript"/>
                <w:lang w:eastAsia="en-AU"/>
              </w:rPr>
              <w:t>2</w:t>
            </w:r>
            <w:r w:rsidR="00101C06" w:rsidRPr="00D56C84">
              <w:rPr>
                <w:lang w:eastAsia="en-AU"/>
              </w:rPr>
              <w:t>)</w:t>
            </w:r>
          </w:p>
        </w:tc>
      </w:tr>
      <w:tr w:rsidR="007157AE" w:rsidRPr="00D56C84" w:rsidTr="00550094">
        <w:trPr>
          <w:cantSplit/>
          <w:trHeight w:val="227"/>
        </w:trPr>
        <w:tc>
          <w:tcPr>
            <w:tcW w:w="1560" w:type="dxa"/>
            <w:shd w:val="clear" w:color="auto" w:fill="auto"/>
            <w:noWrap/>
            <w:vAlign w:val="center"/>
            <w:hideMark/>
          </w:tcPr>
          <w:p w:rsidR="007157AE" w:rsidRPr="00D56C84" w:rsidRDefault="007157AE" w:rsidP="00770E4B">
            <w:pPr>
              <w:pStyle w:val="TableText"/>
              <w:keepNext/>
              <w:rPr>
                <w:lang w:eastAsia="en-AU"/>
              </w:rPr>
            </w:pPr>
            <w:r w:rsidRPr="00D56C84">
              <w:rPr>
                <w:lang w:eastAsia="en-AU"/>
              </w:rPr>
              <w:t>Central Region</w:t>
            </w:r>
          </w:p>
        </w:tc>
        <w:tc>
          <w:tcPr>
            <w:tcW w:w="4536" w:type="dxa"/>
            <w:shd w:val="clear" w:color="auto" w:fill="auto"/>
            <w:noWrap/>
            <w:vAlign w:val="center"/>
            <w:hideMark/>
          </w:tcPr>
          <w:p w:rsidR="007157AE" w:rsidRPr="00D56C84" w:rsidRDefault="007157AE" w:rsidP="00770E4B">
            <w:pPr>
              <w:pStyle w:val="TableText"/>
              <w:keepNext/>
              <w:rPr>
                <w:lang w:eastAsia="en-AU"/>
              </w:rPr>
            </w:pPr>
            <w:r w:rsidRPr="00D56C84">
              <w:rPr>
                <w:lang w:eastAsia="en-AU"/>
              </w:rPr>
              <w:t xml:space="preserve">Port Pirie City and </w:t>
            </w:r>
            <w:proofErr w:type="spellStart"/>
            <w:r w:rsidRPr="00D56C84">
              <w:rPr>
                <w:lang w:eastAsia="en-AU"/>
              </w:rPr>
              <w:t>Dists</w:t>
            </w:r>
            <w:proofErr w:type="spellEnd"/>
            <w:r w:rsidRPr="00D56C84">
              <w:rPr>
                <w:lang w:eastAsia="en-AU"/>
              </w:rPr>
              <w:t xml:space="preserve"> (M), Barossa (DC), </w:t>
            </w:r>
            <w:proofErr w:type="spellStart"/>
            <w:r w:rsidRPr="00D56C84">
              <w:rPr>
                <w:lang w:eastAsia="en-AU"/>
              </w:rPr>
              <w:t>Barunga</w:t>
            </w:r>
            <w:proofErr w:type="spellEnd"/>
            <w:r w:rsidRPr="00D56C84">
              <w:rPr>
                <w:lang w:eastAsia="en-AU"/>
              </w:rPr>
              <w:t xml:space="preserve"> West (DC), Copper Coast (DC), Flinders Ranges (DC), Goyder (DC), Light (</w:t>
            </w:r>
            <w:proofErr w:type="spellStart"/>
            <w:r w:rsidRPr="00D56C84">
              <w:rPr>
                <w:lang w:eastAsia="en-AU"/>
              </w:rPr>
              <w:t>RegC</w:t>
            </w:r>
            <w:proofErr w:type="spellEnd"/>
            <w:r w:rsidRPr="00D56C84">
              <w:rPr>
                <w:lang w:eastAsia="en-AU"/>
              </w:rPr>
              <w:t xml:space="preserve">), Mallala (DC), Mount Remarkable (DC), Northern Areas (DC), Orroroo/Carrieton (DC), Peterborough (DC), </w:t>
            </w:r>
            <w:proofErr w:type="spellStart"/>
            <w:r w:rsidRPr="00D56C84">
              <w:rPr>
                <w:lang w:eastAsia="en-AU"/>
              </w:rPr>
              <w:t>Yorke</w:t>
            </w:r>
            <w:proofErr w:type="spellEnd"/>
            <w:r w:rsidRPr="00D56C84">
              <w:rPr>
                <w:lang w:eastAsia="en-AU"/>
              </w:rPr>
              <w:t xml:space="preserve"> Peninsula (DC)</w:t>
            </w:r>
          </w:p>
        </w:tc>
        <w:tc>
          <w:tcPr>
            <w:tcW w:w="1275" w:type="dxa"/>
            <w:vAlign w:val="center"/>
          </w:tcPr>
          <w:p w:rsidR="007157AE" w:rsidRPr="00D56C84" w:rsidRDefault="007157AE" w:rsidP="006E6B6B">
            <w:pPr>
              <w:pStyle w:val="TableText"/>
              <w:keepNext/>
              <w:jc w:val="right"/>
              <w:rPr>
                <w:lang w:eastAsia="en-AU"/>
              </w:rPr>
            </w:pPr>
            <w:r w:rsidRPr="00D56C84">
              <w:rPr>
                <w:lang w:eastAsia="en-AU"/>
              </w:rPr>
              <w:t>106,698</w:t>
            </w:r>
          </w:p>
        </w:tc>
        <w:tc>
          <w:tcPr>
            <w:tcW w:w="1134" w:type="dxa"/>
            <w:vAlign w:val="center"/>
          </w:tcPr>
          <w:p w:rsidR="007157AE" w:rsidRPr="008C4900" w:rsidRDefault="007157AE" w:rsidP="008C4900">
            <w:pPr>
              <w:pStyle w:val="TableText"/>
              <w:jc w:val="right"/>
              <w:rPr>
                <w:lang w:eastAsia="en-AU"/>
              </w:rPr>
            </w:pPr>
            <w:r w:rsidRPr="008C4900">
              <w:rPr>
                <w:lang w:eastAsia="en-AU"/>
              </w:rPr>
              <w:t>0.2</w:t>
            </w:r>
          </w:p>
        </w:tc>
      </w:tr>
      <w:tr w:rsidR="007157AE" w:rsidRPr="00D56C84" w:rsidTr="00550094">
        <w:trPr>
          <w:cantSplit/>
          <w:trHeight w:val="227"/>
        </w:trPr>
        <w:tc>
          <w:tcPr>
            <w:tcW w:w="1560" w:type="dxa"/>
            <w:tcBorders>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Eyre Peninsula Region</w:t>
            </w:r>
          </w:p>
        </w:tc>
        <w:tc>
          <w:tcPr>
            <w:tcW w:w="4536" w:type="dxa"/>
            <w:tcBorders>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Port Augusta (C), Port Lincoln (C), Whyalla (C), Ceduna (DC), Cleve (DC), Elliston (DC), Franklin Harbour (DC), Kimba (DC), Lower Eyre Peninsula (DC), Streaky Bay (DC), Tumby Bay (DC)</w:t>
            </w:r>
          </w:p>
        </w:tc>
        <w:tc>
          <w:tcPr>
            <w:tcW w:w="1275" w:type="dxa"/>
            <w:tcBorders>
              <w:bottom w:val="single" w:sz="4" w:space="0" w:color="808080"/>
            </w:tcBorders>
            <w:vAlign w:val="center"/>
          </w:tcPr>
          <w:p w:rsidR="007157AE" w:rsidRPr="00D56C84" w:rsidRDefault="007157AE" w:rsidP="00FE0559">
            <w:pPr>
              <w:pStyle w:val="TableText"/>
              <w:jc w:val="right"/>
              <w:rPr>
                <w:lang w:eastAsia="en-AU"/>
              </w:rPr>
            </w:pPr>
            <w:r w:rsidRPr="00D56C84">
              <w:rPr>
                <w:lang w:eastAsia="en-AU"/>
              </w:rPr>
              <w:t>71,402</w:t>
            </w:r>
          </w:p>
        </w:tc>
        <w:tc>
          <w:tcPr>
            <w:tcW w:w="1134" w:type="dxa"/>
            <w:tcBorders>
              <w:bottom w:val="single" w:sz="4" w:space="0" w:color="808080"/>
            </w:tcBorders>
            <w:vAlign w:val="center"/>
          </w:tcPr>
          <w:p w:rsidR="007157AE" w:rsidRPr="008C4900" w:rsidRDefault="007157AE" w:rsidP="008C4900">
            <w:pPr>
              <w:pStyle w:val="TableText"/>
              <w:jc w:val="right"/>
              <w:rPr>
                <w:lang w:eastAsia="en-AU"/>
              </w:rPr>
            </w:pPr>
            <w:r w:rsidRPr="008C4900">
              <w:rPr>
                <w:lang w:eastAsia="en-AU"/>
              </w:rPr>
              <w:t>0.2</w:t>
            </w:r>
          </w:p>
        </w:tc>
      </w:tr>
      <w:tr w:rsidR="007157AE" w:rsidRPr="00D56C84" w:rsidTr="00550094">
        <w:trPr>
          <w:cantSplit/>
          <w:trHeight w:val="227"/>
        </w:trPr>
        <w:tc>
          <w:tcPr>
            <w:tcW w:w="1560"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 xml:space="preserve">Murray and </w:t>
            </w:r>
            <w:proofErr w:type="spellStart"/>
            <w:r w:rsidRPr="00D56C84">
              <w:rPr>
                <w:lang w:eastAsia="en-AU"/>
              </w:rPr>
              <w:t>Mallee</w:t>
            </w:r>
            <w:proofErr w:type="spellEnd"/>
            <w:r w:rsidRPr="00D56C84">
              <w:rPr>
                <w:lang w:eastAsia="en-AU"/>
              </w:rPr>
              <w:t xml:space="preserve"> Region</w:t>
            </w:r>
          </w:p>
        </w:tc>
        <w:tc>
          <w:tcPr>
            <w:tcW w:w="4536"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 xml:space="preserve">The Coorong (DC), Murray Bridge (RC), Loxton Waikerie (DC), Mid Murray (DC), Renmark Paringa (DC), Southern </w:t>
            </w:r>
            <w:proofErr w:type="spellStart"/>
            <w:r w:rsidRPr="00D56C84">
              <w:rPr>
                <w:lang w:eastAsia="en-AU"/>
              </w:rPr>
              <w:t>Mallee</w:t>
            </w:r>
            <w:proofErr w:type="spellEnd"/>
            <w:r w:rsidRPr="00D56C84">
              <w:rPr>
                <w:lang w:eastAsia="en-AU"/>
              </w:rPr>
              <w:t xml:space="preserve"> (DC)</w:t>
            </w:r>
          </w:p>
        </w:tc>
        <w:tc>
          <w:tcPr>
            <w:tcW w:w="1275" w:type="dxa"/>
            <w:tcBorders>
              <w:top w:val="single" w:sz="4" w:space="0" w:color="808080"/>
              <w:bottom w:val="single" w:sz="4" w:space="0" w:color="808080"/>
            </w:tcBorders>
            <w:vAlign w:val="center"/>
          </w:tcPr>
          <w:p w:rsidR="007157AE" w:rsidRPr="00D56C84" w:rsidRDefault="007157AE" w:rsidP="00FE0559">
            <w:pPr>
              <w:pStyle w:val="TableText"/>
              <w:jc w:val="right"/>
              <w:rPr>
                <w:lang w:eastAsia="en-AU"/>
              </w:rPr>
            </w:pPr>
            <w:r w:rsidRPr="00D56C84">
              <w:rPr>
                <w:lang w:eastAsia="en-AU"/>
              </w:rPr>
              <w:t>57,852</w:t>
            </w:r>
          </w:p>
        </w:tc>
        <w:tc>
          <w:tcPr>
            <w:tcW w:w="1134" w:type="dxa"/>
            <w:tcBorders>
              <w:top w:val="single" w:sz="4" w:space="0" w:color="808080"/>
              <w:bottom w:val="single" w:sz="4" w:space="0" w:color="808080"/>
            </w:tcBorders>
            <w:vAlign w:val="center"/>
          </w:tcPr>
          <w:p w:rsidR="007157AE" w:rsidRPr="008C4900" w:rsidRDefault="007157AE" w:rsidP="008C4900">
            <w:pPr>
              <w:pStyle w:val="TableText"/>
              <w:jc w:val="right"/>
              <w:rPr>
                <w:lang w:eastAsia="en-AU"/>
              </w:rPr>
            </w:pPr>
            <w:r w:rsidRPr="008C4900">
              <w:rPr>
                <w:lang w:eastAsia="en-AU"/>
              </w:rPr>
              <w:t>0.3</w:t>
            </w:r>
          </w:p>
        </w:tc>
      </w:tr>
      <w:tr w:rsidR="007157AE" w:rsidRPr="00D56C84" w:rsidTr="00550094">
        <w:trPr>
          <w:cantSplit/>
          <w:trHeight w:val="227"/>
        </w:trPr>
        <w:tc>
          <w:tcPr>
            <w:tcW w:w="1560"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 xml:space="preserve">South East Region </w:t>
            </w:r>
          </w:p>
        </w:tc>
        <w:tc>
          <w:tcPr>
            <w:tcW w:w="4536"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 xml:space="preserve">Grant (DC), Kingston (DC), Mount Gambier (C), Robe (DC), </w:t>
            </w:r>
            <w:proofErr w:type="spellStart"/>
            <w:r w:rsidRPr="00D56C84">
              <w:rPr>
                <w:lang w:eastAsia="en-AU"/>
              </w:rPr>
              <w:t>Tatiara</w:t>
            </w:r>
            <w:proofErr w:type="spellEnd"/>
            <w:r w:rsidRPr="00D56C84">
              <w:rPr>
                <w:lang w:eastAsia="en-AU"/>
              </w:rPr>
              <w:t xml:space="preserve"> (DC), Wattle Range (DC)</w:t>
            </w:r>
          </w:p>
        </w:tc>
        <w:tc>
          <w:tcPr>
            <w:tcW w:w="1275" w:type="dxa"/>
            <w:tcBorders>
              <w:top w:val="single" w:sz="4" w:space="0" w:color="808080"/>
              <w:bottom w:val="single" w:sz="4" w:space="0" w:color="808080"/>
            </w:tcBorders>
            <w:vAlign w:val="center"/>
          </w:tcPr>
          <w:p w:rsidR="007157AE" w:rsidRPr="00D56C84" w:rsidRDefault="007157AE" w:rsidP="00FE0559">
            <w:pPr>
              <w:pStyle w:val="TableText"/>
              <w:jc w:val="right"/>
              <w:rPr>
                <w:lang w:eastAsia="en-AU"/>
              </w:rPr>
            </w:pPr>
            <w:r w:rsidRPr="00D56C84">
              <w:rPr>
                <w:lang w:eastAsia="en-AU"/>
              </w:rPr>
              <w:t>57,489</w:t>
            </w:r>
          </w:p>
        </w:tc>
        <w:tc>
          <w:tcPr>
            <w:tcW w:w="1134" w:type="dxa"/>
            <w:tcBorders>
              <w:top w:val="single" w:sz="4" w:space="0" w:color="808080"/>
              <w:bottom w:val="single" w:sz="4" w:space="0" w:color="808080"/>
            </w:tcBorders>
            <w:vAlign w:val="center"/>
          </w:tcPr>
          <w:p w:rsidR="007157AE" w:rsidRPr="008C4900" w:rsidRDefault="007157AE" w:rsidP="008C4900">
            <w:pPr>
              <w:pStyle w:val="TableText"/>
              <w:jc w:val="right"/>
              <w:rPr>
                <w:lang w:eastAsia="en-AU"/>
              </w:rPr>
            </w:pPr>
            <w:r w:rsidRPr="008C4900">
              <w:rPr>
                <w:lang w:eastAsia="en-AU"/>
              </w:rPr>
              <w:t>0.3</w:t>
            </w:r>
          </w:p>
        </w:tc>
      </w:tr>
      <w:tr w:rsidR="007157AE" w:rsidRPr="00D56C84" w:rsidTr="00550094">
        <w:trPr>
          <w:cantSplit/>
          <w:trHeight w:val="227"/>
        </w:trPr>
        <w:tc>
          <w:tcPr>
            <w:tcW w:w="1560"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Southern and Hills Region</w:t>
            </w:r>
          </w:p>
        </w:tc>
        <w:tc>
          <w:tcPr>
            <w:tcW w:w="4536" w:type="dxa"/>
            <w:tcBorders>
              <w:top w:val="single" w:sz="4" w:space="0" w:color="808080"/>
              <w:bottom w:val="single" w:sz="4" w:space="0" w:color="808080"/>
            </w:tcBorders>
            <w:shd w:val="clear" w:color="auto" w:fill="auto"/>
            <w:noWrap/>
            <w:vAlign w:val="center"/>
            <w:hideMark/>
          </w:tcPr>
          <w:p w:rsidR="007157AE" w:rsidRPr="00D56C84" w:rsidRDefault="007157AE" w:rsidP="00FE0559">
            <w:pPr>
              <w:pStyle w:val="TableText"/>
              <w:rPr>
                <w:lang w:eastAsia="en-AU"/>
              </w:rPr>
            </w:pPr>
            <w:r w:rsidRPr="00D56C84">
              <w:rPr>
                <w:lang w:eastAsia="en-AU"/>
              </w:rPr>
              <w:t>Adelaide Hills (DC), Victor Harbor (C), Alexandrina (DC), Kangaroo Island (DC), Mount Barker (DC), Yankalilla (DC)</w:t>
            </w:r>
          </w:p>
        </w:tc>
        <w:tc>
          <w:tcPr>
            <w:tcW w:w="1275" w:type="dxa"/>
            <w:tcBorders>
              <w:top w:val="single" w:sz="4" w:space="0" w:color="808080"/>
              <w:bottom w:val="single" w:sz="4" w:space="0" w:color="808080"/>
            </w:tcBorders>
            <w:vAlign w:val="center"/>
          </w:tcPr>
          <w:p w:rsidR="007157AE" w:rsidRPr="00D56C84" w:rsidRDefault="007157AE" w:rsidP="00FE0559">
            <w:pPr>
              <w:pStyle w:val="TableText"/>
              <w:jc w:val="right"/>
              <w:rPr>
                <w:lang w:eastAsia="en-AU"/>
              </w:rPr>
            </w:pPr>
            <w:r w:rsidRPr="00D56C84">
              <w:rPr>
                <w:lang w:eastAsia="en-AU"/>
              </w:rPr>
              <w:t>115,673</w:t>
            </w:r>
          </w:p>
        </w:tc>
        <w:tc>
          <w:tcPr>
            <w:tcW w:w="1134" w:type="dxa"/>
            <w:tcBorders>
              <w:top w:val="single" w:sz="4" w:space="0" w:color="808080"/>
              <w:bottom w:val="single" w:sz="4" w:space="0" w:color="808080"/>
            </w:tcBorders>
            <w:vAlign w:val="center"/>
          </w:tcPr>
          <w:p w:rsidR="007157AE" w:rsidRPr="008C4900" w:rsidRDefault="007157AE" w:rsidP="008C4900">
            <w:pPr>
              <w:pStyle w:val="TableText"/>
              <w:jc w:val="right"/>
              <w:rPr>
                <w:lang w:eastAsia="en-AU"/>
              </w:rPr>
            </w:pPr>
            <w:r w:rsidRPr="008C4900">
              <w:rPr>
                <w:lang w:eastAsia="en-AU"/>
              </w:rPr>
              <w:t>0.5</w:t>
            </w:r>
          </w:p>
        </w:tc>
      </w:tr>
      <w:tr w:rsidR="006E6B6B" w:rsidRPr="00D56C84" w:rsidTr="00550094">
        <w:trPr>
          <w:cantSplit/>
          <w:trHeight w:val="227"/>
        </w:trPr>
        <w:tc>
          <w:tcPr>
            <w:tcW w:w="1560" w:type="dxa"/>
            <w:tcBorders>
              <w:top w:val="single" w:sz="4" w:space="0" w:color="808080"/>
              <w:bottom w:val="single" w:sz="4" w:space="0" w:color="808080"/>
            </w:tcBorders>
            <w:shd w:val="clear" w:color="auto" w:fill="auto"/>
            <w:noWrap/>
            <w:vAlign w:val="center"/>
            <w:hideMark/>
          </w:tcPr>
          <w:p w:rsidR="006E6B6B" w:rsidRPr="00D56C84" w:rsidRDefault="006E6B6B" w:rsidP="00FE0559">
            <w:pPr>
              <w:pStyle w:val="TableText"/>
              <w:rPr>
                <w:lang w:eastAsia="en-AU"/>
              </w:rPr>
            </w:pPr>
            <w:r w:rsidRPr="00D56C84">
              <w:rPr>
                <w:lang w:eastAsia="en-AU"/>
              </w:rPr>
              <w:t>Metropolitan Local Government Group</w:t>
            </w:r>
          </w:p>
        </w:tc>
        <w:tc>
          <w:tcPr>
            <w:tcW w:w="4536" w:type="dxa"/>
            <w:tcBorders>
              <w:top w:val="single" w:sz="4" w:space="0" w:color="808080"/>
              <w:bottom w:val="single" w:sz="4" w:space="0" w:color="808080"/>
            </w:tcBorders>
            <w:shd w:val="clear" w:color="auto" w:fill="auto"/>
            <w:noWrap/>
            <w:vAlign w:val="center"/>
            <w:hideMark/>
          </w:tcPr>
          <w:p w:rsidR="006E6B6B" w:rsidRPr="00D56C84" w:rsidRDefault="006E6B6B" w:rsidP="00FE0559">
            <w:pPr>
              <w:pStyle w:val="TableText"/>
              <w:rPr>
                <w:lang w:eastAsia="en-AU"/>
              </w:rPr>
            </w:pPr>
            <w:r w:rsidRPr="00D56C84">
              <w:rPr>
                <w:lang w:eastAsia="en-AU"/>
              </w:rPr>
              <w:t xml:space="preserve">Port Adelaide Enfield (C), Norwood Payneham St Peters (C), Adelaide Hills (DC), Adelaide (C), Burnside (C), Campbelltown (C), Charles Sturt (C), Gawler (T), Holdfast Bay (C), Marion (C), Mitcham (C), Onkaparinga (C), </w:t>
            </w:r>
            <w:proofErr w:type="spellStart"/>
            <w:r w:rsidRPr="00D56C84">
              <w:rPr>
                <w:lang w:eastAsia="en-AU"/>
              </w:rPr>
              <w:t>Playford</w:t>
            </w:r>
            <w:proofErr w:type="spellEnd"/>
            <w:r w:rsidRPr="00D56C84">
              <w:rPr>
                <w:lang w:eastAsia="en-AU"/>
              </w:rPr>
              <w:t xml:space="preserve"> (C), Prospect (C), Salisbury (C), Tea Tree Gully (C), Unley (C), Walkerville (M), West Torrens (C)</w:t>
            </w:r>
          </w:p>
        </w:tc>
        <w:tc>
          <w:tcPr>
            <w:tcW w:w="1275" w:type="dxa"/>
            <w:tcBorders>
              <w:top w:val="single" w:sz="4" w:space="0" w:color="808080"/>
              <w:bottom w:val="single" w:sz="4" w:space="0" w:color="808080"/>
            </w:tcBorders>
            <w:vAlign w:val="center"/>
          </w:tcPr>
          <w:p w:rsidR="006E6B6B" w:rsidRPr="00D56C84" w:rsidRDefault="006E6B6B" w:rsidP="00FE0559">
            <w:pPr>
              <w:pStyle w:val="TableText"/>
              <w:jc w:val="right"/>
              <w:rPr>
                <w:lang w:eastAsia="en-AU"/>
              </w:rPr>
            </w:pPr>
            <w:r w:rsidRPr="00D56C84">
              <w:rPr>
                <w:lang w:eastAsia="en-AU"/>
              </w:rPr>
              <w:t>1,306,534</w:t>
            </w:r>
          </w:p>
        </w:tc>
        <w:tc>
          <w:tcPr>
            <w:tcW w:w="1134" w:type="dxa"/>
            <w:tcBorders>
              <w:top w:val="single" w:sz="4" w:space="0" w:color="808080"/>
              <w:bottom w:val="single" w:sz="4" w:space="0" w:color="808080"/>
            </w:tcBorders>
            <w:vAlign w:val="center"/>
          </w:tcPr>
          <w:p w:rsidR="006E6B6B" w:rsidRPr="00D56C84" w:rsidRDefault="008C4900" w:rsidP="008C4900">
            <w:pPr>
              <w:pStyle w:val="TableText"/>
              <w:jc w:val="right"/>
              <w:rPr>
                <w:lang w:eastAsia="en-AU"/>
              </w:rPr>
            </w:pPr>
            <w:r w:rsidRPr="008C4900">
              <w:rPr>
                <w:lang w:eastAsia="en-AU"/>
              </w:rPr>
              <w:t>1.5</w:t>
            </w:r>
          </w:p>
        </w:tc>
      </w:tr>
      <w:tr w:rsidR="006E6B6B" w:rsidRPr="00D56C84" w:rsidTr="00550094">
        <w:trPr>
          <w:cantSplit/>
          <w:trHeight w:val="227"/>
        </w:trPr>
        <w:tc>
          <w:tcPr>
            <w:tcW w:w="1560" w:type="dxa"/>
            <w:tcBorders>
              <w:top w:val="single" w:sz="4" w:space="0" w:color="808080"/>
              <w:bottom w:val="single" w:sz="4" w:space="0" w:color="808080"/>
            </w:tcBorders>
            <w:shd w:val="clear" w:color="auto" w:fill="auto"/>
            <w:noWrap/>
            <w:vAlign w:val="center"/>
            <w:hideMark/>
          </w:tcPr>
          <w:p w:rsidR="006E6B6B" w:rsidRPr="00D56C84" w:rsidRDefault="006E6B6B" w:rsidP="006E6B6B">
            <w:pPr>
              <w:pStyle w:val="TableText"/>
              <w:rPr>
                <w:lang w:eastAsia="en-AU"/>
              </w:rPr>
            </w:pPr>
            <w:r w:rsidRPr="00D56C84">
              <w:rPr>
                <w:lang w:eastAsia="en-AU"/>
              </w:rPr>
              <w:t>Southern Region Waste Resource Authority</w:t>
            </w:r>
          </w:p>
        </w:tc>
        <w:tc>
          <w:tcPr>
            <w:tcW w:w="4536" w:type="dxa"/>
            <w:tcBorders>
              <w:top w:val="single" w:sz="4" w:space="0" w:color="808080"/>
              <w:bottom w:val="single" w:sz="4" w:space="0" w:color="808080"/>
            </w:tcBorders>
            <w:shd w:val="clear" w:color="auto" w:fill="auto"/>
            <w:noWrap/>
            <w:vAlign w:val="center"/>
            <w:hideMark/>
          </w:tcPr>
          <w:p w:rsidR="006E6B6B" w:rsidRPr="00D56C84" w:rsidRDefault="006E6B6B" w:rsidP="006E6B6B">
            <w:pPr>
              <w:spacing w:after="0" w:line="240" w:lineRule="auto"/>
              <w:ind w:left="0"/>
              <w:rPr>
                <w:lang w:eastAsia="en-AU"/>
              </w:rPr>
            </w:pPr>
            <w:r w:rsidRPr="00D56C84">
              <w:rPr>
                <w:sz w:val="18"/>
                <w:lang w:eastAsia="en-AU"/>
              </w:rPr>
              <w:t>Holdfast Bay (C), Marion (C), Mitcham (C), Onkaparinga (C)</w:t>
            </w:r>
          </w:p>
        </w:tc>
        <w:tc>
          <w:tcPr>
            <w:tcW w:w="1275" w:type="dxa"/>
            <w:tcBorders>
              <w:top w:val="single" w:sz="4" w:space="0" w:color="808080"/>
              <w:bottom w:val="single" w:sz="4" w:space="0" w:color="808080"/>
            </w:tcBorders>
            <w:vAlign w:val="center"/>
          </w:tcPr>
          <w:p w:rsidR="006E6B6B" w:rsidRPr="00D56C84" w:rsidRDefault="006E6B6B" w:rsidP="006E6B6B">
            <w:pPr>
              <w:pStyle w:val="TableText"/>
              <w:jc w:val="right"/>
              <w:rPr>
                <w:lang w:eastAsia="en-AU"/>
              </w:rPr>
            </w:pPr>
            <w:r w:rsidRPr="00D56C84">
              <w:rPr>
                <w:lang w:eastAsia="en-AU"/>
              </w:rPr>
              <w:t>280,229</w:t>
            </w:r>
          </w:p>
        </w:tc>
        <w:tc>
          <w:tcPr>
            <w:tcW w:w="1134" w:type="dxa"/>
            <w:tcBorders>
              <w:top w:val="single" w:sz="4" w:space="0" w:color="808080"/>
              <w:bottom w:val="single" w:sz="4" w:space="0" w:color="808080"/>
            </w:tcBorders>
            <w:vAlign w:val="center"/>
          </w:tcPr>
          <w:p w:rsidR="006E6B6B" w:rsidRPr="008C4900" w:rsidRDefault="008C4900" w:rsidP="008C4900">
            <w:pPr>
              <w:pStyle w:val="TableText"/>
              <w:jc w:val="right"/>
              <w:rPr>
                <w:lang w:eastAsia="en-AU"/>
              </w:rPr>
            </w:pPr>
            <w:r w:rsidRPr="008C4900">
              <w:rPr>
                <w:lang w:eastAsia="en-AU"/>
              </w:rPr>
              <w:t>2.3</w:t>
            </w:r>
          </w:p>
        </w:tc>
      </w:tr>
      <w:tr w:rsidR="006E6B6B" w:rsidRPr="00D56C84" w:rsidTr="00550094">
        <w:tblPrEx>
          <w:tblCellMar>
            <w:right w:w="0" w:type="dxa"/>
          </w:tblCellMar>
        </w:tblPrEx>
        <w:trPr>
          <w:cantSplit/>
          <w:trHeight w:val="227"/>
        </w:trPr>
        <w:tc>
          <w:tcPr>
            <w:tcW w:w="1560" w:type="dxa"/>
            <w:tcBorders>
              <w:top w:val="single" w:sz="4" w:space="0" w:color="808080"/>
              <w:bottom w:val="single" w:sz="4" w:space="0" w:color="808080"/>
            </w:tcBorders>
            <w:shd w:val="clear" w:color="auto" w:fill="auto"/>
            <w:noWrap/>
            <w:vAlign w:val="center"/>
            <w:hideMark/>
          </w:tcPr>
          <w:p w:rsidR="006E6B6B" w:rsidRPr="00D56C84" w:rsidRDefault="006E6B6B" w:rsidP="002B05C3">
            <w:pPr>
              <w:pStyle w:val="TableText"/>
              <w:rPr>
                <w:lang w:eastAsia="en-AU"/>
              </w:rPr>
            </w:pPr>
            <w:r w:rsidRPr="00D56C84">
              <w:rPr>
                <w:lang w:eastAsia="en-AU"/>
              </w:rPr>
              <w:t>Provincial Cities Association</w:t>
            </w:r>
          </w:p>
        </w:tc>
        <w:tc>
          <w:tcPr>
            <w:tcW w:w="4536" w:type="dxa"/>
            <w:tcBorders>
              <w:top w:val="single" w:sz="4" w:space="0" w:color="808080"/>
              <w:bottom w:val="single" w:sz="4" w:space="0" w:color="808080"/>
            </w:tcBorders>
            <w:shd w:val="clear" w:color="auto" w:fill="auto"/>
            <w:noWrap/>
            <w:vAlign w:val="center"/>
            <w:hideMark/>
          </w:tcPr>
          <w:p w:rsidR="006E6B6B" w:rsidRPr="00D56C84" w:rsidRDefault="006E6B6B" w:rsidP="002B05C3">
            <w:pPr>
              <w:pStyle w:val="TableText"/>
              <w:rPr>
                <w:lang w:eastAsia="en-AU"/>
              </w:rPr>
            </w:pPr>
            <w:r w:rsidRPr="00D56C84">
              <w:rPr>
                <w:lang w:eastAsia="en-AU"/>
              </w:rPr>
              <w:t>Port Augusta (C), Port Lincoln (C), Whyalla (C), Murray Bridge (RC), Victor Harbor (C)</w:t>
            </w:r>
          </w:p>
        </w:tc>
        <w:tc>
          <w:tcPr>
            <w:tcW w:w="1275" w:type="dxa"/>
            <w:tcBorders>
              <w:top w:val="single" w:sz="4" w:space="0" w:color="808080"/>
              <w:bottom w:val="single" w:sz="4" w:space="0" w:color="808080"/>
            </w:tcBorders>
            <w:vAlign w:val="center"/>
          </w:tcPr>
          <w:p w:rsidR="006E6B6B" w:rsidRPr="00D56C84" w:rsidRDefault="006E6B6B" w:rsidP="006E6B6B">
            <w:pPr>
              <w:pStyle w:val="TableText"/>
              <w:jc w:val="right"/>
              <w:rPr>
                <w:lang w:eastAsia="en-AU"/>
              </w:rPr>
            </w:pPr>
            <w:r w:rsidRPr="00D56C84">
              <w:rPr>
                <w:lang w:eastAsia="en-AU"/>
              </w:rPr>
              <w:t>85,300</w:t>
            </w:r>
          </w:p>
        </w:tc>
        <w:tc>
          <w:tcPr>
            <w:tcW w:w="1134" w:type="dxa"/>
            <w:tcBorders>
              <w:top w:val="single" w:sz="4" w:space="0" w:color="808080"/>
              <w:bottom w:val="single" w:sz="4" w:space="0" w:color="808080"/>
            </w:tcBorders>
            <w:vAlign w:val="center"/>
          </w:tcPr>
          <w:p w:rsidR="006E6B6B" w:rsidRPr="008C4900" w:rsidRDefault="008C4900" w:rsidP="008C4900">
            <w:pPr>
              <w:pStyle w:val="TableText"/>
              <w:jc w:val="right"/>
              <w:rPr>
                <w:lang w:eastAsia="en-AU"/>
              </w:rPr>
            </w:pPr>
            <w:r w:rsidRPr="008C4900">
              <w:rPr>
                <w:lang w:eastAsia="en-AU"/>
              </w:rPr>
              <w:t>0.5</w:t>
            </w:r>
          </w:p>
        </w:tc>
      </w:tr>
    </w:tbl>
    <w:p w:rsidR="006E6B6B" w:rsidRPr="00D56C84" w:rsidRDefault="006E6B6B" w:rsidP="00CF5BE5">
      <w:pPr>
        <w:pStyle w:val="ParaIndent"/>
      </w:pPr>
    </w:p>
    <w:p w:rsidR="00D75A3A" w:rsidRDefault="00D75A3A" w:rsidP="004C4847">
      <w:pPr>
        <w:pStyle w:val="ParaIndent"/>
        <w:jc w:val="both"/>
      </w:pPr>
      <w:r w:rsidRPr="00D56C84">
        <w:t>The five regional groups and the provincial cities are also grouped together into the South Australian Regional Organisations of Councils (SAROC).</w:t>
      </w:r>
    </w:p>
    <w:p w:rsidR="006E78EF" w:rsidRPr="00D56C84" w:rsidRDefault="006E78EF" w:rsidP="004C4847">
      <w:pPr>
        <w:pStyle w:val="ParaIndent"/>
        <w:jc w:val="both"/>
      </w:pPr>
    </w:p>
    <w:p w:rsidR="00AA187D" w:rsidRPr="00D56C84" w:rsidRDefault="00AA187D" w:rsidP="00AA187D">
      <w:pPr>
        <w:pStyle w:val="Heading2"/>
      </w:pPr>
      <w:bookmarkStart w:id="88" w:name="_Toc307470447"/>
      <w:r w:rsidRPr="00D56C84">
        <w:lastRenderedPageBreak/>
        <w:t>Information pathways</w:t>
      </w:r>
      <w:r w:rsidR="00085D2C" w:rsidRPr="00085D2C">
        <w:t xml:space="preserve"> </w:t>
      </w:r>
      <w:r w:rsidR="00085D2C">
        <w:t>in South Australia</w:t>
      </w:r>
      <w:bookmarkEnd w:id="88"/>
    </w:p>
    <w:p w:rsidR="00CC0966" w:rsidRPr="00D56C84" w:rsidRDefault="00CC0966" w:rsidP="004C4847">
      <w:pPr>
        <w:pStyle w:val="ParaIndent"/>
        <w:jc w:val="both"/>
      </w:pPr>
      <w:r w:rsidRPr="00D56C84">
        <w:t xml:space="preserve">The Local Government Association of South Australia is active in the waste space, and has produced numerous papers with consolidated data on </w:t>
      </w:r>
      <w:r w:rsidR="00903366" w:rsidRPr="00D56C84">
        <w:t>disposal costs for</w:t>
      </w:r>
      <w:r w:rsidRPr="00D56C84">
        <w:t xml:space="preserve"> waste management and resource recovery to local government.</w:t>
      </w:r>
      <w:r w:rsidR="003769BA" w:rsidRPr="00D56C84">
        <w:t xml:space="preserve"> It has also developed a range of model contracts and tendering guidelines.</w:t>
      </w:r>
    </w:p>
    <w:p w:rsidR="00A730CB" w:rsidRPr="00D56C84" w:rsidRDefault="00A730CB" w:rsidP="00A730CB">
      <w:pPr>
        <w:pStyle w:val="Heading3"/>
      </w:pPr>
      <w:r w:rsidRPr="00D56C84">
        <w:t>Zero Waste SA</w:t>
      </w:r>
    </w:p>
    <w:p w:rsidR="00A730CB" w:rsidRPr="00D56C84" w:rsidRDefault="00A730CB" w:rsidP="004C4847">
      <w:pPr>
        <w:ind w:left="1134"/>
        <w:jc w:val="both"/>
      </w:pPr>
      <w:r w:rsidRPr="00D56C84">
        <w:rPr>
          <w:rFonts w:cs="Arial"/>
        </w:rPr>
        <w:t xml:space="preserve">Zero Waste SA </w:t>
      </w:r>
      <w:r w:rsidRPr="00D56C84">
        <w:rPr>
          <w:rFonts w:cs="Arial"/>
          <w:color w:val="000000"/>
        </w:rPr>
        <w:t xml:space="preserve">commission an external consultancy to conduct an annual report titled </w:t>
      </w:r>
      <w:r w:rsidRPr="00D56C84">
        <w:rPr>
          <w:rFonts w:cs="Arial"/>
          <w:i/>
          <w:color w:val="000000"/>
        </w:rPr>
        <w:t>Recycling Activity in South Australia</w:t>
      </w:r>
      <w:r w:rsidRPr="00D56C84">
        <w:rPr>
          <w:rFonts w:cs="Arial"/>
          <w:color w:val="000000"/>
        </w:rPr>
        <w:t xml:space="preserve">, which includes data on the amount of municipal waste landfilled and recycled. Each year, Zero Waste SA issues selected councils with a Kerbside Performance Incentive payment, and payments of $100,000 and above require councils to submit ‘a </w:t>
      </w:r>
      <w:r w:rsidRPr="00D56C84">
        <w:t>kerbside performance report’. Data collected includes information related to:</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Total annual yield of recyclables, organics and residual waste (tonnes);</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 xml:space="preserve">Collection services offered, including frequencies; </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Number of tenements serviced;</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Bin sizes/ types;</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Total Annual Cost of providing collections;</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Hard Waste</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Participation rates; and</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 xml:space="preserve">Waste audit data. </w:t>
      </w:r>
    </w:p>
    <w:p w:rsidR="00A730CB" w:rsidRPr="00D56C84" w:rsidRDefault="00A730CB" w:rsidP="004C4847">
      <w:pPr>
        <w:ind w:left="1134"/>
        <w:jc w:val="both"/>
        <w:rPr>
          <w:rFonts w:cs="Arial"/>
          <w:color w:val="000000"/>
        </w:rPr>
      </w:pPr>
      <w:r w:rsidRPr="00D56C84">
        <w:rPr>
          <w:rFonts w:cs="Arial"/>
          <w:color w:val="000000"/>
        </w:rPr>
        <w:t xml:space="preserve">A copy of the reporting template used is appended. However, disaggregated information from the survey is not available to the public. </w:t>
      </w:r>
    </w:p>
    <w:p w:rsidR="00A730CB" w:rsidRPr="00D56C84" w:rsidRDefault="00A730CB" w:rsidP="004C4847">
      <w:pPr>
        <w:ind w:left="1134"/>
        <w:jc w:val="both"/>
        <w:rPr>
          <w:rFonts w:cs="Arial"/>
          <w:color w:val="000000"/>
        </w:rPr>
      </w:pPr>
      <w:r w:rsidRPr="00D56C84">
        <w:rPr>
          <w:rFonts w:cs="Arial"/>
        </w:rPr>
        <w:t>Zero Waste SA has recently</w:t>
      </w:r>
      <w:r w:rsidRPr="00D56C84">
        <w:rPr>
          <w:rFonts w:cs="Arial"/>
          <w:color w:val="000000"/>
        </w:rPr>
        <w:t xml:space="preserve"> implemented a web-enabled environmental data management system in order to centralise data collection and enable further analysis and reporting of the collected data. The system is referred to as ZEUS (Zero Waste SA Environment Users System), and is capable of recording and analysing data relating to: </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Kerbside Waste</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Construction and Demolition Waste (C&amp;D)</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Commercial and Industrial Waste (C&amp;I)</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Hazardous Waste</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Illegally Dumped Waste</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Landfills</w:t>
      </w:r>
    </w:p>
    <w:p w:rsidR="00A730CB" w:rsidRPr="00D56C84" w:rsidRDefault="00A730CB" w:rsidP="004C4847">
      <w:pPr>
        <w:pStyle w:val="ParaIndent"/>
        <w:keepNext/>
        <w:numPr>
          <w:ilvl w:val="0"/>
          <w:numId w:val="29"/>
        </w:numPr>
        <w:spacing w:after="60"/>
        <w:ind w:left="1985" w:hanging="284"/>
        <w:jc w:val="both"/>
        <w:rPr>
          <w:sz w:val="18"/>
          <w:szCs w:val="18"/>
        </w:rPr>
      </w:pPr>
      <w:r w:rsidRPr="00D56C84">
        <w:rPr>
          <w:sz w:val="18"/>
          <w:szCs w:val="18"/>
        </w:rPr>
        <w:t>Litter</w:t>
      </w:r>
      <w:r w:rsidR="00C34194">
        <w:rPr>
          <w:sz w:val="18"/>
          <w:szCs w:val="18"/>
        </w:rPr>
        <w:t>.</w:t>
      </w:r>
    </w:p>
    <w:p w:rsidR="00A730CB" w:rsidRPr="00D56C84" w:rsidRDefault="00A730CB" w:rsidP="004C4847">
      <w:pPr>
        <w:ind w:left="1134"/>
        <w:jc w:val="both"/>
        <w:rPr>
          <w:rFonts w:cs="Arial"/>
          <w:color w:val="000000"/>
        </w:rPr>
      </w:pPr>
      <w:r w:rsidRPr="00D56C84">
        <w:t xml:space="preserve">Councils have the opportunity to use the system, however information </w:t>
      </w:r>
      <w:r w:rsidR="007A36A9" w:rsidRPr="00D56C84">
        <w:t>entered on the system is not made publicly available.</w:t>
      </w:r>
    </w:p>
    <w:p w:rsidR="00994358" w:rsidRPr="00D56C84" w:rsidRDefault="00A730CB" w:rsidP="004C4847">
      <w:pPr>
        <w:pStyle w:val="ParaIndent"/>
        <w:jc w:val="both"/>
      </w:pPr>
      <w:r w:rsidRPr="00D56C84">
        <w:t xml:space="preserve">Aggregated information concerning </w:t>
      </w:r>
      <w:r w:rsidR="007A36A9" w:rsidRPr="00D56C84">
        <w:t>t</w:t>
      </w:r>
      <w:r w:rsidR="00994358" w:rsidRPr="00D56C84">
        <w:t xml:space="preserve">he amount of municipal waste landfilled and recycled, including by material types, is contained in the annual </w:t>
      </w:r>
      <w:r w:rsidR="00994358" w:rsidRPr="0077687F">
        <w:rPr>
          <w:i/>
        </w:rPr>
        <w:t xml:space="preserve">Recycling </w:t>
      </w:r>
      <w:r w:rsidR="003769BA" w:rsidRPr="0077687F">
        <w:rPr>
          <w:i/>
        </w:rPr>
        <w:t>A</w:t>
      </w:r>
      <w:r w:rsidR="00994358" w:rsidRPr="0077687F">
        <w:rPr>
          <w:i/>
        </w:rPr>
        <w:t>ctivity in South Australia</w:t>
      </w:r>
      <w:r w:rsidR="00994358" w:rsidRPr="00D56C84">
        <w:t xml:space="preserve"> report compiled by Zero Waste SA.</w:t>
      </w:r>
    </w:p>
    <w:p w:rsidR="001F4F2D" w:rsidRPr="00D56C84" w:rsidRDefault="001F4F2D" w:rsidP="004C4847">
      <w:pPr>
        <w:pStyle w:val="Heading3"/>
        <w:jc w:val="both"/>
      </w:pPr>
      <w:r w:rsidRPr="00D56C84">
        <w:t>Local Government Grants Commission South Australia (LGGCSA)</w:t>
      </w:r>
    </w:p>
    <w:p w:rsidR="001F4F2D" w:rsidRPr="00D56C84" w:rsidRDefault="001F4F2D" w:rsidP="004C4847">
      <w:pPr>
        <w:ind w:left="1134"/>
        <w:jc w:val="both"/>
      </w:pPr>
      <w:r w:rsidRPr="00D56C84">
        <w:t xml:space="preserve">The LGGCSA is an independent statutory authority based within the South Australian Department of Planning and Local Government. </w:t>
      </w:r>
    </w:p>
    <w:p w:rsidR="001F4F2D" w:rsidRPr="00D56C84" w:rsidRDefault="001F4F2D" w:rsidP="004C4847">
      <w:pPr>
        <w:ind w:left="1134"/>
        <w:jc w:val="both"/>
        <w:rPr>
          <w:rFonts w:cs="Arial"/>
          <w:lang w:eastAsia="en-AU"/>
        </w:rPr>
      </w:pPr>
      <w:r w:rsidRPr="00D56C84">
        <w:rPr>
          <w:rFonts w:cs="Arial"/>
          <w:lang w:eastAsia="en-AU"/>
        </w:rPr>
        <w:t xml:space="preserve">The LGGSA has similar process to other Australian jurisdictions for calculating grants, and this includes the consideration of waste management services in the determination of the </w:t>
      </w:r>
      <w:r w:rsidRPr="00D56C84">
        <w:rPr>
          <w:rFonts w:cs="Arial"/>
          <w:i/>
          <w:lang w:eastAsia="en-AU"/>
        </w:rPr>
        <w:t xml:space="preserve">General </w:t>
      </w:r>
      <w:r w:rsidRPr="00D56C84">
        <w:rPr>
          <w:rFonts w:cs="Arial"/>
          <w:i/>
          <w:lang w:eastAsia="en-AU"/>
        </w:rPr>
        <w:lastRenderedPageBreak/>
        <w:t>Information Return</w:t>
      </w:r>
      <w:r w:rsidRPr="00D56C84">
        <w:rPr>
          <w:rFonts w:cs="Arial"/>
          <w:lang w:eastAsia="en-AU"/>
        </w:rPr>
        <w:t xml:space="preserve">. Data is collected on a range of expenditure and revenue streams, including waste management, and this information is reconciled with the </w:t>
      </w:r>
      <w:r w:rsidRPr="00D56C84">
        <w:rPr>
          <w:rFonts w:cs="Arial"/>
          <w:i/>
          <w:lang w:eastAsia="en-AU"/>
        </w:rPr>
        <w:t>Audited Financial Statements (Supplementary Return)</w:t>
      </w:r>
      <w:r w:rsidRPr="00D56C84">
        <w:rPr>
          <w:rFonts w:cs="Arial"/>
          <w:lang w:eastAsia="en-AU"/>
        </w:rPr>
        <w:t xml:space="preserve"> for each Council</w:t>
      </w:r>
      <w:r w:rsidRPr="00D56C84">
        <w:rPr>
          <w:rStyle w:val="FootnoteReference"/>
          <w:rFonts w:cs="Arial"/>
          <w:lang w:eastAsia="en-AU"/>
        </w:rPr>
        <w:footnoteReference w:id="13"/>
      </w:r>
      <w:r w:rsidRPr="00D56C84">
        <w:rPr>
          <w:rFonts w:cs="Arial"/>
          <w:lang w:eastAsia="en-AU"/>
        </w:rPr>
        <w:t>.</w:t>
      </w:r>
    </w:p>
    <w:p w:rsidR="001F4F2D" w:rsidRPr="00D56C84" w:rsidRDefault="001F4F2D" w:rsidP="004C4847">
      <w:pPr>
        <w:ind w:left="1134"/>
        <w:jc w:val="both"/>
        <w:rPr>
          <w:rFonts w:cs="Arial"/>
          <w:lang w:eastAsia="en-AU"/>
        </w:rPr>
      </w:pPr>
      <w:r w:rsidRPr="00D56C84">
        <w:rPr>
          <w:rFonts w:cs="Arial"/>
          <w:lang w:eastAsia="en-AU"/>
        </w:rPr>
        <w:t xml:space="preserve">The LGGCSA makes a large portion of the information it gathers from local government available to a range of stakeholders, including the Local Government Association of South Australia (LGASA). The data made available on Councils through the LGASA includes waste expenditure figures, waste to landfill tonnages, and community satisfaction information relating to the provision of waste management services. In some instances this data is available over a number of years, and is publicly accessible through the </w:t>
      </w:r>
      <w:r w:rsidRPr="00D56C84">
        <w:rPr>
          <w:rFonts w:cs="Arial"/>
          <w:i/>
          <w:lang w:eastAsia="en-AU"/>
        </w:rPr>
        <w:t>performance measurement</w:t>
      </w:r>
      <w:r w:rsidRPr="00D56C84">
        <w:rPr>
          <w:rFonts w:cs="Arial"/>
          <w:lang w:eastAsia="en-AU"/>
        </w:rPr>
        <w:t xml:space="preserve"> link</w:t>
      </w:r>
      <w:r w:rsidRPr="00D56C84">
        <w:rPr>
          <w:rStyle w:val="FootnoteReference"/>
          <w:rFonts w:cs="Arial"/>
          <w:lang w:eastAsia="en-AU"/>
        </w:rPr>
        <w:footnoteReference w:id="14"/>
      </w:r>
      <w:r w:rsidRPr="00D56C84">
        <w:rPr>
          <w:rFonts w:cs="Arial"/>
          <w:lang w:eastAsia="en-AU"/>
        </w:rPr>
        <w:t xml:space="preserve"> on the LGASA website.</w:t>
      </w:r>
    </w:p>
    <w:p w:rsidR="00AA187D" w:rsidRPr="00D56C84" w:rsidRDefault="00AA187D" w:rsidP="004C4847">
      <w:pPr>
        <w:pStyle w:val="Heading2"/>
        <w:jc w:val="both"/>
      </w:pPr>
      <w:bookmarkStart w:id="89" w:name="_Toc307470448"/>
      <w:r w:rsidRPr="00D56C84">
        <w:t xml:space="preserve">Performance </w:t>
      </w:r>
      <w:r w:rsidR="00085D2C">
        <w:t>in South Australia</w:t>
      </w:r>
      <w:bookmarkEnd w:id="89"/>
    </w:p>
    <w:p w:rsidR="007A36A9" w:rsidRPr="00D56C84" w:rsidRDefault="00E227E5" w:rsidP="004C4847">
      <w:pPr>
        <w:pStyle w:val="ParaIndent"/>
        <w:jc w:val="both"/>
      </w:pPr>
      <w:r w:rsidRPr="00D56C84">
        <w:t xml:space="preserve">Some LGA-specific </w:t>
      </w:r>
      <w:r w:rsidR="007A36A9" w:rsidRPr="00D56C84">
        <w:t xml:space="preserve">Comparative Performance Measurement data is available on the </w:t>
      </w:r>
      <w:r w:rsidR="007A36A9" w:rsidRPr="00D56C84">
        <w:rPr>
          <w:rFonts w:cs="Arial"/>
          <w:lang w:eastAsia="en-AU"/>
        </w:rPr>
        <w:t>LGASA website.</w:t>
      </w:r>
      <w:r w:rsidR="007A36A9" w:rsidRPr="00D56C84">
        <w:t xml:space="preserve"> </w:t>
      </w:r>
      <w:r w:rsidRPr="00D56C84">
        <w:t>Information on w</w:t>
      </w:r>
      <w:r w:rsidR="007A36A9" w:rsidRPr="00D56C84">
        <w:t xml:space="preserve">aste management expenditure and </w:t>
      </w:r>
      <w:r w:rsidRPr="00D56C84">
        <w:t>tonnes</w:t>
      </w:r>
      <w:r w:rsidR="007A36A9" w:rsidRPr="00D56C84">
        <w:t xml:space="preserve"> of waste landfilled, which has been collected over the past six financial years, is available for 42 councils, represent</w:t>
      </w:r>
      <w:r w:rsidRPr="00D56C84">
        <w:t>ing</w:t>
      </w:r>
      <w:r w:rsidR="007A36A9" w:rsidRPr="00D56C84">
        <w:t xml:space="preserve"> 60% of</w:t>
      </w:r>
      <w:r w:rsidR="00550094">
        <w:t xml:space="preserve"> the</w:t>
      </w:r>
      <w:r w:rsidR="007A36A9" w:rsidRPr="00D56C84">
        <w:t xml:space="preserve"> LGAs in South Australia.</w:t>
      </w:r>
    </w:p>
    <w:p w:rsidR="00D72B48" w:rsidRPr="00D56C84" w:rsidRDefault="009F2989" w:rsidP="004C4847">
      <w:pPr>
        <w:pStyle w:val="ParaIndent"/>
        <w:jc w:val="both"/>
      </w:pPr>
      <w:r w:rsidRPr="00D56C84">
        <w:t>An</w:t>
      </w:r>
      <w:r w:rsidR="00D72B48" w:rsidRPr="00D56C84">
        <w:t xml:space="preserve"> extremely wide performance range, based on the figures available</w:t>
      </w:r>
      <w:r w:rsidRPr="00D56C84">
        <w:t xml:space="preserve"> through this website</w:t>
      </w:r>
      <w:r w:rsidR="00D72B48" w:rsidRPr="00D56C84">
        <w:t xml:space="preserve">, suggests the likelihood of some reporting </w:t>
      </w:r>
      <w:r w:rsidRPr="00D56C84">
        <w:t xml:space="preserve">discrepancies between </w:t>
      </w:r>
      <w:r w:rsidR="00E227E5" w:rsidRPr="00D56C84">
        <w:t xml:space="preserve">the </w:t>
      </w:r>
      <w:r w:rsidRPr="00D56C84">
        <w:t>councils.</w:t>
      </w:r>
    </w:p>
    <w:p w:rsidR="007A36A9" w:rsidRPr="00D56C84" w:rsidRDefault="007A36A9" w:rsidP="004C4847">
      <w:pPr>
        <w:pStyle w:val="ParaIndent"/>
        <w:jc w:val="both"/>
      </w:pPr>
      <w:r w:rsidRPr="00D56C84">
        <w:t>Based on available data, total waste management expenditure for the 2008</w:t>
      </w:r>
      <w:r w:rsidR="00550094">
        <w:rPr>
          <w:rFonts w:cs="Arial"/>
        </w:rPr>
        <w:t>–</w:t>
      </w:r>
      <w:r w:rsidRPr="00D56C84">
        <w:t xml:space="preserve">09 financial </w:t>
      </w:r>
      <w:proofErr w:type="gramStart"/>
      <w:r w:rsidRPr="00D56C84">
        <w:t>year</w:t>
      </w:r>
      <w:proofErr w:type="gramEnd"/>
      <w:r w:rsidRPr="00D56C84">
        <w:t xml:space="preserve"> ranged from</w:t>
      </w:r>
      <w:r w:rsidR="00E227E5" w:rsidRPr="00D56C84">
        <w:t xml:space="preserve"> a low of</w:t>
      </w:r>
      <w:r w:rsidRPr="00D56C84">
        <w:t xml:space="preserve"> $36,830 (Berri Barmera</w:t>
      </w:r>
      <w:r w:rsidR="00BE5AE8" w:rsidRPr="00D56C84">
        <w:t xml:space="preserve"> Council</w:t>
      </w:r>
      <w:r w:rsidRPr="00D56C84">
        <w:t>) to</w:t>
      </w:r>
      <w:r w:rsidR="00E227E5" w:rsidRPr="00D56C84">
        <w:t xml:space="preserve"> a high of</w:t>
      </w:r>
      <w:r w:rsidRPr="00D56C84">
        <w:t xml:space="preserve"> $295,750 (Kangaroo Island</w:t>
      </w:r>
      <w:r w:rsidR="00BE5AE8" w:rsidRPr="00D56C84">
        <w:t xml:space="preserve"> Council</w:t>
      </w:r>
      <w:r w:rsidRPr="00D56C84">
        <w:t>)</w:t>
      </w:r>
      <w:r w:rsidR="00D72B48" w:rsidRPr="00D56C84">
        <w:t>. On a per capita basis,</w:t>
      </w:r>
      <w:r w:rsidRPr="00D56C84">
        <w:t xml:space="preserve"> the </w:t>
      </w:r>
      <w:r w:rsidR="00D72B48" w:rsidRPr="00D56C84">
        <w:t xml:space="preserve">reported </w:t>
      </w:r>
      <w:r w:rsidR="00E227E5" w:rsidRPr="00D56C84">
        <w:t>lowest</w:t>
      </w:r>
      <w:r w:rsidRPr="00D56C84">
        <w:t xml:space="preserve"> cost of waste management equates to $0.52</w:t>
      </w:r>
      <w:r w:rsidR="00100B7C">
        <w:t>/</w:t>
      </w:r>
      <w:r w:rsidRPr="00D56C84">
        <w:t xml:space="preserve">person (Marion City Council) </w:t>
      </w:r>
      <w:r w:rsidR="00D72B48" w:rsidRPr="00D56C84">
        <w:t>and</w:t>
      </w:r>
      <w:r w:rsidRPr="00D56C84">
        <w:t xml:space="preserve"> the </w:t>
      </w:r>
      <w:r w:rsidR="00E227E5" w:rsidRPr="00D56C84">
        <w:t>highest</w:t>
      </w:r>
      <w:r w:rsidRPr="00D56C84">
        <w:t xml:space="preserve"> cost equates to $113.83 (Franklin Harbour </w:t>
      </w:r>
      <w:r w:rsidR="00D72B48" w:rsidRPr="00D56C84">
        <w:t xml:space="preserve">Council). The weighted average cost of waste management equates to $21.08 per capita. </w:t>
      </w:r>
    </w:p>
    <w:p w:rsidR="007A36A9" w:rsidRPr="00D56C84" w:rsidRDefault="00D72B48" w:rsidP="004C4847">
      <w:pPr>
        <w:pStyle w:val="ParaIndent"/>
        <w:jc w:val="both"/>
      </w:pPr>
      <w:r w:rsidRPr="00D56C84">
        <w:t>The reported a</w:t>
      </w:r>
      <w:r w:rsidR="007A36A9" w:rsidRPr="00D56C84">
        <w:t xml:space="preserve">nnual </w:t>
      </w:r>
      <w:r w:rsidRPr="00D56C84">
        <w:t xml:space="preserve">tonnes of </w:t>
      </w:r>
      <w:r w:rsidR="007A36A9" w:rsidRPr="00D56C84">
        <w:t xml:space="preserve">waste to landfill ranged from </w:t>
      </w:r>
      <w:r w:rsidRPr="00D56C84">
        <w:t xml:space="preserve">a low of </w:t>
      </w:r>
      <w:r w:rsidR="007A36A9" w:rsidRPr="00D56C84">
        <w:t>139 tonnes (</w:t>
      </w:r>
      <w:r w:rsidRPr="00D56C84">
        <w:t xml:space="preserve">Town of </w:t>
      </w:r>
      <w:r w:rsidR="007A36A9" w:rsidRPr="00D56C84">
        <w:t>Gawler) to 3</w:t>
      </w:r>
      <w:r w:rsidRPr="00D56C84">
        <w:t>,</w:t>
      </w:r>
      <w:r w:rsidR="007A36A9" w:rsidRPr="00D56C84">
        <w:t>851 tonnes (</w:t>
      </w:r>
      <w:r w:rsidRPr="00D56C84">
        <w:t xml:space="preserve">District Council of </w:t>
      </w:r>
      <w:r w:rsidR="007A36A9" w:rsidRPr="00D56C84">
        <w:t>Ceduna)</w:t>
      </w:r>
      <w:r w:rsidRPr="00D56C84">
        <w:t xml:space="preserve">. This equates to a minimum of 4.4kg/person (Port Adelaide Enfield Council) to a maximum of 2,483kg/person (Wudinna District Council). The weighted average </w:t>
      </w:r>
      <w:proofErr w:type="gramStart"/>
      <w:r w:rsidRPr="00D56C84">
        <w:t>tonnes to landfill is</w:t>
      </w:r>
      <w:proofErr w:type="gramEnd"/>
      <w:r w:rsidRPr="00D56C84">
        <w:t xml:space="preserve"> 227kg/person.</w:t>
      </w:r>
    </w:p>
    <w:p w:rsidR="00E452F0" w:rsidRDefault="00E452F0" w:rsidP="004C4847">
      <w:pPr>
        <w:pStyle w:val="Heading2"/>
        <w:jc w:val="both"/>
      </w:pPr>
      <w:bookmarkStart w:id="90" w:name="_Toc307470449"/>
      <w:r>
        <w:t>Summary</w:t>
      </w:r>
      <w:r w:rsidR="00085D2C">
        <w:t xml:space="preserve"> - South Australia</w:t>
      </w:r>
      <w:bookmarkEnd w:id="90"/>
    </w:p>
    <w:p w:rsidR="00476718" w:rsidRDefault="00476718" w:rsidP="004C4847">
      <w:pPr>
        <w:pStyle w:val="ParaIndent"/>
        <w:jc w:val="both"/>
      </w:pPr>
      <w:r>
        <w:t xml:space="preserve">Based on research for this </w:t>
      </w:r>
      <w:r w:rsidRPr="00161A53">
        <w:t xml:space="preserve">report, </w:t>
      </w:r>
      <w:r w:rsidR="00100B7C" w:rsidRPr="00161A53">
        <w:t xml:space="preserve">considering the availability of information only, </w:t>
      </w:r>
      <w:r w:rsidRPr="00161A53">
        <w:t>the</w:t>
      </w:r>
      <w:r>
        <w:t xml:space="preserve"> degree to which information about municipal waste and recycling in South Australia meets the needs of users is considered to be LOW.</w:t>
      </w:r>
    </w:p>
    <w:p w:rsidR="00476718" w:rsidRPr="003804F4" w:rsidRDefault="00476718" w:rsidP="004C4847">
      <w:pPr>
        <w:pStyle w:val="ParaIndent"/>
        <w:jc w:val="both"/>
      </w:pPr>
      <w:r>
        <w:t xml:space="preserve">There is little information made available at the LGA level. There is no information about services provided or performance. There is good coverage of the state’s LGAs for the information that is provided, although this is limited to information regarding tonnes of waste to landfill and total expenditure on waste management. </w:t>
      </w:r>
    </w:p>
    <w:p w:rsidR="00085D2C" w:rsidRDefault="00ED6CA0" w:rsidP="00100B7C">
      <w:pPr>
        <w:pStyle w:val="ParaIndent"/>
        <w:jc w:val="both"/>
      </w:pPr>
      <w:fldSimple w:instr=" REF _Ref301858763 \h  \* MERGEFORMAT ">
        <w:r w:rsidR="00166111">
          <w:t xml:space="preserve">Table </w:t>
        </w:r>
        <w:r w:rsidR="00166111">
          <w:rPr>
            <w:noProof/>
          </w:rPr>
          <w:t>9</w:t>
        </w:r>
        <w:r w:rsidR="00166111" w:rsidRPr="00D56C84">
          <w:rPr>
            <w:noProof/>
          </w:rPr>
          <w:t>-</w:t>
        </w:r>
        <w:r w:rsidR="00166111">
          <w:rPr>
            <w:noProof/>
          </w:rPr>
          <w:t>28</w:t>
        </w:r>
      </w:fldSimple>
      <w:r w:rsidR="009445BE">
        <w:t xml:space="preserve"> provides a comparison of the waste and recycling data collected by government bodies in South Australia against the </w:t>
      </w:r>
      <w:r w:rsidR="00085D2C">
        <w:t xml:space="preserve">LGA-specific </w:t>
      </w:r>
      <w:r w:rsidR="009445BE">
        <w:t>data which is made available to the public.</w:t>
      </w:r>
      <w:r w:rsidR="00100B7C">
        <w:t xml:space="preserve"> </w:t>
      </w:r>
      <w:r w:rsidR="00100B7C" w:rsidRPr="00161A53">
        <w:t>Note that the quality of available information has not been assessed.</w:t>
      </w:r>
      <w:r w:rsidR="00085D2C">
        <w:br w:type="page"/>
      </w:r>
    </w:p>
    <w:p w:rsidR="00E452F0" w:rsidRDefault="009445BE" w:rsidP="009445BE">
      <w:pPr>
        <w:pStyle w:val="TableHeading"/>
      </w:pPr>
      <w:bookmarkStart w:id="91" w:name="_Ref301858763"/>
      <w:r>
        <w:lastRenderedPageBreak/>
        <w:t xml:space="preserve">Table </w:t>
      </w:r>
      <w:r w:rsidR="00ED6CA0">
        <w:fldChar w:fldCharType="begin"/>
      </w:r>
      <w:r>
        <w:instrText xml:space="preserve"> STYLEREF "_Heading1" \n </w:instrText>
      </w:r>
      <w:r w:rsidR="00ED6CA0">
        <w:fldChar w:fldCharType="separate"/>
      </w:r>
      <w:r w:rsidR="00166111">
        <w:rPr>
          <w:noProof/>
        </w:rPr>
        <w:t>9</w:t>
      </w:r>
      <w:r w:rsidR="00ED6CA0">
        <w:rPr>
          <w:noProof/>
        </w:rPr>
        <w:fldChar w:fldCharType="end"/>
      </w:r>
      <w:r w:rsidRPr="00D56C84">
        <w:t>-</w:t>
      </w:r>
      <w:r w:rsidR="00ED6CA0">
        <w:fldChar w:fldCharType="begin"/>
      </w:r>
      <w:r>
        <w:instrText xml:space="preserve"> SEQ Table \* Arabic </w:instrText>
      </w:r>
      <w:r w:rsidR="00ED6CA0">
        <w:fldChar w:fldCharType="separate"/>
      </w:r>
      <w:r w:rsidR="00166111">
        <w:rPr>
          <w:noProof/>
        </w:rPr>
        <w:t>28</w:t>
      </w:r>
      <w:r w:rsidR="00ED6CA0">
        <w:rPr>
          <w:noProof/>
        </w:rPr>
        <w:fldChar w:fldCharType="end"/>
      </w:r>
      <w:bookmarkEnd w:id="91"/>
      <w:r>
        <w:rPr>
          <w:noProof/>
        </w:rPr>
        <w:tab/>
        <w:t xml:space="preserve">Summary of waste and recycling data collected in South Australia </w:t>
      </w:r>
      <w:r w:rsidR="006E78EF">
        <w:rPr>
          <w:noProof/>
        </w:rPr>
        <w:t>and</w:t>
      </w:r>
      <w:r>
        <w:rPr>
          <w:noProof/>
        </w:rPr>
        <w:t xml:space="preserve">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9445BE" w:rsidRPr="00DC4F78" w:rsidTr="00085D2C">
        <w:trPr>
          <w:trHeight w:val="270"/>
          <w:tblHeader/>
        </w:trPr>
        <w:tc>
          <w:tcPr>
            <w:tcW w:w="2693" w:type="pct"/>
            <w:shd w:val="clear" w:color="auto" w:fill="auto"/>
            <w:noWrap/>
            <w:vAlign w:val="bottom"/>
            <w:hideMark/>
          </w:tcPr>
          <w:p w:rsidR="009445BE" w:rsidRPr="00A42A0E" w:rsidRDefault="009445BE" w:rsidP="009445BE">
            <w:pPr>
              <w:pStyle w:val="TableText"/>
              <w:rPr>
                <w:lang w:val="en-US"/>
              </w:rPr>
            </w:pPr>
            <w:r w:rsidRPr="00A42A0E">
              <w:rPr>
                <w:lang w:val="en-US"/>
              </w:rPr>
              <w:t> </w:t>
            </w:r>
          </w:p>
        </w:tc>
        <w:tc>
          <w:tcPr>
            <w:tcW w:w="980" w:type="pct"/>
          </w:tcPr>
          <w:p w:rsidR="009445BE" w:rsidRPr="00DC4F78" w:rsidRDefault="009445BE" w:rsidP="00085D2C">
            <w:pPr>
              <w:pStyle w:val="TableHeading"/>
              <w:jc w:val="center"/>
              <w:rPr>
                <w:lang w:val="en-US"/>
              </w:rPr>
            </w:pPr>
            <w:r w:rsidRPr="00A42A0E">
              <w:rPr>
                <w:lang w:val="en-US"/>
              </w:rPr>
              <w:t>Data collected</w:t>
            </w:r>
          </w:p>
        </w:tc>
        <w:tc>
          <w:tcPr>
            <w:tcW w:w="1327" w:type="pct"/>
            <w:shd w:val="clear" w:color="auto" w:fill="auto"/>
            <w:noWrap/>
            <w:vAlign w:val="bottom"/>
            <w:hideMark/>
          </w:tcPr>
          <w:p w:rsidR="009445BE" w:rsidRPr="00DC4F78" w:rsidRDefault="009445BE" w:rsidP="00085D2C">
            <w:pPr>
              <w:pStyle w:val="TableHeading"/>
              <w:jc w:val="center"/>
              <w:rPr>
                <w:lang w:val="en-US"/>
              </w:rPr>
            </w:pPr>
            <w:r w:rsidRPr="00A42A0E">
              <w:rPr>
                <w:lang w:val="en-US"/>
              </w:rPr>
              <w:t>Data available</w:t>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66" name="Picture 56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00" name="Picture 60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Collection frequencies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68" name="Picture 56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01" name="Picture 60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Bin sizes/ types</w:t>
            </w:r>
          </w:p>
        </w:tc>
        <w:tc>
          <w:tcPr>
            <w:tcW w:w="980" w:type="pct"/>
            <w:vAlign w:val="center"/>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604" name="Picture 604"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02" name="Picture 60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72" name="Picture 57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03" name="Picture 60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74" name="Picture 57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575" name="Picture 57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76" name="Picture 57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577" name="Picture 57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RPr="00A42A0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05" name="Picture 60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606" name="Picture 606"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infrastructure</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07" name="Picture 607"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08" name="Picture 60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RPr="00A42A0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costs/ expenditure</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82" name="Picture 58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583" name="Picture 583"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Contractor information</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84" name="Picture 58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585" name="Picture 58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charges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86" name="Picture 58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587" name="Picture 58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Hard waste services</w:t>
            </w:r>
          </w:p>
        </w:tc>
        <w:tc>
          <w:tcPr>
            <w:tcW w:w="980" w:type="pct"/>
            <w:vAlign w:val="center"/>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609" name="Picture 60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589" name="Picture 58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Litter/ illegal dumping</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0" name="Picture 61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1" name="Picture 61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320"/>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Public Place Collections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2" name="Picture 61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3" name="Picture 61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Commercial &amp; Industrial Services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14" name="Picture 61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5" name="Picture 61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RPr="00A42A0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596" name="Picture 59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597" name="Picture 597"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9445BE" w:rsidTr="00085D2C">
        <w:trPr>
          <w:trHeight w:val="255"/>
        </w:trPr>
        <w:tc>
          <w:tcPr>
            <w:tcW w:w="2693" w:type="pct"/>
            <w:shd w:val="clear" w:color="auto" w:fill="auto"/>
            <w:noWrap/>
            <w:vAlign w:val="center"/>
            <w:hideMark/>
          </w:tcPr>
          <w:p w:rsidR="009445BE" w:rsidRPr="00A42A0E" w:rsidRDefault="009445BE" w:rsidP="00085D2C">
            <w:pPr>
              <w:pStyle w:val="TableText"/>
              <w:rPr>
                <w:b/>
                <w:bCs/>
                <w:lang w:val="en-US"/>
              </w:rPr>
            </w:pPr>
            <w:r w:rsidRPr="00A42A0E">
              <w:rPr>
                <w:b/>
                <w:bCs/>
                <w:lang w:val="en-US"/>
              </w:rPr>
              <w:t>Waste Audit Data</w:t>
            </w:r>
          </w:p>
        </w:tc>
        <w:tc>
          <w:tcPr>
            <w:tcW w:w="980" w:type="pct"/>
            <w:vAlign w:val="center"/>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616" name="Picture 616"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7" name="Picture 61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9445BE" w:rsidRPr="00A35187" w:rsidRDefault="009445BE" w:rsidP="009445BE">
      <w:pPr>
        <w:pStyle w:val="ParaIndent"/>
        <w:rPr>
          <w:sz w:val="14"/>
          <w:szCs w:val="14"/>
        </w:rPr>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Pr="00A35187">
        <w:rPr>
          <w:noProof/>
          <w:sz w:val="14"/>
          <w:szCs w:val="14"/>
          <w:lang w:eastAsia="en-AU"/>
        </w:rPr>
        <w:drawing>
          <wp:inline distT="0" distB="0" distL="0" distR="0">
            <wp:extent cx="209550" cy="209550"/>
            <wp:effectExtent l="0" t="0" r="0" b="0"/>
            <wp:docPr id="18" name="Picture 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Pr="00A35187">
        <w:rPr>
          <w:noProof/>
          <w:sz w:val="14"/>
          <w:szCs w:val="14"/>
          <w:lang w:eastAsia="en-AU"/>
        </w:rPr>
        <w:drawing>
          <wp:inline distT="0" distB="0" distL="0" distR="0">
            <wp:extent cx="200025" cy="200025"/>
            <wp:effectExtent l="0" t="0" r="0" b="0"/>
            <wp:docPr id="19" name="Picture 1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Pr="00A35187">
        <w:rPr>
          <w:noProof/>
          <w:sz w:val="14"/>
          <w:szCs w:val="14"/>
          <w:lang w:eastAsia="en-AU"/>
        </w:rPr>
        <w:drawing>
          <wp:inline distT="0" distB="0" distL="0" distR="0">
            <wp:extent cx="200025" cy="200025"/>
            <wp:effectExtent l="0" t="0" r="0" b="0"/>
            <wp:docPr id="20" name="Picture 2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 </w:t>
      </w:r>
      <w:r w:rsidRPr="00A35187">
        <w:rPr>
          <w:sz w:val="14"/>
          <w:szCs w:val="14"/>
        </w:rPr>
        <w:br/>
      </w:r>
    </w:p>
    <w:p w:rsidR="009445BE" w:rsidRPr="00D56C84" w:rsidRDefault="009445BE" w:rsidP="00CF5BE5">
      <w:pPr>
        <w:pStyle w:val="ParaIndent"/>
      </w:pPr>
    </w:p>
    <w:p w:rsidR="003769BA" w:rsidRPr="00D56C84" w:rsidRDefault="003769BA">
      <w:pPr>
        <w:spacing w:after="0" w:line="240" w:lineRule="auto"/>
        <w:ind w:left="0"/>
        <w:rPr>
          <w:highlight w:val="yellow"/>
        </w:rPr>
      </w:pPr>
      <w:r w:rsidRPr="00D56C84">
        <w:rPr>
          <w:highlight w:val="yellow"/>
        </w:rPr>
        <w:br w:type="page"/>
      </w:r>
    </w:p>
    <w:p w:rsidR="00CF5BE5" w:rsidRPr="00D56C84" w:rsidRDefault="00CF5BE5" w:rsidP="00AA187D">
      <w:pPr>
        <w:pStyle w:val="Heading1"/>
      </w:pPr>
      <w:bookmarkStart w:id="92" w:name="_Toc307470450"/>
      <w:r w:rsidRPr="00D56C84">
        <w:lastRenderedPageBreak/>
        <w:t>Western Australia</w:t>
      </w:r>
      <w:bookmarkEnd w:id="92"/>
    </w:p>
    <w:p w:rsidR="0093441B" w:rsidRPr="00D56C84" w:rsidRDefault="0093441B" w:rsidP="004C4847">
      <w:pPr>
        <w:pStyle w:val="ParaIndent"/>
        <w:jc w:val="both"/>
      </w:pPr>
      <w:r w:rsidRPr="00D56C84">
        <w:t xml:space="preserve">There are 139 Local Government Areas in Western Australia, with 26 of these (covering 64% of the state’s population) considered as metropolitan, 17 (20% of the population) considered regional, and 96 (16% of the population)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the availability of LGA-specific waste and recycling information is generally rated as ‘low’ within this jurisdiction.</w:t>
      </w:r>
    </w:p>
    <w:p w:rsidR="0093441B" w:rsidRPr="00D56C84" w:rsidRDefault="0093441B" w:rsidP="004C4847">
      <w:pPr>
        <w:pStyle w:val="ParaIndent"/>
        <w:jc w:val="both"/>
      </w:pPr>
      <w:r w:rsidRPr="00D56C84">
        <w:t xml:space="preserve">This chapter provides an overview of the role of local government in this state in relation to waste management and recycling, as well as explaining the information reporting pathways for relevant information. </w:t>
      </w:r>
      <w:r w:rsidR="00552E89" w:rsidRPr="00D56C84">
        <w:t xml:space="preserve">Due to the low level of publicly available information relating to specific LGAs within this jurisdiction, it is not possible to provide any details about council performance in </w:t>
      </w:r>
      <w:r w:rsidRPr="00D56C84">
        <w:t>terms of service provi</w:t>
      </w:r>
      <w:r w:rsidR="00552E89" w:rsidRPr="00D56C84">
        <w:t xml:space="preserve">sion, landfill diversion rates or </w:t>
      </w:r>
      <w:r w:rsidRPr="00D56C84">
        <w:t xml:space="preserve">costs. </w:t>
      </w:r>
    </w:p>
    <w:p w:rsidR="00AA187D" w:rsidRPr="00D56C84" w:rsidRDefault="00AA187D" w:rsidP="004C4847">
      <w:pPr>
        <w:pStyle w:val="Heading2"/>
        <w:jc w:val="both"/>
      </w:pPr>
      <w:bookmarkStart w:id="93" w:name="_Toc307470451"/>
      <w:r w:rsidRPr="00D56C84">
        <w:t xml:space="preserve">The role of local government </w:t>
      </w:r>
      <w:r w:rsidR="00085D2C">
        <w:t>in Western Australia</w:t>
      </w:r>
      <w:bookmarkEnd w:id="93"/>
    </w:p>
    <w:p w:rsidR="006830F4" w:rsidRPr="00D56C84" w:rsidRDefault="006830F4" w:rsidP="004C4847">
      <w:pPr>
        <w:pStyle w:val="ParaIndent"/>
        <w:keepNext/>
        <w:spacing w:after="60"/>
        <w:jc w:val="both"/>
      </w:pPr>
      <w:r w:rsidRPr="00D56C84">
        <w:t xml:space="preserve">The </w:t>
      </w:r>
      <w:r w:rsidRPr="0077687F">
        <w:rPr>
          <w:i/>
        </w:rPr>
        <w:t>Local Government Act (1995)</w:t>
      </w:r>
      <w:r w:rsidRPr="00D56C84">
        <w:t xml:space="preserve"> of Western Australia takes a ‘broadly enabling’ approach to the function of local government, and does not codify any specific responsibilities regarding waste management. </w:t>
      </w:r>
    </w:p>
    <w:p w:rsidR="00BD7AFE" w:rsidRPr="00D56C84" w:rsidRDefault="006830F4" w:rsidP="004C4847">
      <w:pPr>
        <w:pStyle w:val="ParaIndent"/>
        <w:keepNext/>
        <w:spacing w:after="60"/>
        <w:ind w:left="1701"/>
        <w:jc w:val="both"/>
        <w:rPr>
          <w:b/>
          <w:sz w:val="18"/>
          <w:szCs w:val="18"/>
        </w:rPr>
      </w:pPr>
      <w:r w:rsidRPr="00D56C84">
        <w:rPr>
          <w:b/>
          <w:sz w:val="18"/>
          <w:szCs w:val="18"/>
        </w:rPr>
        <w:t>Part 3 — Functions of local governments</w:t>
      </w:r>
    </w:p>
    <w:p w:rsidR="00BD7AFE" w:rsidRPr="00D56C84" w:rsidRDefault="00BD7AFE" w:rsidP="004C4847">
      <w:pPr>
        <w:pStyle w:val="ParaIndent"/>
        <w:keepNext/>
        <w:spacing w:after="60"/>
        <w:ind w:left="1701"/>
        <w:jc w:val="both"/>
        <w:rPr>
          <w:sz w:val="18"/>
          <w:szCs w:val="18"/>
        </w:rPr>
      </w:pPr>
      <w:r w:rsidRPr="00D56C84">
        <w:rPr>
          <w:sz w:val="18"/>
          <w:szCs w:val="18"/>
        </w:rPr>
        <w:t>3.1. General function</w:t>
      </w:r>
    </w:p>
    <w:p w:rsidR="00BD7AFE" w:rsidRPr="00D56C84" w:rsidRDefault="00BD7AFE" w:rsidP="004C4847">
      <w:pPr>
        <w:pStyle w:val="ParaIndent"/>
        <w:keepNext/>
        <w:spacing w:after="60"/>
        <w:ind w:left="1701"/>
        <w:jc w:val="both"/>
        <w:rPr>
          <w:sz w:val="18"/>
          <w:szCs w:val="18"/>
        </w:rPr>
      </w:pPr>
      <w:r w:rsidRPr="00D56C84">
        <w:rPr>
          <w:sz w:val="18"/>
          <w:szCs w:val="18"/>
        </w:rPr>
        <w:t>(1) The general function of a local government is to provide for the good government of persons in its district.</w:t>
      </w:r>
    </w:p>
    <w:p w:rsidR="00BD7AFE" w:rsidRPr="00D56C84" w:rsidRDefault="00BD7AFE" w:rsidP="004C4847">
      <w:pPr>
        <w:pStyle w:val="ParaIndent"/>
        <w:keepNext/>
        <w:spacing w:after="60"/>
        <w:ind w:left="1701"/>
        <w:jc w:val="both"/>
        <w:rPr>
          <w:sz w:val="18"/>
          <w:szCs w:val="18"/>
        </w:rPr>
      </w:pPr>
      <w:r w:rsidRPr="00D56C84">
        <w:rPr>
          <w:sz w:val="18"/>
          <w:szCs w:val="18"/>
        </w:rPr>
        <w:t>(2) The scope of the general function of a local government is to be construed in the context of its other functions under this Act or any other written law and any constraints imposed by this Act or any other written law on the performance of its functions.</w:t>
      </w:r>
    </w:p>
    <w:p w:rsidR="00BD7AFE" w:rsidRPr="00D56C84" w:rsidRDefault="00BD7AFE" w:rsidP="004C4847">
      <w:pPr>
        <w:pStyle w:val="ParaIndent"/>
        <w:ind w:left="1701"/>
        <w:jc w:val="both"/>
        <w:rPr>
          <w:sz w:val="18"/>
          <w:szCs w:val="18"/>
        </w:rPr>
      </w:pPr>
      <w:r w:rsidRPr="00D56C84">
        <w:rPr>
          <w:sz w:val="18"/>
          <w:szCs w:val="18"/>
        </w:rPr>
        <w:t>(3) A liberal approach is to be taken to the construction of the scope of the general function of a local government.</w:t>
      </w:r>
    </w:p>
    <w:p w:rsidR="00DA5156" w:rsidRPr="00D56C84" w:rsidRDefault="00DA5156" w:rsidP="004C4847">
      <w:pPr>
        <w:pStyle w:val="ParaIndent"/>
        <w:keepNext/>
        <w:spacing w:after="60"/>
        <w:jc w:val="both"/>
      </w:pPr>
      <w:r w:rsidRPr="00D56C84">
        <w:t xml:space="preserve">Nonetheless, the </w:t>
      </w:r>
      <w:r w:rsidRPr="0077687F">
        <w:rPr>
          <w:i/>
        </w:rPr>
        <w:t xml:space="preserve">Waste Avoidance and Resource Recovery </w:t>
      </w:r>
      <w:r w:rsidR="007A35CE" w:rsidRPr="0077687F">
        <w:rPr>
          <w:i/>
        </w:rPr>
        <w:t xml:space="preserve">(WARR) </w:t>
      </w:r>
      <w:r w:rsidRPr="0077687F">
        <w:rPr>
          <w:i/>
        </w:rPr>
        <w:t>Act (2007)</w:t>
      </w:r>
      <w:r w:rsidRPr="00D56C84">
        <w:t xml:space="preserve"> has an extensive section on the provision of services by local government. Relevant clauses include:</w:t>
      </w:r>
    </w:p>
    <w:p w:rsidR="00DA5156" w:rsidRPr="00D56C84" w:rsidRDefault="00DA5156" w:rsidP="004C4847">
      <w:pPr>
        <w:pStyle w:val="ParaIndent"/>
        <w:keepNext/>
        <w:spacing w:after="60"/>
        <w:ind w:left="1701"/>
        <w:jc w:val="both"/>
        <w:rPr>
          <w:b/>
          <w:sz w:val="18"/>
          <w:szCs w:val="18"/>
        </w:rPr>
      </w:pPr>
      <w:r w:rsidRPr="00D56C84">
        <w:rPr>
          <w:b/>
          <w:sz w:val="18"/>
          <w:szCs w:val="18"/>
        </w:rPr>
        <w:t>Part 6 — Waste services</w:t>
      </w:r>
    </w:p>
    <w:p w:rsidR="00DA5156" w:rsidRPr="00D56C84" w:rsidRDefault="00DA5156" w:rsidP="004C4847">
      <w:pPr>
        <w:pStyle w:val="ParaIndent"/>
        <w:keepNext/>
        <w:spacing w:after="60"/>
        <w:ind w:left="1701"/>
        <w:jc w:val="both"/>
        <w:rPr>
          <w:sz w:val="18"/>
          <w:szCs w:val="18"/>
        </w:rPr>
      </w:pPr>
      <w:r w:rsidRPr="00D56C84">
        <w:rPr>
          <w:sz w:val="18"/>
          <w:szCs w:val="18"/>
        </w:rPr>
        <w:t>Division 1 — Services provided by local governments</w:t>
      </w:r>
    </w:p>
    <w:p w:rsidR="00DA5156" w:rsidRPr="00D56C84" w:rsidRDefault="00DA5156" w:rsidP="004C4847">
      <w:pPr>
        <w:pStyle w:val="ParaIndent"/>
        <w:keepNext/>
        <w:spacing w:after="60"/>
        <w:ind w:left="1701"/>
        <w:jc w:val="both"/>
        <w:rPr>
          <w:b/>
          <w:sz w:val="18"/>
          <w:szCs w:val="18"/>
        </w:rPr>
      </w:pPr>
      <w:r w:rsidRPr="00D56C84">
        <w:rPr>
          <w:b/>
          <w:sz w:val="18"/>
          <w:szCs w:val="18"/>
        </w:rPr>
        <w:t>50. Provision of waste services</w:t>
      </w:r>
    </w:p>
    <w:p w:rsidR="00DA5156" w:rsidRPr="00D56C84" w:rsidRDefault="00DA5156" w:rsidP="004C4847">
      <w:pPr>
        <w:pStyle w:val="ParaIndent"/>
        <w:keepNext/>
        <w:spacing w:after="60"/>
        <w:ind w:left="1701"/>
        <w:jc w:val="both"/>
        <w:rPr>
          <w:sz w:val="18"/>
          <w:szCs w:val="18"/>
        </w:rPr>
      </w:pPr>
      <w:r w:rsidRPr="00D56C84">
        <w:rPr>
          <w:sz w:val="18"/>
          <w:szCs w:val="18"/>
        </w:rPr>
        <w:t>(1) Subject to this Act and the EP Act, a local government may provide, or enter into a contract for the provision on its behalf of, waste services.</w:t>
      </w:r>
    </w:p>
    <w:p w:rsidR="00DA5156" w:rsidRPr="00D56C84" w:rsidRDefault="00DA5156" w:rsidP="004C4847">
      <w:pPr>
        <w:pStyle w:val="ParaIndent"/>
        <w:keepNext/>
        <w:spacing w:after="60"/>
        <w:ind w:left="1701"/>
        <w:jc w:val="both"/>
        <w:rPr>
          <w:sz w:val="18"/>
          <w:szCs w:val="18"/>
        </w:rPr>
      </w:pPr>
      <w:r w:rsidRPr="00D56C84">
        <w:rPr>
          <w:sz w:val="18"/>
          <w:szCs w:val="18"/>
        </w:rPr>
        <w:t>(2) A local government does not require a waste collection permit or an EP authorisation to collect or transport local government waste but is otherwise subject to the provisions of the EP Act.</w:t>
      </w:r>
    </w:p>
    <w:p w:rsidR="00DA5156" w:rsidRPr="00D56C84" w:rsidRDefault="00DA5156" w:rsidP="004C4847">
      <w:pPr>
        <w:pStyle w:val="ParaIndent"/>
        <w:spacing w:after="60"/>
        <w:ind w:left="1701"/>
        <w:jc w:val="both"/>
        <w:rPr>
          <w:sz w:val="18"/>
          <w:szCs w:val="18"/>
        </w:rPr>
      </w:pPr>
      <w:r w:rsidRPr="00D56C84">
        <w:rPr>
          <w:sz w:val="18"/>
          <w:szCs w:val="18"/>
        </w:rPr>
        <w:t>(3) The CEO may, for the purpose of protecting human health or the environment, by written notice require a local government, or 2 or more local governments together, to provide, in relation to local government waste, a waste service of a kind specified in the notice.</w:t>
      </w:r>
    </w:p>
    <w:p w:rsidR="007A35CE" w:rsidRPr="00D56C84" w:rsidRDefault="007A35CE" w:rsidP="004C4847">
      <w:pPr>
        <w:pStyle w:val="ParaIndent"/>
        <w:spacing w:after="60"/>
        <w:ind w:left="1701"/>
        <w:jc w:val="both"/>
        <w:rPr>
          <w:sz w:val="18"/>
          <w:szCs w:val="18"/>
        </w:rPr>
      </w:pPr>
      <w:r w:rsidRPr="00D56C84">
        <w:rPr>
          <w:sz w:val="18"/>
          <w:szCs w:val="18"/>
        </w:rPr>
        <w:t>( ) ...</w:t>
      </w:r>
    </w:p>
    <w:p w:rsidR="00DA5156" w:rsidRPr="00D56C84" w:rsidRDefault="00DA5156" w:rsidP="004C4847">
      <w:pPr>
        <w:pStyle w:val="ParaIndent"/>
        <w:keepNext/>
        <w:spacing w:after="60"/>
        <w:ind w:left="1701"/>
        <w:jc w:val="both"/>
        <w:rPr>
          <w:b/>
          <w:sz w:val="18"/>
          <w:szCs w:val="18"/>
        </w:rPr>
      </w:pPr>
      <w:r w:rsidRPr="00D56C84">
        <w:rPr>
          <w:b/>
          <w:sz w:val="18"/>
          <w:szCs w:val="18"/>
        </w:rPr>
        <w:t>51. Costs of providing combined waste service</w:t>
      </w:r>
    </w:p>
    <w:p w:rsidR="00DA5156" w:rsidRPr="00D56C84" w:rsidRDefault="00DA5156" w:rsidP="004C4847">
      <w:pPr>
        <w:pStyle w:val="ParaIndent"/>
        <w:spacing w:after="60"/>
        <w:ind w:left="1701"/>
        <w:jc w:val="both"/>
        <w:rPr>
          <w:sz w:val="18"/>
          <w:szCs w:val="18"/>
        </w:rPr>
      </w:pPr>
      <w:r w:rsidRPr="00D56C84">
        <w:rPr>
          <w:sz w:val="18"/>
          <w:szCs w:val="18"/>
        </w:rPr>
        <w:t>(1) If 2 or more local governments combine in providing a waste service, the CEO may, by written notice, determine the proportion of the cost of providing the service to be borne by each local government.</w:t>
      </w:r>
    </w:p>
    <w:p w:rsidR="007A35CE" w:rsidRPr="00D56C84" w:rsidRDefault="007A35CE" w:rsidP="004C4847">
      <w:pPr>
        <w:pStyle w:val="ParaIndent"/>
        <w:spacing w:after="60"/>
        <w:ind w:left="1701"/>
        <w:jc w:val="both"/>
        <w:rPr>
          <w:sz w:val="18"/>
          <w:szCs w:val="18"/>
        </w:rPr>
      </w:pPr>
      <w:r w:rsidRPr="00D56C84">
        <w:rPr>
          <w:sz w:val="18"/>
          <w:szCs w:val="18"/>
        </w:rPr>
        <w:t>( ) ...</w:t>
      </w:r>
    </w:p>
    <w:p w:rsidR="00DA5156" w:rsidRPr="00D56C84" w:rsidRDefault="00DA5156" w:rsidP="004C4847">
      <w:pPr>
        <w:pStyle w:val="ParaIndent"/>
        <w:keepNext/>
        <w:spacing w:after="60"/>
        <w:ind w:left="1701"/>
        <w:jc w:val="both"/>
        <w:rPr>
          <w:b/>
          <w:sz w:val="18"/>
          <w:szCs w:val="18"/>
        </w:rPr>
      </w:pPr>
      <w:r w:rsidRPr="00D56C84">
        <w:rPr>
          <w:b/>
          <w:sz w:val="18"/>
          <w:szCs w:val="18"/>
        </w:rPr>
        <w:lastRenderedPageBreak/>
        <w:t>52. Codes of practice</w:t>
      </w:r>
    </w:p>
    <w:p w:rsidR="00DA5156" w:rsidRPr="00D56C84" w:rsidRDefault="00DA5156" w:rsidP="004C4847">
      <w:pPr>
        <w:pStyle w:val="ParaIndent"/>
        <w:keepNext/>
        <w:spacing w:after="60"/>
        <w:ind w:left="1701"/>
        <w:jc w:val="both"/>
        <w:rPr>
          <w:sz w:val="18"/>
          <w:szCs w:val="18"/>
        </w:rPr>
      </w:pPr>
      <w:r w:rsidRPr="00D56C84">
        <w:rPr>
          <w:sz w:val="18"/>
          <w:szCs w:val="18"/>
        </w:rPr>
        <w:t>(1) The Waste Authority may, with the approval of the Minister, make codes of practice for the provision of waste services —</w:t>
      </w:r>
    </w:p>
    <w:p w:rsidR="00DA5156" w:rsidRPr="00D56C84" w:rsidRDefault="00DA5156" w:rsidP="004C4847">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generally</w:t>
      </w:r>
      <w:proofErr w:type="gramEnd"/>
      <w:r w:rsidRPr="00D56C84">
        <w:rPr>
          <w:sz w:val="18"/>
          <w:szCs w:val="18"/>
        </w:rPr>
        <w:t>; or</w:t>
      </w:r>
    </w:p>
    <w:p w:rsidR="00DA5156" w:rsidRPr="00D56C84" w:rsidRDefault="00DA5156" w:rsidP="004C4847">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in</w:t>
      </w:r>
      <w:proofErr w:type="gramEnd"/>
      <w:r w:rsidRPr="00D56C84">
        <w:rPr>
          <w:sz w:val="18"/>
          <w:szCs w:val="18"/>
        </w:rPr>
        <w:t xml:space="preserve"> relation to local government waste; or</w:t>
      </w:r>
    </w:p>
    <w:p w:rsidR="00DA5156" w:rsidRPr="00D56C84" w:rsidRDefault="00DA5156" w:rsidP="004C4847">
      <w:pPr>
        <w:pStyle w:val="ParaIndent"/>
        <w:spacing w:after="60"/>
        <w:ind w:left="1985"/>
        <w:jc w:val="both"/>
        <w:rPr>
          <w:sz w:val="18"/>
          <w:szCs w:val="18"/>
        </w:rPr>
      </w:pPr>
      <w:r w:rsidRPr="00D56C84">
        <w:rPr>
          <w:sz w:val="18"/>
          <w:szCs w:val="18"/>
        </w:rPr>
        <w:t xml:space="preserve">(c) </w:t>
      </w:r>
      <w:proofErr w:type="gramStart"/>
      <w:r w:rsidRPr="00D56C84">
        <w:rPr>
          <w:sz w:val="18"/>
          <w:szCs w:val="18"/>
        </w:rPr>
        <w:t>in</w:t>
      </w:r>
      <w:proofErr w:type="gramEnd"/>
      <w:r w:rsidRPr="00D56C84">
        <w:rPr>
          <w:sz w:val="18"/>
          <w:szCs w:val="18"/>
        </w:rPr>
        <w:t xml:space="preserve"> relation to other particular types of situations.</w:t>
      </w:r>
    </w:p>
    <w:p w:rsidR="007A35CE" w:rsidRPr="00D56C84" w:rsidRDefault="007A35CE" w:rsidP="004C4847">
      <w:pPr>
        <w:pStyle w:val="ParaIndent"/>
        <w:keepNext/>
        <w:spacing w:after="60"/>
        <w:ind w:left="1701"/>
        <w:jc w:val="both"/>
        <w:rPr>
          <w:sz w:val="18"/>
          <w:szCs w:val="18"/>
        </w:rPr>
      </w:pPr>
      <w:r w:rsidRPr="00D56C84">
        <w:rPr>
          <w:sz w:val="18"/>
          <w:szCs w:val="18"/>
        </w:rPr>
        <w:t>( ) ...</w:t>
      </w:r>
    </w:p>
    <w:p w:rsidR="00DA5156" w:rsidRPr="00D56C84" w:rsidRDefault="00DA5156" w:rsidP="004C4847">
      <w:pPr>
        <w:pStyle w:val="ParaIndent"/>
        <w:keepNext/>
        <w:spacing w:after="60"/>
        <w:ind w:left="1701"/>
        <w:jc w:val="both"/>
        <w:rPr>
          <w:b/>
          <w:sz w:val="18"/>
          <w:szCs w:val="18"/>
        </w:rPr>
      </w:pPr>
      <w:r w:rsidRPr="00D56C84">
        <w:rPr>
          <w:b/>
          <w:sz w:val="18"/>
          <w:szCs w:val="18"/>
        </w:rPr>
        <w:t>53. CEO may monitor and evaluate waste services</w:t>
      </w:r>
    </w:p>
    <w:p w:rsidR="00DA5156" w:rsidRPr="00D56C84" w:rsidRDefault="00DA5156" w:rsidP="004C4847">
      <w:pPr>
        <w:pStyle w:val="ParaIndent"/>
        <w:keepNext/>
        <w:spacing w:after="60"/>
        <w:ind w:left="1701"/>
        <w:jc w:val="both"/>
        <w:rPr>
          <w:sz w:val="18"/>
          <w:szCs w:val="18"/>
        </w:rPr>
      </w:pPr>
      <w:r w:rsidRPr="00D56C84">
        <w:rPr>
          <w:sz w:val="18"/>
          <w:szCs w:val="18"/>
        </w:rPr>
        <w:t>( ) ...</w:t>
      </w:r>
    </w:p>
    <w:p w:rsidR="00DA5156" w:rsidRPr="00D56C84" w:rsidRDefault="00DA5156" w:rsidP="004C4847">
      <w:pPr>
        <w:pStyle w:val="ParaIndent"/>
        <w:ind w:left="1701"/>
        <w:jc w:val="both"/>
        <w:rPr>
          <w:sz w:val="18"/>
          <w:szCs w:val="18"/>
        </w:rPr>
      </w:pPr>
      <w:r w:rsidRPr="00D56C84">
        <w:rPr>
          <w:sz w:val="18"/>
          <w:szCs w:val="18"/>
        </w:rPr>
        <w:t>(4) For the purposes of this section the CEO may by notice given to a local government request the local government to provide the CEO, or a person specified in the notice, with such reports and other information specified in the notice as are necessary for monitoring or evaluating waste services.</w:t>
      </w:r>
    </w:p>
    <w:p w:rsidR="007A35CE" w:rsidRPr="00D56C84" w:rsidRDefault="007A35CE" w:rsidP="004C4847">
      <w:pPr>
        <w:pStyle w:val="ParaIndent"/>
        <w:keepNext/>
        <w:spacing w:after="60"/>
        <w:jc w:val="both"/>
      </w:pPr>
      <w:r w:rsidRPr="00D56C84">
        <w:t xml:space="preserve">The </w:t>
      </w:r>
      <w:r w:rsidRPr="00100B7C">
        <w:rPr>
          <w:i/>
        </w:rPr>
        <w:t xml:space="preserve">WARR Act </w:t>
      </w:r>
      <w:r w:rsidR="00100B7C" w:rsidRPr="00100B7C">
        <w:rPr>
          <w:i/>
        </w:rPr>
        <w:t>(2007)</w:t>
      </w:r>
      <w:r w:rsidR="00100B7C">
        <w:t xml:space="preserve"> </w:t>
      </w:r>
      <w:r w:rsidRPr="00D56C84">
        <w:t xml:space="preserve">also gives specific instruction as to how local government can choose or be directed to establish local laws and set charges relating to waste management. </w:t>
      </w:r>
    </w:p>
    <w:p w:rsidR="007A35CE" w:rsidRPr="00D56C84" w:rsidRDefault="007A35CE" w:rsidP="004C4847">
      <w:pPr>
        <w:pStyle w:val="ParaIndent"/>
        <w:keepNext/>
        <w:spacing w:after="60"/>
        <w:ind w:left="1701"/>
        <w:jc w:val="both"/>
        <w:rPr>
          <w:b/>
          <w:sz w:val="18"/>
          <w:szCs w:val="18"/>
        </w:rPr>
      </w:pPr>
      <w:r w:rsidRPr="00D56C84">
        <w:rPr>
          <w:b/>
          <w:sz w:val="18"/>
          <w:szCs w:val="18"/>
        </w:rPr>
        <w:t>Division 3 — Local laws and local government rates, fees and charges</w:t>
      </w:r>
    </w:p>
    <w:p w:rsidR="007A35CE" w:rsidRPr="00D56C84" w:rsidRDefault="007A35CE" w:rsidP="004C4847">
      <w:pPr>
        <w:pStyle w:val="ParaIndent"/>
        <w:keepNext/>
        <w:spacing w:after="60"/>
        <w:ind w:left="1701"/>
        <w:jc w:val="both"/>
        <w:rPr>
          <w:b/>
          <w:sz w:val="18"/>
          <w:szCs w:val="18"/>
        </w:rPr>
      </w:pPr>
      <w:r w:rsidRPr="00D56C84">
        <w:rPr>
          <w:b/>
          <w:sz w:val="18"/>
          <w:szCs w:val="18"/>
        </w:rPr>
        <w:t>61. Local laws in respect of waste management</w:t>
      </w:r>
    </w:p>
    <w:p w:rsidR="007A35CE" w:rsidRPr="00D56C84" w:rsidRDefault="007A35CE" w:rsidP="004C4847">
      <w:pPr>
        <w:pStyle w:val="ParaIndent"/>
        <w:keepNext/>
        <w:spacing w:after="60"/>
        <w:ind w:left="1701"/>
        <w:jc w:val="both"/>
        <w:rPr>
          <w:sz w:val="18"/>
          <w:szCs w:val="18"/>
        </w:rPr>
      </w:pPr>
      <w:r w:rsidRPr="00D56C84">
        <w:rPr>
          <w:sz w:val="18"/>
          <w:szCs w:val="18"/>
        </w:rPr>
        <w:t>(1) A local government —</w:t>
      </w:r>
    </w:p>
    <w:p w:rsidR="007A35CE" w:rsidRPr="00D56C84" w:rsidRDefault="007A35CE" w:rsidP="004C4847">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may</w:t>
      </w:r>
      <w:proofErr w:type="gramEnd"/>
      <w:r w:rsidRPr="00D56C84">
        <w:rPr>
          <w:sz w:val="18"/>
          <w:szCs w:val="18"/>
        </w:rPr>
        <w:t>, if the CEO consents; and</w:t>
      </w:r>
    </w:p>
    <w:p w:rsidR="007A35CE" w:rsidRPr="00D56C84" w:rsidRDefault="007A35CE" w:rsidP="004C4847">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must</w:t>
      </w:r>
      <w:proofErr w:type="gramEnd"/>
      <w:r w:rsidRPr="00D56C84">
        <w:rPr>
          <w:sz w:val="18"/>
          <w:szCs w:val="18"/>
        </w:rPr>
        <w:t>, if the CEO so directs,</w:t>
      </w:r>
    </w:p>
    <w:p w:rsidR="007A35CE" w:rsidRPr="00D56C84" w:rsidRDefault="007A35CE" w:rsidP="004C4847">
      <w:pPr>
        <w:pStyle w:val="ParaIndent"/>
        <w:ind w:left="1701"/>
        <w:jc w:val="both"/>
        <w:rPr>
          <w:sz w:val="18"/>
          <w:szCs w:val="18"/>
        </w:rPr>
      </w:pPr>
      <w:proofErr w:type="gramStart"/>
      <w:r w:rsidRPr="00D56C84">
        <w:rPr>
          <w:sz w:val="18"/>
          <w:szCs w:val="18"/>
        </w:rPr>
        <w:t>make</w:t>
      </w:r>
      <w:proofErr w:type="gramEnd"/>
      <w:r w:rsidRPr="00D56C84">
        <w:rPr>
          <w:sz w:val="18"/>
          <w:szCs w:val="18"/>
        </w:rPr>
        <w:t xml:space="preserve"> local laws in accordance with the Local Government Act 1995 Part 3 Division 2 Subdivision 2 for the purposes specified in section 64 or generally for carrying into effect the provisions of this Part.</w:t>
      </w:r>
    </w:p>
    <w:p w:rsidR="0099625B" w:rsidRPr="00D56C84" w:rsidRDefault="006830F4" w:rsidP="004C4847">
      <w:pPr>
        <w:pStyle w:val="ParaIndent"/>
        <w:keepNext/>
        <w:spacing w:after="60"/>
        <w:jc w:val="both"/>
      </w:pPr>
      <w:r w:rsidRPr="00D56C84">
        <w:t>The</w:t>
      </w:r>
      <w:r w:rsidR="0099625B" w:rsidRPr="00D56C84">
        <w:t xml:space="preserve"> </w:t>
      </w:r>
      <w:r w:rsidR="007A35CE" w:rsidRPr="0077687F">
        <w:rPr>
          <w:i/>
        </w:rPr>
        <w:t>WARR</w:t>
      </w:r>
      <w:r w:rsidR="0099625B" w:rsidRPr="0077687F">
        <w:rPr>
          <w:i/>
        </w:rPr>
        <w:t xml:space="preserve"> Act </w:t>
      </w:r>
      <w:r w:rsidRPr="0077687F">
        <w:rPr>
          <w:i/>
        </w:rPr>
        <w:t>(</w:t>
      </w:r>
      <w:r w:rsidR="0099625B" w:rsidRPr="0077687F">
        <w:rPr>
          <w:i/>
        </w:rPr>
        <w:t>2007</w:t>
      </w:r>
      <w:r w:rsidRPr="0077687F">
        <w:rPr>
          <w:i/>
        </w:rPr>
        <w:t>)</w:t>
      </w:r>
      <w:r w:rsidRPr="00D56C84">
        <w:t xml:space="preserve"> </w:t>
      </w:r>
      <w:r w:rsidR="007A35CE" w:rsidRPr="00D56C84">
        <w:t xml:space="preserve">also </w:t>
      </w:r>
      <w:r w:rsidRPr="00D56C84">
        <w:t xml:space="preserve">sets out specific requirements for </w:t>
      </w:r>
      <w:r w:rsidR="0099625B" w:rsidRPr="00D56C84">
        <w:t xml:space="preserve">local government </w:t>
      </w:r>
      <w:r w:rsidRPr="00D56C84">
        <w:t>to</w:t>
      </w:r>
      <w:r w:rsidR="0099625B" w:rsidRPr="00D56C84">
        <w:t xml:space="preserve"> develop a </w:t>
      </w:r>
      <w:r w:rsidRPr="00D56C84">
        <w:t>w</w:t>
      </w:r>
      <w:r w:rsidR="0099625B" w:rsidRPr="00D56C84">
        <w:t xml:space="preserve">aste </w:t>
      </w:r>
      <w:r w:rsidRPr="00D56C84">
        <w:t>p</w:t>
      </w:r>
      <w:r w:rsidR="0099625B" w:rsidRPr="00D56C84">
        <w:t>lan</w:t>
      </w:r>
      <w:r w:rsidRPr="00D56C84">
        <w:t xml:space="preserve"> under provisions in the </w:t>
      </w:r>
      <w:r w:rsidRPr="0077687F">
        <w:rPr>
          <w:i/>
        </w:rPr>
        <w:t>Local Government Act (1995)</w:t>
      </w:r>
      <w:r w:rsidR="0099625B" w:rsidRPr="0077687F">
        <w:rPr>
          <w:i/>
        </w:rPr>
        <w:t>.</w:t>
      </w:r>
      <w:r w:rsidR="0099625B" w:rsidRPr="00D56C84">
        <w:t xml:space="preserve"> </w:t>
      </w:r>
    </w:p>
    <w:p w:rsidR="0099625B" w:rsidRPr="00D56C84" w:rsidRDefault="0099625B" w:rsidP="004C4847">
      <w:pPr>
        <w:pStyle w:val="ParaIndent"/>
        <w:keepNext/>
        <w:spacing w:after="60"/>
        <w:ind w:left="1701"/>
        <w:jc w:val="both"/>
        <w:rPr>
          <w:b/>
          <w:sz w:val="18"/>
          <w:szCs w:val="18"/>
        </w:rPr>
      </w:pPr>
      <w:r w:rsidRPr="00D56C84">
        <w:rPr>
          <w:b/>
          <w:sz w:val="18"/>
          <w:szCs w:val="18"/>
        </w:rPr>
        <w:t>40. Waste plans</w:t>
      </w:r>
    </w:p>
    <w:p w:rsidR="0099625B" w:rsidRPr="00D56C84" w:rsidRDefault="0099625B" w:rsidP="004C4847">
      <w:pPr>
        <w:pStyle w:val="ParaIndent"/>
        <w:keepNext/>
        <w:spacing w:after="60"/>
        <w:ind w:left="1701"/>
        <w:jc w:val="both"/>
        <w:rPr>
          <w:sz w:val="18"/>
          <w:szCs w:val="18"/>
        </w:rPr>
      </w:pPr>
      <w:r w:rsidRPr="00D56C84">
        <w:rPr>
          <w:sz w:val="18"/>
          <w:szCs w:val="18"/>
        </w:rPr>
        <w:t xml:space="preserve">(1) In this section — plan for the future means a plan made under the </w:t>
      </w:r>
      <w:r w:rsidRPr="0077687F">
        <w:rPr>
          <w:i/>
          <w:sz w:val="18"/>
          <w:szCs w:val="18"/>
        </w:rPr>
        <w:t>Local Government Act 1995</w:t>
      </w:r>
      <w:r w:rsidRPr="00D56C84">
        <w:rPr>
          <w:sz w:val="18"/>
          <w:szCs w:val="18"/>
        </w:rPr>
        <w:t xml:space="preserve"> section 5.56.</w:t>
      </w:r>
    </w:p>
    <w:p w:rsidR="0099625B" w:rsidRPr="00D56C84" w:rsidRDefault="0099625B" w:rsidP="004C4847">
      <w:pPr>
        <w:pStyle w:val="ParaIndent"/>
        <w:spacing w:after="60"/>
        <w:ind w:left="1701"/>
        <w:jc w:val="both"/>
        <w:rPr>
          <w:sz w:val="18"/>
          <w:szCs w:val="18"/>
        </w:rPr>
      </w:pPr>
      <w:r w:rsidRPr="00D56C84">
        <w:rPr>
          <w:sz w:val="18"/>
          <w:szCs w:val="18"/>
        </w:rPr>
        <w:t>(2) A local government may include within its plan for the future a waste plan outlining how, in order to protect human health and the environment, waste services provided by the local government in the relevant district will be managed to achieve consistency with the waste strategy.</w:t>
      </w:r>
    </w:p>
    <w:p w:rsidR="0099625B" w:rsidRPr="00D56C84" w:rsidRDefault="0099625B" w:rsidP="004C4847">
      <w:pPr>
        <w:pStyle w:val="ParaIndent"/>
        <w:keepNext/>
        <w:spacing w:after="60"/>
        <w:ind w:left="1701"/>
        <w:jc w:val="both"/>
        <w:rPr>
          <w:sz w:val="18"/>
          <w:szCs w:val="18"/>
        </w:rPr>
      </w:pPr>
      <w:r w:rsidRPr="00D56C84">
        <w:rPr>
          <w:sz w:val="18"/>
          <w:szCs w:val="18"/>
        </w:rPr>
        <w:t>(3) The waste plan may include —</w:t>
      </w:r>
    </w:p>
    <w:p w:rsidR="0099625B" w:rsidRPr="00D56C84" w:rsidRDefault="0099625B" w:rsidP="004C4847">
      <w:pPr>
        <w:pStyle w:val="ParaIndent"/>
        <w:keepNext/>
        <w:spacing w:after="60"/>
        <w:ind w:left="1985"/>
        <w:jc w:val="both"/>
        <w:rPr>
          <w:sz w:val="18"/>
          <w:szCs w:val="18"/>
        </w:rPr>
      </w:pPr>
      <w:r w:rsidRPr="00D56C84">
        <w:rPr>
          <w:sz w:val="18"/>
          <w:szCs w:val="18"/>
        </w:rPr>
        <w:t xml:space="preserve">(a) </w:t>
      </w:r>
      <w:proofErr w:type="gramStart"/>
      <w:r w:rsidRPr="00D56C84">
        <w:rPr>
          <w:sz w:val="18"/>
          <w:szCs w:val="18"/>
        </w:rPr>
        <w:t>population</w:t>
      </w:r>
      <w:proofErr w:type="gramEnd"/>
      <w:r w:rsidRPr="00D56C84">
        <w:rPr>
          <w:sz w:val="18"/>
          <w:szCs w:val="18"/>
        </w:rPr>
        <w:t xml:space="preserve"> and development profiles for the district;</w:t>
      </w:r>
    </w:p>
    <w:p w:rsidR="0099625B" w:rsidRPr="00D56C84" w:rsidRDefault="0099625B" w:rsidP="004C4847">
      <w:pPr>
        <w:pStyle w:val="ParaIndent"/>
        <w:keepNext/>
        <w:spacing w:after="60"/>
        <w:ind w:left="1985"/>
        <w:jc w:val="both"/>
        <w:rPr>
          <w:sz w:val="18"/>
          <w:szCs w:val="18"/>
        </w:rPr>
      </w:pPr>
      <w:r w:rsidRPr="00D56C84">
        <w:rPr>
          <w:sz w:val="18"/>
          <w:szCs w:val="18"/>
        </w:rPr>
        <w:t xml:space="preserve">(b) </w:t>
      </w:r>
      <w:proofErr w:type="gramStart"/>
      <w:r w:rsidRPr="00D56C84">
        <w:rPr>
          <w:sz w:val="18"/>
          <w:szCs w:val="18"/>
        </w:rPr>
        <w:t>an</w:t>
      </w:r>
      <w:proofErr w:type="gramEnd"/>
      <w:r w:rsidRPr="00D56C84">
        <w:rPr>
          <w:sz w:val="18"/>
          <w:szCs w:val="18"/>
        </w:rPr>
        <w:t xml:space="preserve"> assessment of significant sources and generators of waste received by the local government;</w:t>
      </w:r>
    </w:p>
    <w:p w:rsidR="0099625B" w:rsidRPr="00D56C84" w:rsidRDefault="0099625B" w:rsidP="004C4847">
      <w:pPr>
        <w:pStyle w:val="ParaIndent"/>
        <w:spacing w:after="60"/>
        <w:ind w:left="1985"/>
        <w:jc w:val="both"/>
        <w:rPr>
          <w:sz w:val="18"/>
          <w:szCs w:val="18"/>
        </w:rPr>
      </w:pPr>
      <w:r w:rsidRPr="00D56C84">
        <w:rPr>
          <w:sz w:val="18"/>
          <w:szCs w:val="18"/>
        </w:rPr>
        <w:t xml:space="preserve">(c) </w:t>
      </w:r>
      <w:proofErr w:type="gramStart"/>
      <w:r w:rsidRPr="00D56C84">
        <w:rPr>
          <w:sz w:val="18"/>
          <w:szCs w:val="18"/>
        </w:rPr>
        <w:t>an</w:t>
      </w:r>
      <w:proofErr w:type="gramEnd"/>
      <w:r w:rsidRPr="00D56C84">
        <w:rPr>
          <w:sz w:val="18"/>
          <w:szCs w:val="18"/>
        </w:rPr>
        <w:t xml:space="preserve"> assessment of the quantities and classes of waste received by the local government;</w:t>
      </w:r>
    </w:p>
    <w:p w:rsidR="0099625B" w:rsidRPr="00D56C84" w:rsidRDefault="0099625B" w:rsidP="004C4847">
      <w:pPr>
        <w:pStyle w:val="ParaIndent"/>
        <w:spacing w:after="60"/>
        <w:ind w:left="1985"/>
        <w:jc w:val="both"/>
        <w:rPr>
          <w:sz w:val="18"/>
          <w:szCs w:val="18"/>
        </w:rPr>
      </w:pPr>
      <w:r w:rsidRPr="00D56C84">
        <w:rPr>
          <w:sz w:val="18"/>
          <w:szCs w:val="18"/>
        </w:rPr>
        <w:t xml:space="preserve">(d) </w:t>
      </w:r>
      <w:proofErr w:type="gramStart"/>
      <w:r w:rsidRPr="00D56C84">
        <w:rPr>
          <w:sz w:val="18"/>
          <w:szCs w:val="18"/>
        </w:rPr>
        <w:t>an</w:t>
      </w:r>
      <w:proofErr w:type="gramEnd"/>
      <w:r w:rsidRPr="00D56C84">
        <w:rPr>
          <w:sz w:val="18"/>
          <w:szCs w:val="18"/>
        </w:rPr>
        <w:t xml:space="preserve"> assessment of the services, markets and facilities for waste received by the local government;</w:t>
      </w:r>
    </w:p>
    <w:p w:rsidR="0099625B" w:rsidRPr="00D56C84" w:rsidRDefault="0099625B" w:rsidP="004C4847">
      <w:pPr>
        <w:pStyle w:val="ParaIndent"/>
        <w:spacing w:after="60"/>
        <w:ind w:left="1985"/>
        <w:jc w:val="both"/>
        <w:rPr>
          <w:sz w:val="18"/>
          <w:szCs w:val="18"/>
        </w:rPr>
      </w:pPr>
      <w:r w:rsidRPr="00D56C84">
        <w:rPr>
          <w:sz w:val="18"/>
          <w:szCs w:val="18"/>
        </w:rPr>
        <w:t xml:space="preserve">(e) </w:t>
      </w:r>
      <w:proofErr w:type="gramStart"/>
      <w:r w:rsidRPr="00D56C84">
        <w:rPr>
          <w:sz w:val="18"/>
          <w:szCs w:val="18"/>
        </w:rPr>
        <w:t>an</w:t>
      </w:r>
      <w:proofErr w:type="gramEnd"/>
      <w:r w:rsidRPr="00D56C84">
        <w:rPr>
          <w:sz w:val="18"/>
          <w:szCs w:val="18"/>
        </w:rPr>
        <w:t xml:space="preserve"> assessment of the options for reduction, management and disposal of waste received by the local government;</w:t>
      </w:r>
    </w:p>
    <w:p w:rsidR="0099625B" w:rsidRPr="00D56C84" w:rsidRDefault="0099625B" w:rsidP="004C4847">
      <w:pPr>
        <w:pStyle w:val="ParaIndent"/>
        <w:spacing w:after="60"/>
        <w:ind w:left="1985"/>
        <w:jc w:val="both"/>
        <w:rPr>
          <w:sz w:val="18"/>
          <w:szCs w:val="18"/>
        </w:rPr>
      </w:pPr>
      <w:r w:rsidRPr="00D56C84">
        <w:rPr>
          <w:sz w:val="18"/>
          <w:szCs w:val="18"/>
        </w:rPr>
        <w:t xml:space="preserve">(f) </w:t>
      </w:r>
      <w:proofErr w:type="gramStart"/>
      <w:r w:rsidRPr="00D56C84">
        <w:rPr>
          <w:sz w:val="18"/>
          <w:szCs w:val="18"/>
        </w:rPr>
        <w:t>proposed</w:t>
      </w:r>
      <w:proofErr w:type="gramEnd"/>
      <w:r w:rsidRPr="00D56C84">
        <w:rPr>
          <w:sz w:val="18"/>
          <w:szCs w:val="18"/>
        </w:rPr>
        <w:t xml:space="preserve"> strategies and targets for managing and reducing waste received by the local government;</w:t>
      </w:r>
    </w:p>
    <w:p w:rsidR="0099625B" w:rsidRPr="00D56C84" w:rsidRDefault="0099625B" w:rsidP="004C4847">
      <w:pPr>
        <w:pStyle w:val="ParaIndent"/>
        <w:spacing w:after="60"/>
        <w:ind w:left="1985"/>
        <w:jc w:val="both"/>
        <w:rPr>
          <w:sz w:val="18"/>
          <w:szCs w:val="18"/>
        </w:rPr>
      </w:pPr>
      <w:r w:rsidRPr="00D56C84">
        <w:rPr>
          <w:sz w:val="18"/>
          <w:szCs w:val="18"/>
        </w:rPr>
        <w:t xml:space="preserve">(g) </w:t>
      </w:r>
      <w:proofErr w:type="gramStart"/>
      <w:r w:rsidRPr="00D56C84">
        <w:rPr>
          <w:sz w:val="18"/>
          <w:szCs w:val="18"/>
        </w:rPr>
        <w:t>proposed</w:t>
      </w:r>
      <w:proofErr w:type="gramEnd"/>
      <w:r w:rsidRPr="00D56C84">
        <w:rPr>
          <w:sz w:val="18"/>
          <w:szCs w:val="18"/>
        </w:rPr>
        <w:t xml:space="preserve"> strategies and targets for the efficient disposal of waste received by the local government that cannot be recovered, reused or recycled;</w:t>
      </w:r>
    </w:p>
    <w:p w:rsidR="0099625B" w:rsidRPr="00D56C84" w:rsidRDefault="0099625B" w:rsidP="004C4847">
      <w:pPr>
        <w:pStyle w:val="ParaIndent"/>
        <w:keepNext/>
        <w:spacing w:after="60"/>
        <w:ind w:left="1985"/>
        <w:jc w:val="both"/>
        <w:rPr>
          <w:sz w:val="18"/>
          <w:szCs w:val="18"/>
        </w:rPr>
      </w:pPr>
      <w:r w:rsidRPr="00D56C84">
        <w:rPr>
          <w:sz w:val="18"/>
          <w:szCs w:val="18"/>
        </w:rPr>
        <w:lastRenderedPageBreak/>
        <w:t xml:space="preserve">(h) </w:t>
      </w:r>
      <w:proofErr w:type="gramStart"/>
      <w:r w:rsidRPr="00D56C84">
        <w:rPr>
          <w:sz w:val="18"/>
          <w:szCs w:val="18"/>
        </w:rPr>
        <w:t>an</w:t>
      </w:r>
      <w:proofErr w:type="gramEnd"/>
      <w:r w:rsidRPr="00D56C84">
        <w:rPr>
          <w:sz w:val="18"/>
          <w:szCs w:val="18"/>
        </w:rPr>
        <w:t xml:space="preserve"> implementation programme that identifies the required action, timeframes, resources and responsibilities for achieving these strategies and targets;</w:t>
      </w:r>
    </w:p>
    <w:p w:rsidR="0099625B" w:rsidRPr="00D56C84" w:rsidRDefault="0099625B" w:rsidP="004C4847">
      <w:pPr>
        <w:pStyle w:val="ParaIndent"/>
        <w:keepNext/>
        <w:ind w:left="1985"/>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 xml:space="preserve">) </w:t>
      </w:r>
      <w:proofErr w:type="gramStart"/>
      <w:r w:rsidRPr="00D56C84">
        <w:rPr>
          <w:sz w:val="18"/>
          <w:szCs w:val="18"/>
        </w:rPr>
        <w:t>such</w:t>
      </w:r>
      <w:proofErr w:type="gramEnd"/>
      <w:r w:rsidRPr="00D56C84">
        <w:rPr>
          <w:sz w:val="18"/>
          <w:szCs w:val="18"/>
        </w:rPr>
        <w:t xml:space="preserve"> other matters as may be prescribed by the regulations.</w:t>
      </w:r>
    </w:p>
    <w:p w:rsidR="00AA187D" w:rsidRPr="00D56C84" w:rsidRDefault="00AA187D" w:rsidP="00AA187D">
      <w:pPr>
        <w:pStyle w:val="Heading2"/>
      </w:pPr>
      <w:bookmarkStart w:id="94" w:name="_Toc307470452"/>
      <w:r w:rsidRPr="00D56C84">
        <w:t>Groupings</w:t>
      </w:r>
      <w:r w:rsidR="00085D2C" w:rsidRPr="00085D2C">
        <w:t xml:space="preserve"> </w:t>
      </w:r>
      <w:r w:rsidR="00085D2C">
        <w:t>in Western Australia</w:t>
      </w:r>
      <w:bookmarkEnd w:id="94"/>
    </w:p>
    <w:p w:rsidR="008C3594" w:rsidRPr="00D56C84" w:rsidRDefault="00632CDB" w:rsidP="008C3594">
      <w:pPr>
        <w:pStyle w:val="Heading3"/>
      </w:pPr>
      <w:r w:rsidRPr="00D56C84">
        <w:t>Regional Councils</w:t>
      </w:r>
    </w:p>
    <w:p w:rsidR="00CF5BE5" w:rsidRPr="00D56C84" w:rsidRDefault="00632CDB" w:rsidP="004C4847">
      <w:pPr>
        <w:pStyle w:val="ParaIndent"/>
        <w:jc w:val="both"/>
      </w:pPr>
      <w:r w:rsidRPr="00D56C84">
        <w:t>There are eight regional councils in Western Australia that have the role of coordinating waste and resource recovery activities for member local governments.</w:t>
      </w:r>
    </w:p>
    <w:p w:rsidR="00632CDB" w:rsidRPr="00D56C84" w:rsidRDefault="00632CDB" w:rsidP="004C4847">
      <w:pPr>
        <w:pStyle w:val="ParaIndent"/>
        <w:jc w:val="both"/>
      </w:pPr>
      <w:r w:rsidRPr="00D56C84">
        <w:t xml:space="preserve">These eight regional councils have 39 member LGAs, </w:t>
      </w:r>
      <w:r w:rsidR="00680C3E" w:rsidRPr="00D56C84">
        <w:t>which together</w:t>
      </w:r>
      <w:r w:rsidRPr="00D56C84">
        <w:t xml:space="preserve"> account for 74% of the state’s population and 21% of the state’s land area</w:t>
      </w:r>
      <w:r w:rsidR="00D95FE7" w:rsidRPr="00D56C84">
        <w:t xml:space="preserve"> (</w:t>
      </w:r>
      <w:fldSimple w:instr=" REF _Ref297109997 \h  \* MERGEFORMAT ">
        <w:r w:rsidR="00166111" w:rsidRPr="00D56C84">
          <w:t xml:space="preserve">Table </w:t>
        </w:r>
        <w:r w:rsidR="00166111">
          <w:rPr>
            <w:noProof/>
          </w:rPr>
          <w:t>10</w:t>
        </w:r>
        <w:r w:rsidR="00166111" w:rsidRPr="00D56C84">
          <w:rPr>
            <w:noProof/>
          </w:rPr>
          <w:t>-</w:t>
        </w:r>
        <w:r w:rsidR="00166111">
          <w:rPr>
            <w:noProof/>
          </w:rPr>
          <w:t>29</w:t>
        </w:r>
      </w:fldSimple>
      <w:r w:rsidR="00D95FE7" w:rsidRPr="00D56C84">
        <w:t>)</w:t>
      </w:r>
      <w:r w:rsidRPr="00D56C84">
        <w:t>.</w:t>
      </w:r>
    </w:p>
    <w:p w:rsidR="00101C06" w:rsidRPr="00D56C84" w:rsidRDefault="00101C06" w:rsidP="004C4847">
      <w:pPr>
        <w:pStyle w:val="ParaIndent"/>
        <w:jc w:val="both"/>
      </w:pPr>
      <w:r w:rsidRPr="00D56C84">
        <w:t xml:space="preserve">Notably, the City of Perth is not a member of a regional </w:t>
      </w:r>
      <w:r w:rsidR="00632CDB" w:rsidRPr="00D56C84">
        <w:t>council</w:t>
      </w:r>
      <w:r w:rsidRPr="00D56C84">
        <w:t>.</w:t>
      </w:r>
    </w:p>
    <w:p w:rsidR="00D95FE7" w:rsidRPr="00D56C84" w:rsidRDefault="00D95FE7" w:rsidP="00D95FE7">
      <w:pPr>
        <w:pStyle w:val="Caption"/>
      </w:pPr>
      <w:bookmarkStart w:id="95" w:name="_Ref297109997"/>
      <w:r w:rsidRPr="00D56C84">
        <w:t xml:space="preserve">Table </w:t>
      </w:r>
      <w:r w:rsidR="00ED6CA0">
        <w:fldChar w:fldCharType="begin"/>
      </w:r>
      <w:r w:rsidR="006D5406">
        <w:instrText xml:space="preserve"> STYLEREF "_Heading1" \n </w:instrText>
      </w:r>
      <w:r w:rsidR="00ED6CA0">
        <w:fldChar w:fldCharType="separate"/>
      </w:r>
      <w:r w:rsidR="00166111">
        <w:rPr>
          <w:noProof/>
        </w:rPr>
        <w:t>10</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29</w:t>
      </w:r>
      <w:r w:rsidR="00ED6CA0">
        <w:rPr>
          <w:noProof/>
        </w:rPr>
        <w:fldChar w:fldCharType="end"/>
      </w:r>
      <w:bookmarkEnd w:id="95"/>
      <w:r w:rsidRPr="00D56C84">
        <w:tab/>
        <w:t>Regional councils and member LGAs in Western Australia</w:t>
      </w:r>
    </w:p>
    <w:tbl>
      <w:tblPr>
        <w:tblW w:w="8505" w:type="dxa"/>
        <w:tblInd w:w="1134" w:type="dxa"/>
        <w:tblBorders>
          <w:bottom w:val="single" w:sz="18" w:space="0" w:color="808080"/>
          <w:insideH w:val="single" w:sz="4" w:space="0" w:color="808080"/>
        </w:tblBorders>
        <w:tblLayout w:type="fixed"/>
        <w:tblCellMar>
          <w:left w:w="0" w:type="dxa"/>
          <w:right w:w="113" w:type="dxa"/>
        </w:tblCellMar>
        <w:tblLook w:val="04A0"/>
      </w:tblPr>
      <w:tblGrid>
        <w:gridCol w:w="1276"/>
        <w:gridCol w:w="4820"/>
        <w:gridCol w:w="1309"/>
        <w:gridCol w:w="1100"/>
      </w:tblGrid>
      <w:tr w:rsidR="00903366" w:rsidRPr="00D56C84" w:rsidTr="00100B7C">
        <w:trPr>
          <w:cantSplit/>
          <w:trHeight w:val="227"/>
          <w:tblHeader/>
        </w:trPr>
        <w:tc>
          <w:tcPr>
            <w:tcW w:w="1276" w:type="dxa"/>
            <w:shd w:val="clear" w:color="auto" w:fill="auto"/>
            <w:noWrap/>
            <w:vAlign w:val="center"/>
            <w:hideMark/>
          </w:tcPr>
          <w:p w:rsidR="00903366" w:rsidRPr="00D56C84" w:rsidRDefault="00903366" w:rsidP="00F77F7A">
            <w:pPr>
              <w:pStyle w:val="TableHeading"/>
              <w:rPr>
                <w:lang w:eastAsia="en-AU"/>
              </w:rPr>
            </w:pPr>
            <w:r w:rsidRPr="00D56C84">
              <w:rPr>
                <w:lang w:eastAsia="en-AU"/>
              </w:rPr>
              <w:t>Regional Council</w:t>
            </w:r>
          </w:p>
        </w:tc>
        <w:tc>
          <w:tcPr>
            <w:tcW w:w="4820" w:type="dxa"/>
            <w:shd w:val="clear" w:color="auto" w:fill="auto"/>
            <w:noWrap/>
            <w:vAlign w:val="center"/>
            <w:hideMark/>
          </w:tcPr>
          <w:p w:rsidR="00903366" w:rsidRPr="00D56C84" w:rsidRDefault="00903366" w:rsidP="00F77F7A">
            <w:pPr>
              <w:pStyle w:val="TableHeading"/>
              <w:rPr>
                <w:lang w:eastAsia="en-AU"/>
              </w:rPr>
            </w:pPr>
            <w:r w:rsidRPr="00D56C84">
              <w:rPr>
                <w:lang w:eastAsia="en-AU"/>
              </w:rPr>
              <w:t xml:space="preserve"> Member LGAs</w:t>
            </w:r>
          </w:p>
        </w:tc>
        <w:tc>
          <w:tcPr>
            <w:tcW w:w="1309" w:type="dxa"/>
            <w:vAlign w:val="center"/>
          </w:tcPr>
          <w:p w:rsidR="00903366" w:rsidRPr="00D56C84" w:rsidRDefault="00903366" w:rsidP="00903366">
            <w:pPr>
              <w:pStyle w:val="TableHeading"/>
              <w:jc w:val="right"/>
              <w:rPr>
                <w:lang w:eastAsia="en-AU"/>
              </w:rPr>
            </w:pPr>
            <w:r w:rsidRPr="00D56C84">
              <w:rPr>
                <w:lang w:eastAsia="en-AU"/>
              </w:rPr>
              <w:t>Population</w:t>
            </w:r>
            <w:r w:rsidR="00100B7C">
              <w:rPr>
                <w:rStyle w:val="FootnoteReference"/>
                <w:lang w:eastAsia="en-AU"/>
              </w:rPr>
              <w:footnoteReference w:id="15"/>
            </w:r>
          </w:p>
        </w:tc>
        <w:tc>
          <w:tcPr>
            <w:tcW w:w="1100" w:type="dxa"/>
            <w:vAlign w:val="center"/>
          </w:tcPr>
          <w:p w:rsidR="00903366" w:rsidRPr="00D56C84" w:rsidRDefault="00903366" w:rsidP="00903366">
            <w:pPr>
              <w:pStyle w:val="TableHeading"/>
              <w:jc w:val="right"/>
              <w:rPr>
                <w:lang w:eastAsia="en-AU"/>
              </w:rPr>
            </w:pPr>
            <w:r w:rsidRPr="00D56C84">
              <w:rPr>
                <w:lang w:eastAsia="en-AU"/>
              </w:rPr>
              <w:t>Population density</w:t>
            </w:r>
            <w:r w:rsidR="00101C06" w:rsidRPr="00D56C84">
              <w:rPr>
                <w:lang w:eastAsia="en-AU"/>
              </w:rPr>
              <w:t xml:space="preserve"> (/km</w:t>
            </w:r>
            <w:r w:rsidR="00101C06" w:rsidRPr="00D56C84">
              <w:rPr>
                <w:vertAlign w:val="superscript"/>
                <w:lang w:eastAsia="en-AU"/>
              </w:rPr>
              <w:t>2</w:t>
            </w:r>
            <w:r w:rsidR="00101C06" w:rsidRPr="00D56C84">
              <w:rPr>
                <w:lang w:eastAsia="en-AU"/>
              </w:rPr>
              <w:t>)</w:t>
            </w:r>
          </w:p>
        </w:tc>
      </w:tr>
      <w:tr w:rsidR="00355D4C" w:rsidRPr="00355D4C" w:rsidTr="00100B7C">
        <w:trPr>
          <w:trHeight w:val="227"/>
        </w:trPr>
        <w:tc>
          <w:tcPr>
            <w:tcW w:w="1276" w:type="dxa"/>
            <w:tcBorders>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Bunbury-Harvey</w:t>
            </w:r>
          </w:p>
        </w:tc>
        <w:tc>
          <w:tcPr>
            <w:tcW w:w="4820" w:type="dxa"/>
            <w:tcBorders>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Bunbury (C), Harvey (S)</w:t>
            </w:r>
          </w:p>
        </w:tc>
        <w:tc>
          <w:tcPr>
            <w:tcW w:w="1309" w:type="dxa"/>
            <w:tcBorders>
              <w:bottom w:val="single" w:sz="4" w:space="0" w:color="808080"/>
            </w:tcBorders>
            <w:vAlign w:val="center"/>
          </w:tcPr>
          <w:p w:rsidR="00355D4C" w:rsidRPr="00D56C84" w:rsidRDefault="00355D4C" w:rsidP="00903366">
            <w:pPr>
              <w:pStyle w:val="TableText"/>
              <w:jc w:val="right"/>
              <w:rPr>
                <w:lang w:eastAsia="en-AU"/>
              </w:rPr>
            </w:pPr>
            <w:r w:rsidRPr="00D56C84">
              <w:rPr>
                <w:lang w:eastAsia="en-AU"/>
              </w:rPr>
              <w:t>57,447</w:t>
            </w:r>
          </w:p>
        </w:tc>
        <w:tc>
          <w:tcPr>
            <w:tcW w:w="1100" w:type="dxa"/>
            <w:tcBorders>
              <w:bottom w:val="single" w:sz="4" w:space="0" w:color="808080"/>
            </w:tcBorders>
            <w:vAlign w:val="center"/>
          </w:tcPr>
          <w:p w:rsidR="00355D4C" w:rsidRPr="00D56C84" w:rsidRDefault="00355D4C" w:rsidP="008C4900">
            <w:pPr>
              <w:pStyle w:val="TableText"/>
              <w:jc w:val="right"/>
              <w:rPr>
                <w:lang w:eastAsia="en-AU"/>
              </w:rPr>
            </w:pPr>
            <w:r w:rsidRPr="00355D4C">
              <w:rPr>
                <w:lang w:eastAsia="en-AU"/>
              </w:rPr>
              <w:t>0.6</w:t>
            </w:r>
          </w:p>
        </w:tc>
      </w:tr>
      <w:tr w:rsidR="00355D4C" w:rsidRPr="00355D4C" w:rsidTr="00100B7C">
        <w:trPr>
          <w:trHeight w:val="227"/>
        </w:trPr>
        <w:tc>
          <w:tcPr>
            <w:tcW w:w="1276" w:type="dxa"/>
            <w:tcBorders>
              <w:top w:val="single" w:sz="4" w:space="0" w:color="808080"/>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Eastern Metropolitan</w:t>
            </w:r>
          </w:p>
        </w:tc>
        <w:tc>
          <w:tcPr>
            <w:tcW w:w="4820" w:type="dxa"/>
            <w:tcBorders>
              <w:top w:val="single" w:sz="4" w:space="0" w:color="808080"/>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Bassendean (T), Bayswater (C), Belmont (C), Kalamunda (S), Mundaring (S), Swan (C)</w:t>
            </w:r>
          </w:p>
        </w:tc>
        <w:tc>
          <w:tcPr>
            <w:tcW w:w="1309" w:type="dxa"/>
            <w:tcBorders>
              <w:top w:val="single" w:sz="4" w:space="0" w:color="808080"/>
              <w:bottom w:val="single" w:sz="4" w:space="0" w:color="808080"/>
            </w:tcBorders>
            <w:vAlign w:val="center"/>
          </w:tcPr>
          <w:p w:rsidR="00355D4C" w:rsidRPr="00D56C84" w:rsidRDefault="00355D4C" w:rsidP="00903366">
            <w:pPr>
              <w:pStyle w:val="TableText"/>
              <w:jc w:val="right"/>
              <w:rPr>
                <w:lang w:eastAsia="en-AU"/>
              </w:rPr>
            </w:pPr>
            <w:r w:rsidRPr="00D56C84">
              <w:rPr>
                <w:lang w:eastAsia="en-AU"/>
              </w:rPr>
              <w:t>313,282</w:t>
            </w:r>
          </w:p>
        </w:tc>
        <w:tc>
          <w:tcPr>
            <w:tcW w:w="1100" w:type="dxa"/>
            <w:tcBorders>
              <w:top w:val="single" w:sz="4" w:space="0" w:color="808080"/>
              <w:bottom w:val="single" w:sz="4" w:space="0" w:color="808080"/>
            </w:tcBorders>
            <w:vAlign w:val="center"/>
          </w:tcPr>
          <w:p w:rsidR="00355D4C" w:rsidRPr="00D56C84" w:rsidRDefault="00355D4C" w:rsidP="008C4900">
            <w:pPr>
              <w:pStyle w:val="TableText"/>
              <w:jc w:val="right"/>
              <w:rPr>
                <w:lang w:eastAsia="en-AU"/>
              </w:rPr>
            </w:pPr>
            <w:r w:rsidRPr="00355D4C">
              <w:rPr>
                <w:lang w:eastAsia="en-AU"/>
              </w:rPr>
              <w:t>1.2</w:t>
            </w:r>
          </w:p>
        </w:tc>
      </w:tr>
      <w:tr w:rsidR="00355D4C" w:rsidRPr="00355D4C" w:rsidTr="00100B7C">
        <w:trPr>
          <w:trHeight w:val="227"/>
        </w:trPr>
        <w:tc>
          <w:tcPr>
            <w:tcW w:w="1276" w:type="dxa"/>
            <w:tcBorders>
              <w:top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Mid West</w:t>
            </w:r>
          </w:p>
        </w:tc>
        <w:tc>
          <w:tcPr>
            <w:tcW w:w="4820" w:type="dxa"/>
            <w:tcBorders>
              <w:top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Mingenew (S), Morawa (S), Mullewa (S), Perenjori (S), Three Springs (S)</w:t>
            </w:r>
          </w:p>
        </w:tc>
        <w:tc>
          <w:tcPr>
            <w:tcW w:w="1309" w:type="dxa"/>
            <w:tcBorders>
              <w:top w:val="single" w:sz="4" w:space="0" w:color="808080"/>
            </w:tcBorders>
            <w:vAlign w:val="center"/>
          </w:tcPr>
          <w:p w:rsidR="00355D4C" w:rsidRPr="00D56C84" w:rsidRDefault="00355D4C" w:rsidP="00903366">
            <w:pPr>
              <w:pStyle w:val="TableText"/>
              <w:jc w:val="right"/>
              <w:rPr>
                <w:lang w:eastAsia="en-AU"/>
              </w:rPr>
            </w:pPr>
            <w:r w:rsidRPr="00D56C84">
              <w:rPr>
                <w:lang w:eastAsia="en-AU"/>
              </w:rPr>
              <w:t>3,485</w:t>
            </w:r>
          </w:p>
        </w:tc>
        <w:tc>
          <w:tcPr>
            <w:tcW w:w="1100" w:type="dxa"/>
            <w:tcBorders>
              <w:top w:val="single" w:sz="4" w:space="0" w:color="808080"/>
            </w:tcBorders>
            <w:vAlign w:val="center"/>
          </w:tcPr>
          <w:p w:rsidR="00355D4C" w:rsidRPr="00D56C84" w:rsidRDefault="00355D4C" w:rsidP="008C4900">
            <w:pPr>
              <w:pStyle w:val="TableText"/>
              <w:jc w:val="right"/>
              <w:rPr>
                <w:lang w:eastAsia="en-AU"/>
              </w:rPr>
            </w:pPr>
            <w:r w:rsidRPr="00355D4C">
              <w:rPr>
                <w:lang w:eastAsia="en-AU"/>
              </w:rPr>
              <w:t>0.0</w:t>
            </w:r>
          </w:p>
        </w:tc>
      </w:tr>
      <w:tr w:rsidR="00355D4C" w:rsidRPr="00355D4C" w:rsidTr="00100B7C">
        <w:trPr>
          <w:trHeight w:val="227"/>
        </w:trPr>
        <w:tc>
          <w:tcPr>
            <w:tcW w:w="1276" w:type="dxa"/>
            <w:shd w:val="clear" w:color="auto" w:fill="auto"/>
            <w:noWrap/>
            <w:vAlign w:val="center"/>
            <w:hideMark/>
          </w:tcPr>
          <w:p w:rsidR="00355D4C" w:rsidRPr="00D56C84" w:rsidRDefault="00355D4C" w:rsidP="00F77F7A">
            <w:pPr>
              <w:pStyle w:val="TableText"/>
              <w:rPr>
                <w:lang w:eastAsia="en-AU"/>
              </w:rPr>
            </w:pPr>
            <w:r w:rsidRPr="00D56C84">
              <w:rPr>
                <w:lang w:eastAsia="en-AU"/>
              </w:rPr>
              <w:t>Mindarie</w:t>
            </w:r>
          </w:p>
        </w:tc>
        <w:tc>
          <w:tcPr>
            <w:tcW w:w="4820" w:type="dxa"/>
            <w:shd w:val="clear" w:color="auto" w:fill="auto"/>
            <w:noWrap/>
            <w:vAlign w:val="center"/>
            <w:hideMark/>
          </w:tcPr>
          <w:p w:rsidR="00355D4C" w:rsidRPr="00D56C84" w:rsidRDefault="00355D4C" w:rsidP="00F77F7A">
            <w:pPr>
              <w:pStyle w:val="TableText"/>
              <w:rPr>
                <w:lang w:eastAsia="en-AU"/>
              </w:rPr>
            </w:pPr>
            <w:r w:rsidRPr="00D56C84">
              <w:rPr>
                <w:lang w:eastAsia="en-AU"/>
              </w:rPr>
              <w:t>Cambridge (T), Joondalup (C), Perth (C), Stirling (C), Victoria Park (T), Wanneroo (C)</w:t>
            </w:r>
          </w:p>
        </w:tc>
        <w:tc>
          <w:tcPr>
            <w:tcW w:w="1309" w:type="dxa"/>
            <w:vAlign w:val="center"/>
          </w:tcPr>
          <w:p w:rsidR="00355D4C" w:rsidRPr="00D56C84" w:rsidRDefault="00355D4C" w:rsidP="00903366">
            <w:pPr>
              <w:pStyle w:val="TableText"/>
              <w:jc w:val="right"/>
              <w:rPr>
                <w:lang w:eastAsia="en-AU"/>
              </w:rPr>
            </w:pPr>
            <w:r w:rsidRPr="00D56C84">
              <w:rPr>
                <w:lang w:eastAsia="en-AU"/>
              </w:rPr>
              <w:t>581,117</w:t>
            </w:r>
          </w:p>
        </w:tc>
        <w:tc>
          <w:tcPr>
            <w:tcW w:w="1100" w:type="dxa"/>
            <w:vAlign w:val="center"/>
          </w:tcPr>
          <w:p w:rsidR="00355D4C" w:rsidRPr="00D56C84" w:rsidRDefault="00355D4C" w:rsidP="008C4900">
            <w:pPr>
              <w:pStyle w:val="TableText"/>
              <w:jc w:val="right"/>
              <w:rPr>
                <w:lang w:eastAsia="en-AU"/>
              </w:rPr>
            </w:pPr>
            <w:r w:rsidRPr="00355D4C">
              <w:rPr>
                <w:lang w:eastAsia="en-AU"/>
              </w:rPr>
              <w:t>1.9</w:t>
            </w:r>
          </w:p>
        </w:tc>
      </w:tr>
      <w:tr w:rsidR="00355D4C" w:rsidRPr="00355D4C" w:rsidTr="00100B7C">
        <w:trPr>
          <w:trHeight w:val="227"/>
        </w:trPr>
        <w:tc>
          <w:tcPr>
            <w:tcW w:w="1276" w:type="dxa"/>
            <w:shd w:val="clear" w:color="auto" w:fill="auto"/>
            <w:noWrap/>
            <w:vAlign w:val="center"/>
            <w:hideMark/>
          </w:tcPr>
          <w:p w:rsidR="00355D4C" w:rsidRPr="00D56C84" w:rsidRDefault="00355D4C" w:rsidP="00F77F7A">
            <w:pPr>
              <w:pStyle w:val="TableText"/>
              <w:rPr>
                <w:lang w:eastAsia="en-AU"/>
              </w:rPr>
            </w:pPr>
            <w:r w:rsidRPr="00D56C84">
              <w:rPr>
                <w:lang w:eastAsia="en-AU"/>
              </w:rPr>
              <w:t>Pilbara</w:t>
            </w:r>
          </w:p>
        </w:tc>
        <w:tc>
          <w:tcPr>
            <w:tcW w:w="4820" w:type="dxa"/>
            <w:shd w:val="clear" w:color="auto" w:fill="auto"/>
            <w:noWrap/>
            <w:vAlign w:val="center"/>
            <w:hideMark/>
          </w:tcPr>
          <w:p w:rsidR="00355D4C" w:rsidRPr="00D56C84" w:rsidRDefault="00355D4C" w:rsidP="00F77F7A">
            <w:pPr>
              <w:pStyle w:val="TableText"/>
              <w:rPr>
                <w:lang w:eastAsia="en-AU"/>
              </w:rPr>
            </w:pPr>
            <w:r w:rsidRPr="00D56C84">
              <w:rPr>
                <w:lang w:eastAsia="en-AU"/>
              </w:rPr>
              <w:t>Ashburton (S), East Pilbara (S), Port Hedland (T), Roebourne (S)</w:t>
            </w:r>
          </w:p>
        </w:tc>
        <w:tc>
          <w:tcPr>
            <w:tcW w:w="1309" w:type="dxa"/>
            <w:vAlign w:val="center"/>
          </w:tcPr>
          <w:p w:rsidR="00355D4C" w:rsidRPr="00D56C84" w:rsidRDefault="00355D4C" w:rsidP="00903366">
            <w:pPr>
              <w:pStyle w:val="TableText"/>
              <w:jc w:val="right"/>
              <w:rPr>
                <w:lang w:eastAsia="en-AU"/>
              </w:rPr>
            </w:pPr>
            <w:r w:rsidRPr="00D56C84">
              <w:rPr>
                <w:lang w:eastAsia="en-AU"/>
              </w:rPr>
              <w:t>47,528</w:t>
            </w:r>
          </w:p>
        </w:tc>
        <w:tc>
          <w:tcPr>
            <w:tcW w:w="1100" w:type="dxa"/>
            <w:vAlign w:val="center"/>
          </w:tcPr>
          <w:p w:rsidR="00355D4C" w:rsidRPr="00D56C84" w:rsidRDefault="00355D4C" w:rsidP="008C4900">
            <w:pPr>
              <w:pStyle w:val="TableText"/>
              <w:jc w:val="right"/>
              <w:rPr>
                <w:lang w:eastAsia="en-AU"/>
              </w:rPr>
            </w:pPr>
            <w:r w:rsidRPr="00355D4C">
              <w:rPr>
                <w:lang w:eastAsia="en-AU"/>
              </w:rPr>
              <w:t>0.2</w:t>
            </w:r>
          </w:p>
        </w:tc>
      </w:tr>
      <w:tr w:rsidR="00355D4C" w:rsidRPr="00355D4C" w:rsidTr="00100B7C">
        <w:trPr>
          <w:trHeight w:val="227"/>
        </w:trPr>
        <w:tc>
          <w:tcPr>
            <w:tcW w:w="1276" w:type="dxa"/>
            <w:shd w:val="clear" w:color="auto" w:fill="auto"/>
            <w:noWrap/>
            <w:vAlign w:val="center"/>
            <w:hideMark/>
          </w:tcPr>
          <w:p w:rsidR="00355D4C" w:rsidRPr="00D56C84" w:rsidRDefault="00355D4C" w:rsidP="00F77F7A">
            <w:pPr>
              <w:pStyle w:val="TableText"/>
              <w:rPr>
                <w:lang w:eastAsia="en-AU"/>
              </w:rPr>
            </w:pPr>
            <w:r w:rsidRPr="00D56C84">
              <w:rPr>
                <w:lang w:eastAsia="en-AU"/>
              </w:rPr>
              <w:t xml:space="preserve">Rivers </w:t>
            </w:r>
          </w:p>
        </w:tc>
        <w:tc>
          <w:tcPr>
            <w:tcW w:w="4820" w:type="dxa"/>
            <w:shd w:val="clear" w:color="auto" w:fill="auto"/>
            <w:noWrap/>
            <w:vAlign w:val="center"/>
            <w:hideMark/>
          </w:tcPr>
          <w:p w:rsidR="00355D4C" w:rsidRPr="00D56C84" w:rsidRDefault="00355D4C" w:rsidP="00F77F7A">
            <w:pPr>
              <w:pStyle w:val="TableText"/>
              <w:rPr>
                <w:lang w:eastAsia="en-AU"/>
              </w:rPr>
            </w:pPr>
            <w:r w:rsidRPr="00D56C84">
              <w:rPr>
                <w:lang w:eastAsia="en-AU"/>
              </w:rPr>
              <w:t>Armadale (C), Gosnells (C), Mandurah (C), Serpentine-Jarrahdale (S), South Perth (C), Waroona (S)</w:t>
            </w:r>
          </w:p>
        </w:tc>
        <w:tc>
          <w:tcPr>
            <w:tcW w:w="1309" w:type="dxa"/>
            <w:vAlign w:val="center"/>
          </w:tcPr>
          <w:p w:rsidR="00355D4C" w:rsidRPr="00D56C84" w:rsidRDefault="00355D4C" w:rsidP="00903366">
            <w:pPr>
              <w:pStyle w:val="TableText"/>
              <w:jc w:val="right"/>
              <w:rPr>
                <w:lang w:eastAsia="en-AU"/>
              </w:rPr>
            </w:pPr>
            <w:r w:rsidRPr="00D56C84">
              <w:rPr>
                <w:lang w:eastAsia="en-AU"/>
              </w:rPr>
              <w:t>294,484</w:t>
            </w:r>
          </w:p>
        </w:tc>
        <w:tc>
          <w:tcPr>
            <w:tcW w:w="1100" w:type="dxa"/>
            <w:vAlign w:val="center"/>
          </w:tcPr>
          <w:p w:rsidR="00355D4C" w:rsidRPr="00D56C84" w:rsidRDefault="00355D4C" w:rsidP="008C4900">
            <w:pPr>
              <w:pStyle w:val="TableText"/>
              <w:jc w:val="right"/>
              <w:rPr>
                <w:lang w:eastAsia="en-AU"/>
              </w:rPr>
            </w:pPr>
            <w:r w:rsidRPr="00355D4C">
              <w:rPr>
                <w:lang w:eastAsia="en-AU"/>
              </w:rPr>
              <w:t>1.1</w:t>
            </w:r>
          </w:p>
        </w:tc>
      </w:tr>
      <w:tr w:rsidR="00355D4C" w:rsidRPr="00355D4C" w:rsidTr="00100B7C">
        <w:trPr>
          <w:trHeight w:val="227"/>
        </w:trPr>
        <w:tc>
          <w:tcPr>
            <w:tcW w:w="1276" w:type="dxa"/>
            <w:shd w:val="clear" w:color="auto" w:fill="auto"/>
            <w:noWrap/>
            <w:vAlign w:val="center"/>
            <w:hideMark/>
          </w:tcPr>
          <w:p w:rsidR="00355D4C" w:rsidRPr="00D56C84" w:rsidRDefault="00355D4C" w:rsidP="00F77F7A">
            <w:pPr>
              <w:pStyle w:val="TableText"/>
              <w:rPr>
                <w:lang w:eastAsia="en-AU"/>
              </w:rPr>
            </w:pPr>
            <w:r w:rsidRPr="00D56C84">
              <w:rPr>
                <w:lang w:eastAsia="en-AU"/>
              </w:rPr>
              <w:t>Southern Metropolitan</w:t>
            </w:r>
          </w:p>
        </w:tc>
        <w:tc>
          <w:tcPr>
            <w:tcW w:w="4820" w:type="dxa"/>
            <w:shd w:val="clear" w:color="auto" w:fill="auto"/>
            <w:noWrap/>
            <w:vAlign w:val="center"/>
            <w:hideMark/>
          </w:tcPr>
          <w:p w:rsidR="00355D4C" w:rsidRPr="00D56C84" w:rsidRDefault="00355D4C" w:rsidP="00F77F7A">
            <w:pPr>
              <w:pStyle w:val="TableText"/>
              <w:rPr>
                <w:lang w:eastAsia="en-AU"/>
              </w:rPr>
            </w:pPr>
            <w:r w:rsidRPr="00D56C84">
              <w:rPr>
                <w:lang w:eastAsia="en-AU"/>
              </w:rPr>
              <w:t>Cockburn (C), East Fremantle (T), Fremantle (C), Melville (C), Rockingham (C)</w:t>
            </w:r>
          </w:p>
        </w:tc>
        <w:tc>
          <w:tcPr>
            <w:tcW w:w="1309" w:type="dxa"/>
            <w:tcBorders>
              <w:bottom w:val="single" w:sz="4" w:space="0" w:color="808080"/>
            </w:tcBorders>
            <w:vAlign w:val="center"/>
          </w:tcPr>
          <w:p w:rsidR="00355D4C" w:rsidRPr="00D56C84" w:rsidRDefault="00355D4C" w:rsidP="00903366">
            <w:pPr>
              <w:pStyle w:val="TableText"/>
              <w:jc w:val="right"/>
              <w:rPr>
                <w:lang w:eastAsia="en-AU"/>
              </w:rPr>
            </w:pPr>
            <w:r w:rsidRPr="00D56C84">
              <w:rPr>
                <w:lang w:eastAsia="en-AU"/>
              </w:rPr>
              <w:t>325,827</w:t>
            </w:r>
          </w:p>
        </w:tc>
        <w:tc>
          <w:tcPr>
            <w:tcW w:w="1100" w:type="dxa"/>
            <w:tcBorders>
              <w:bottom w:val="single" w:sz="4" w:space="0" w:color="808080"/>
            </w:tcBorders>
            <w:vAlign w:val="center"/>
          </w:tcPr>
          <w:p w:rsidR="00355D4C" w:rsidRPr="00D56C84" w:rsidRDefault="00355D4C" w:rsidP="008C4900">
            <w:pPr>
              <w:pStyle w:val="TableText"/>
              <w:jc w:val="right"/>
              <w:rPr>
                <w:lang w:eastAsia="en-AU"/>
              </w:rPr>
            </w:pPr>
            <w:r w:rsidRPr="00355D4C">
              <w:rPr>
                <w:lang w:eastAsia="en-AU"/>
              </w:rPr>
              <w:t>1.3</w:t>
            </w:r>
          </w:p>
        </w:tc>
      </w:tr>
      <w:tr w:rsidR="00355D4C" w:rsidRPr="00355D4C" w:rsidTr="00100B7C">
        <w:trPr>
          <w:trHeight w:val="227"/>
        </w:trPr>
        <w:tc>
          <w:tcPr>
            <w:tcW w:w="1276" w:type="dxa"/>
            <w:tcBorders>
              <w:top w:val="single" w:sz="4" w:space="0" w:color="808080"/>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Western Metropolitan</w:t>
            </w:r>
          </w:p>
        </w:tc>
        <w:tc>
          <w:tcPr>
            <w:tcW w:w="4820" w:type="dxa"/>
            <w:tcBorders>
              <w:top w:val="single" w:sz="4" w:space="0" w:color="808080"/>
              <w:bottom w:val="single" w:sz="4" w:space="0" w:color="808080"/>
            </w:tcBorders>
            <w:shd w:val="clear" w:color="auto" w:fill="auto"/>
            <w:noWrap/>
            <w:vAlign w:val="center"/>
            <w:hideMark/>
          </w:tcPr>
          <w:p w:rsidR="00355D4C" w:rsidRPr="00D56C84" w:rsidRDefault="00355D4C" w:rsidP="00F77F7A">
            <w:pPr>
              <w:pStyle w:val="TableText"/>
              <w:rPr>
                <w:lang w:eastAsia="en-AU"/>
              </w:rPr>
            </w:pPr>
            <w:r w:rsidRPr="00D56C84">
              <w:rPr>
                <w:lang w:eastAsia="en-AU"/>
              </w:rPr>
              <w:t>Claremont (T), Cottesloe (T), Mosman Park (T), Peppermint Grove (S), Subiaco (C)</w:t>
            </w:r>
          </w:p>
        </w:tc>
        <w:tc>
          <w:tcPr>
            <w:tcW w:w="1309" w:type="dxa"/>
            <w:tcBorders>
              <w:top w:val="single" w:sz="4" w:space="0" w:color="808080"/>
              <w:bottom w:val="single" w:sz="4" w:space="0" w:color="808080"/>
            </w:tcBorders>
            <w:vAlign w:val="center"/>
          </w:tcPr>
          <w:p w:rsidR="00355D4C" w:rsidRPr="00D56C84" w:rsidRDefault="00355D4C" w:rsidP="00903366">
            <w:pPr>
              <w:pStyle w:val="TableText"/>
              <w:jc w:val="right"/>
              <w:rPr>
                <w:lang w:eastAsia="en-AU"/>
              </w:rPr>
            </w:pPr>
            <w:r w:rsidRPr="00D56C84">
              <w:rPr>
                <w:lang w:eastAsia="en-AU"/>
              </w:rPr>
              <w:t>47,732</w:t>
            </w:r>
          </w:p>
        </w:tc>
        <w:tc>
          <w:tcPr>
            <w:tcW w:w="1100" w:type="dxa"/>
            <w:tcBorders>
              <w:top w:val="single" w:sz="4" w:space="0" w:color="808080"/>
              <w:bottom w:val="single" w:sz="4" w:space="0" w:color="808080"/>
            </w:tcBorders>
            <w:vAlign w:val="center"/>
          </w:tcPr>
          <w:p w:rsidR="00355D4C" w:rsidRPr="00D56C84" w:rsidRDefault="00355D4C" w:rsidP="008C4900">
            <w:pPr>
              <w:pStyle w:val="TableText"/>
              <w:jc w:val="right"/>
              <w:rPr>
                <w:lang w:eastAsia="en-AU"/>
              </w:rPr>
            </w:pPr>
            <w:r w:rsidRPr="00355D4C">
              <w:rPr>
                <w:lang w:eastAsia="en-AU"/>
              </w:rPr>
              <w:t>0.1</w:t>
            </w:r>
          </w:p>
        </w:tc>
      </w:tr>
    </w:tbl>
    <w:p w:rsidR="00AA187D" w:rsidRPr="00D56C84" w:rsidRDefault="00AA187D" w:rsidP="00AA187D">
      <w:pPr>
        <w:pStyle w:val="Heading2"/>
      </w:pPr>
      <w:bookmarkStart w:id="96" w:name="_Toc307470453"/>
      <w:r w:rsidRPr="00D56C84">
        <w:t>Information pathways</w:t>
      </w:r>
      <w:r w:rsidR="00085D2C" w:rsidRPr="00085D2C">
        <w:t xml:space="preserve"> </w:t>
      </w:r>
      <w:r w:rsidR="00085D2C">
        <w:t>in Western Australia</w:t>
      </w:r>
      <w:bookmarkEnd w:id="96"/>
    </w:p>
    <w:p w:rsidR="00903366" w:rsidRPr="00D56C84" w:rsidRDefault="00903366" w:rsidP="004C4847">
      <w:pPr>
        <w:pStyle w:val="ParaIndent"/>
        <w:jc w:val="both"/>
      </w:pPr>
      <w:r w:rsidRPr="00D56C84">
        <w:t>Rivers Regional</w:t>
      </w:r>
      <w:r w:rsidR="00101C06" w:rsidRPr="00D56C84">
        <w:t xml:space="preserve"> and Southern Metropolitan Regional</w:t>
      </w:r>
      <w:r w:rsidRPr="00D56C84">
        <w:t xml:space="preserve"> Council</w:t>
      </w:r>
      <w:r w:rsidR="00101C06" w:rsidRPr="00D56C84">
        <w:t>s</w:t>
      </w:r>
      <w:r w:rsidRPr="00D56C84">
        <w:t xml:space="preserve"> </w:t>
      </w:r>
      <w:r w:rsidR="00101C06" w:rsidRPr="00D56C84">
        <w:t>publish</w:t>
      </w:r>
      <w:r w:rsidRPr="00D56C84">
        <w:t xml:space="preserve"> consolidated data on domestic and ker</w:t>
      </w:r>
      <w:r w:rsidR="00101C06" w:rsidRPr="00D56C84">
        <w:t>bside waste and recycling in their Annual Reports.</w:t>
      </w:r>
    </w:p>
    <w:p w:rsidR="00101C06" w:rsidRPr="00D56C84" w:rsidRDefault="00101C06" w:rsidP="004C4847">
      <w:pPr>
        <w:pStyle w:val="ParaIndent"/>
        <w:jc w:val="both"/>
      </w:pPr>
      <w:r w:rsidRPr="00D56C84">
        <w:lastRenderedPageBreak/>
        <w:t xml:space="preserve">The Western Metropolitan Regional Council has online consolidated data on green and putrescible waste passing through its Resource Recovery Facility in </w:t>
      </w:r>
      <w:proofErr w:type="spellStart"/>
      <w:r w:rsidRPr="00D56C84">
        <w:t>Shenton</w:t>
      </w:r>
      <w:proofErr w:type="spellEnd"/>
      <w:r w:rsidRPr="00D56C84">
        <w:t xml:space="preserve"> Park.</w:t>
      </w:r>
    </w:p>
    <w:p w:rsidR="00994358" w:rsidRPr="00D56C84" w:rsidRDefault="0093441B" w:rsidP="004C4847">
      <w:pPr>
        <w:pStyle w:val="ParaIndent"/>
        <w:jc w:val="both"/>
      </w:pPr>
      <w:r w:rsidRPr="00D56C84">
        <w:t>Aggregated d</w:t>
      </w:r>
      <w:r w:rsidR="00464F70" w:rsidRPr="00D56C84">
        <w:t>ata on the</w:t>
      </w:r>
      <w:r w:rsidR="00994358" w:rsidRPr="00D56C84">
        <w:t xml:space="preserve"> amount of municipal waste landfilled and recycled, including by material type, is contained in the annual </w:t>
      </w:r>
      <w:r w:rsidR="00994358" w:rsidRPr="00100B7C">
        <w:rPr>
          <w:i/>
        </w:rPr>
        <w:t xml:space="preserve">Recycling </w:t>
      </w:r>
      <w:r w:rsidR="00963F22" w:rsidRPr="00100B7C">
        <w:rPr>
          <w:i/>
        </w:rPr>
        <w:t>A</w:t>
      </w:r>
      <w:r w:rsidR="00994358" w:rsidRPr="00100B7C">
        <w:rPr>
          <w:i/>
        </w:rPr>
        <w:t>ctivity in Western Australia</w:t>
      </w:r>
      <w:r w:rsidR="00994358" w:rsidRPr="00D56C84">
        <w:t xml:space="preserve"> report.</w:t>
      </w:r>
    </w:p>
    <w:p w:rsidR="0093441B" w:rsidRPr="00D56C84" w:rsidRDefault="0093441B" w:rsidP="0093441B">
      <w:pPr>
        <w:pStyle w:val="Heading3"/>
        <w:spacing w:before="240" w:after="240"/>
      </w:pPr>
      <w:r w:rsidRPr="00D56C84">
        <w:t>Annual Waste Census</w:t>
      </w:r>
    </w:p>
    <w:p w:rsidR="0093441B" w:rsidRPr="00D56C84" w:rsidRDefault="0093441B" w:rsidP="004C4847">
      <w:pPr>
        <w:pStyle w:val="ParaIndent"/>
        <w:jc w:val="both"/>
      </w:pPr>
      <w:r w:rsidRPr="00D56C84">
        <w:t>The DEC conducts an annual survey of councils, referred to as the annual ‘waste census’, which attempts to provide a comprehensive assessment of local council waste and recycling activities and performance.</w:t>
      </w:r>
      <w:r w:rsidR="00100B7C">
        <w:t xml:space="preserve"> Based on information reviewed in compiling this report, the response rate appears low.</w:t>
      </w:r>
      <w:r w:rsidRPr="00D56C84">
        <w:t xml:space="preserve"> Data is requested across a wide range of parameters, including:</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Services offered;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Amount of waste and recycling collected;</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Amount of material reprocessed or recovered;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Waste management costs and charges;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Litter and illegal dumping;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Contractor information;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Waste infrastructure; and </w:t>
      </w:r>
    </w:p>
    <w:p w:rsidR="0093441B" w:rsidRPr="00D56C84" w:rsidRDefault="0093441B" w:rsidP="004C4847">
      <w:pPr>
        <w:pStyle w:val="ParaIndent"/>
        <w:keepNext/>
        <w:numPr>
          <w:ilvl w:val="0"/>
          <w:numId w:val="29"/>
        </w:numPr>
        <w:spacing w:after="60"/>
        <w:ind w:left="1985" w:hanging="284"/>
        <w:jc w:val="both"/>
        <w:rPr>
          <w:sz w:val="18"/>
          <w:szCs w:val="18"/>
        </w:rPr>
      </w:pPr>
      <w:r w:rsidRPr="00D56C84">
        <w:rPr>
          <w:sz w:val="18"/>
          <w:szCs w:val="18"/>
        </w:rPr>
        <w:t xml:space="preserve">Waste audit information. </w:t>
      </w:r>
    </w:p>
    <w:p w:rsidR="0093441B" w:rsidRPr="00122836" w:rsidRDefault="0093441B" w:rsidP="004C4847">
      <w:pPr>
        <w:pStyle w:val="ParaIndent"/>
        <w:jc w:val="both"/>
      </w:pPr>
      <w:r w:rsidRPr="00D56C84">
        <w:t xml:space="preserve">Data was used during the development of the DEC’s </w:t>
      </w:r>
      <w:r w:rsidRPr="00D56C84">
        <w:rPr>
          <w:i/>
        </w:rPr>
        <w:t>Zero Waste Plan Development Scheme Phase 1 Report 2006-07</w:t>
      </w:r>
      <w:r w:rsidRPr="00D56C84">
        <w:t xml:space="preserve">. The report presents aggregated data on domestic waste and recycling by stream, collection services offered, waste management infrastructure, and costs. </w:t>
      </w:r>
      <w:r w:rsidR="00A03FAD" w:rsidRPr="00122836">
        <w:t xml:space="preserve">The DEC performed limited verification of the data supplied by councils, </w:t>
      </w:r>
      <w:r w:rsidR="00122836">
        <w:t xml:space="preserve">with </w:t>
      </w:r>
      <w:r w:rsidR="00A03FAD" w:rsidRPr="00122836">
        <w:t>the report stat</w:t>
      </w:r>
      <w:r w:rsidR="00122836">
        <w:t>ing</w:t>
      </w:r>
      <w:r w:rsidR="00A03FAD" w:rsidRPr="00122836">
        <w:t>:</w:t>
      </w:r>
    </w:p>
    <w:p w:rsidR="00A03FAD" w:rsidRPr="00122836" w:rsidRDefault="00A03FAD" w:rsidP="004C4847">
      <w:pPr>
        <w:pStyle w:val="ParaIndent"/>
        <w:ind w:left="1701"/>
        <w:jc w:val="both"/>
        <w:rPr>
          <w:i/>
          <w:sz w:val="18"/>
          <w:szCs w:val="18"/>
        </w:rPr>
      </w:pPr>
      <w:r w:rsidRPr="00122836">
        <w:rPr>
          <w:i/>
          <w:sz w:val="18"/>
          <w:szCs w:val="18"/>
        </w:rPr>
        <w:t xml:space="preserve">Initial verification of tonnage data provided in the online survey resulted in 26 per cent of local governments having to amend the figures they provided… Every effort has been made to verify the data provided by local government in this survey. However, the quality of the data is variable, and analysis of some responses was not possible. It is believed that this represents the best publicly available data set on municipal waste management in WA at this time. </w:t>
      </w:r>
      <w:proofErr w:type="gramStart"/>
      <w:r w:rsidRPr="00122836">
        <w:rPr>
          <w:i/>
          <w:sz w:val="18"/>
          <w:szCs w:val="18"/>
        </w:rPr>
        <w:t>Comments on the data quality for different areas is</w:t>
      </w:r>
      <w:proofErr w:type="gramEnd"/>
      <w:r w:rsidRPr="00122836">
        <w:rPr>
          <w:i/>
          <w:sz w:val="18"/>
          <w:szCs w:val="18"/>
        </w:rPr>
        <w:t xml:space="preserve"> given in each section in the report.</w:t>
      </w:r>
    </w:p>
    <w:p w:rsidR="0093441B" w:rsidRPr="00D56C84" w:rsidRDefault="0093441B" w:rsidP="004C4847">
      <w:pPr>
        <w:pStyle w:val="ParaIndent"/>
        <w:jc w:val="both"/>
      </w:pPr>
      <w:r w:rsidRPr="00D56C84">
        <w:t>Individual councils are able to authorise the DEC to release their waste census data to WALGA or the Forum of Regional Councils, and while council specific information is not currently publicly available, annual reports are planned to be published in the future</w:t>
      </w:r>
      <w:r w:rsidRPr="00D56C84">
        <w:rPr>
          <w:rStyle w:val="FootnoteReference"/>
        </w:rPr>
        <w:footnoteReference w:id="16"/>
      </w:r>
      <w:r w:rsidRPr="00D56C84">
        <w:t>.</w:t>
      </w:r>
    </w:p>
    <w:p w:rsidR="0093441B" w:rsidRPr="00D56C84" w:rsidRDefault="0093441B" w:rsidP="004C4847">
      <w:pPr>
        <w:pStyle w:val="ParaIndent"/>
        <w:jc w:val="both"/>
      </w:pPr>
      <w:r w:rsidRPr="00D56C84">
        <w:t>The regional councils publish consolidated data on domestic and kerbside waste and recycling in annual reports, and selected data is available online.</w:t>
      </w:r>
    </w:p>
    <w:p w:rsidR="001F4F2D" w:rsidRPr="00D56C84" w:rsidRDefault="001F4F2D" w:rsidP="001F4F2D">
      <w:pPr>
        <w:pStyle w:val="Heading3"/>
        <w:rPr>
          <w:lang w:eastAsia="en-AU"/>
        </w:rPr>
      </w:pPr>
      <w:r w:rsidRPr="00D56C84">
        <w:rPr>
          <w:lang w:eastAsia="en-AU"/>
        </w:rPr>
        <w:t>Western Australian Local Government Grants Commission (WALGGC)</w:t>
      </w:r>
    </w:p>
    <w:p w:rsidR="001F4F2D" w:rsidRPr="00D56C84" w:rsidRDefault="001F4F2D" w:rsidP="004C4847">
      <w:pPr>
        <w:pStyle w:val="ParaIndent"/>
        <w:jc w:val="both"/>
      </w:pPr>
      <w:r w:rsidRPr="00D56C84">
        <w:t xml:space="preserve">WALGGC operates within the WA Department of Local Government (DLG). As with all jurisdictions, WALGGC has a methodology for assessing the allocation of funds to local government for general purpose grants. </w:t>
      </w:r>
    </w:p>
    <w:p w:rsidR="001F4F2D" w:rsidRPr="00D56C84" w:rsidRDefault="001F4F2D" w:rsidP="004C4847">
      <w:pPr>
        <w:pStyle w:val="ParaIndent"/>
        <w:jc w:val="both"/>
      </w:pPr>
      <w:r w:rsidRPr="00D56C84">
        <w:t xml:space="preserve">By its own admission, WALGGC acknowledged that it only assesses revenue capacity for local government for the elements of recreation and culture, and building control. </w:t>
      </w:r>
    </w:p>
    <w:p w:rsidR="001F4F2D" w:rsidRPr="00D56C84" w:rsidRDefault="001F4F2D" w:rsidP="004C4847">
      <w:pPr>
        <w:pStyle w:val="ParaIndent"/>
        <w:jc w:val="both"/>
      </w:pPr>
      <w:r w:rsidRPr="00D56C84">
        <w:lastRenderedPageBreak/>
        <w:t xml:space="preserve">However, to comply with the national principles of the </w:t>
      </w:r>
      <w:r w:rsidRPr="00355D4C">
        <w:rPr>
          <w:i/>
        </w:rPr>
        <w:t>Federal Local Government (Financial Assistance) Act 1995</w:t>
      </w:r>
      <w:r w:rsidRPr="00D56C84">
        <w:t>, WALGGC must assess all forms of local government revenue so that funds are allocated on a more complete model of horizontal equalisation</w:t>
      </w:r>
      <w:r w:rsidRPr="00D56C84">
        <w:rPr>
          <w:vertAlign w:val="superscript"/>
        </w:rPr>
        <w:footnoteReference w:id="17"/>
      </w:r>
      <w:r w:rsidRPr="00D56C84">
        <w:t>.</w:t>
      </w:r>
    </w:p>
    <w:p w:rsidR="001F4F2D" w:rsidRPr="00D56C84" w:rsidRDefault="001F4F2D" w:rsidP="004C4847">
      <w:pPr>
        <w:pStyle w:val="ParaIndent"/>
        <w:jc w:val="both"/>
      </w:pPr>
      <w:r w:rsidRPr="00D56C84">
        <w:t>To address these assessment issues WALGGC in 2004 established a working party to provide it with advice on the subject of non</w:t>
      </w:r>
      <w:r w:rsidRPr="00D56C84">
        <w:noBreakHyphen/>
        <w:t xml:space="preserve">rate revenue. This process acknowledged that non-rate revenues (including parking fees and fines, garbage charges, user charges etc) were becoming increasingly important for local governments, and should form part of the revenue assessment aspect of the methodology. </w:t>
      </w:r>
    </w:p>
    <w:p w:rsidR="001F4F2D" w:rsidRPr="00D56C84" w:rsidRDefault="001F4F2D" w:rsidP="004C4847">
      <w:pPr>
        <w:pStyle w:val="ParaIndent"/>
        <w:jc w:val="both"/>
      </w:pPr>
      <w:r w:rsidRPr="00D56C84">
        <w:t>On the basis of this information</w:t>
      </w:r>
      <w:r w:rsidR="0093441B" w:rsidRPr="00D56C84">
        <w:t>,</w:t>
      </w:r>
      <w:r w:rsidRPr="00D56C84">
        <w:t xml:space="preserve"> in March 2008 WALGGC resolved to undertake a review of its current General Purpose Grant methodology. It is anticipated the new methodology will be in place for the 2011</w:t>
      </w:r>
      <w:r w:rsidR="00EE44CD">
        <w:t>–</w:t>
      </w:r>
      <w:r w:rsidRPr="00D56C84">
        <w:t xml:space="preserve">12 Grant Determinations. </w:t>
      </w:r>
    </w:p>
    <w:p w:rsidR="001F4F2D" w:rsidRPr="00D56C84" w:rsidRDefault="001F4F2D" w:rsidP="004C4847">
      <w:pPr>
        <w:pStyle w:val="ParaIndent"/>
        <w:jc w:val="both"/>
      </w:pPr>
      <w:r w:rsidRPr="00D56C84">
        <w:t xml:space="preserve">To support the grants determinations, DLG requires all local governments to complete an annual </w:t>
      </w:r>
      <w:r w:rsidR="0093441B" w:rsidRPr="00D56C84">
        <w:t>i</w:t>
      </w:r>
      <w:r w:rsidRPr="00D56C84">
        <w:t xml:space="preserve">nformation return. The information return also seeks to meet ABS requirements for annual local government financial statistics. The information return seeks a range of information on solid waste management. </w:t>
      </w:r>
      <w:r w:rsidR="0093441B" w:rsidRPr="00D56C84">
        <w:t xml:space="preserve">In terms of </w:t>
      </w:r>
      <w:r w:rsidRPr="00D56C84">
        <w:t>defin</w:t>
      </w:r>
      <w:r w:rsidR="0093441B" w:rsidRPr="00D56C84">
        <w:t>ing</w:t>
      </w:r>
      <w:r w:rsidRPr="00D56C84">
        <w:t xml:space="preserve"> solid waste management</w:t>
      </w:r>
      <w:r w:rsidR="0093441B" w:rsidRPr="00D56C84">
        <w:t>, the information return sets out that</w:t>
      </w:r>
      <w:r w:rsidRPr="00D56C84">
        <w:rPr>
          <w:vertAlign w:val="superscript"/>
        </w:rPr>
        <w:footnoteReference w:id="18"/>
      </w:r>
      <w:r w:rsidRPr="00D56C84">
        <w:t>:</w:t>
      </w:r>
    </w:p>
    <w:p w:rsidR="001F4F2D" w:rsidRPr="00D56C84" w:rsidRDefault="001F4F2D" w:rsidP="004C4847">
      <w:pPr>
        <w:pStyle w:val="ParaIndent"/>
        <w:jc w:val="both"/>
      </w:pPr>
      <w:r w:rsidRPr="00D56C84">
        <w:t>‘This group includes monitoring, reduction, collection, treatment and disposal of all types of solid waste. Includes:</w:t>
      </w:r>
    </w:p>
    <w:p w:rsidR="001F4F2D" w:rsidRPr="00D56C84" w:rsidRDefault="001F4F2D" w:rsidP="004C4847">
      <w:pPr>
        <w:pStyle w:val="ParaIndent"/>
        <w:keepNext/>
        <w:numPr>
          <w:ilvl w:val="0"/>
          <w:numId w:val="29"/>
        </w:numPr>
        <w:spacing w:after="60"/>
        <w:ind w:left="1985" w:hanging="284"/>
        <w:jc w:val="both"/>
        <w:rPr>
          <w:i/>
          <w:sz w:val="18"/>
          <w:szCs w:val="18"/>
        </w:rPr>
      </w:pPr>
      <w:r w:rsidRPr="00D56C84">
        <w:rPr>
          <w:i/>
          <w:sz w:val="18"/>
          <w:szCs w:val="18"/>
        </w:rPr>
        <w:t>Solid waste intended for recycling. Activities may include monitoring of generation and storage of waste intended for recycling, transport to place of treatment or discharge, treatment and final placement of waste for which no further use is foreseen after the recycling process by landfill, containment, underground disposal etc</w:t>
      </w:r>
      <w:r w:rsidR="00EE44CD">
        <w:rPr>
          <w:i/>
          <w:sz w:val="18"/>
          <w:szCs w:val="18"/>
        </w:rPr>
        <w:t>.</w:t>
      </w:r>
    </w:p>
    <w:p w:rsidR="001F4F2D" w:rsidRPr="00D56C84" w:rsidRDefault="001F4F2D" w:rsidP="004C4847">
      <w:pPr>
        <w:pStyle w:val="ParaIndent"/>
        <w:keepNext/>
        <w:numPr>
          <w:ilvl w:val="0"/>
          <w:numId w:val="29"/>
        </w:numPr>
        <w:spacing w:after="60"/>
        <w:ind w:left="1985" w:hanging="284"/>
        <w:jc w:val="both"/>
        <w:rPr>
          <w:i/>
          <w:sz w:val="18"/>
          <w:szCs w:val="18"/>
        </w:rPr>
      </w:pPr>
      <w:r w:rsidRPr="00D56C84">
        <w:rPr>
          <w:i/>
          <w:sz w:val="18"/>
          <w:szCs w:val="18"/>
        </w:rPr>
        <w:t xml:space="preserve">Solid waste not intended for recycling. Activities may include management of municipal tips, monitoring of waste generation and storage, transport to place of treatment or discharge, treatment and final placement of waste for which no further use is foreseen by landfill, containment, underground disposal etc. Also covered in this group is litter collection from and sweeping of streets, </w:t>
      </w:r>
      <w:proofErr w:type="gramStart"/>
      <w:r w:rsidRPr="00D56C84">
        <w:rPr>
          <w:i/>
          <w:sz w:val="18"/>
          <w:szCs w:val="18"/>
        </w:rPr>
        <w:t>squares,</w:t>
      </w:r>
      <w:proofErr w:type="gramEnd"/>
      <w:r w:rsidRPr="00D56C84">
        <w:rPr>
          <w:i/>
          <w:sz w:val="18"/>
          <w:szCs w:val="18"/>
        </w:rPr>
        <w:t xml:space="preserve"> paths, markets, public gardens and parks</w:t>
      </w:r>
      <w:r w:rsidR="00EE44CD">
        <w:rPr>
          <w:i/>
          <w:sz w:val="18"/>
          <w:szCs w:val="18"/>
        </w:rPr>
        <w:t>.</w:t>
      </w:r>
    </w:p>
    <w:p w:rsidR="001F4F2D" w:rsidRPr="00D56C84" w:rsidRDefault="001F4F2D" w:rsidP="004C4847">
      <w:pPr>
        <w:pStyle w:val="ParaIndent"/>
        <w:keepNext/>
        <w:numPr>
          <w:ilvl w:val="0"/>
          <w:numId w:val="29"/>
        </w:numPr>
        <w:spacing w:after="60"/>
        <w:ind w:left="1985" w:hanging="284"/>
        <w:jc w:val="both"/>
        <w:rPr>
          <w:i/>
          <w:sz w:val="18"/>
          <w:szCs w:val="18"/>
        </w:rPr>
      </w:pPr>
      <w:r w:rsidRPr="00D56C84">
        <w:rPr>
          <w:i/>
          <w:sz w:val="18"/>
          <w:szCs w:val="18"/>
        </w:rPr>
        <w:t>Grants, loans and subsidies to support the operation, construction, maintenance or upgrading of systems for the monitoring, collection, treatment and disposal of solid waste’</w:t>
      </w:r>
      <w:r w:rsidR="00EE44CD">
        <w:rPr>
          <w:i/>
          <w:sz w:val="18"/>
          <w:szCs w:val="18"/>
        </w:rPr>
        <w:t>.</w:t>
      </w:r>
    </w:p>
    <w:p w:rsidR="00100B7C" w:rsidRDefault="001F4F2D" w:rsidP="00100B7C">
      <w:pPr>
        <w:pStyle w:val="ParaIndent"/>
        <w:jc w:val="both"/>
        <w:rPr>
          <w:rFonts w:cs="Arial"/>
          <w:lang w:eastAsia="en-AU"/>
        </w:rPr>
      </w:pPr>
      <w:r w:rsidRPr="00D56C84">
        <w:rPr>
          <w:rFonts w:cs="Arial"/>
          <w:lang w:eastAsia="en-AU"/>
        </w:rPr>
        <w:t xml:space="preserve">The </w:t>
      </w:r>
      <w:r w:rsidRPr="00D56C84">
        <w:t>information</w:t>
      </w:r>
      <w:r w:rsidRPr="00D56C84">
        <w:rPr>
          <w:rFonts w:cs="Arial"/>
          <w:lang w:eastAsia="en-AU"/>
        </w:rPr>
        <w:t xml:space="preserve"> that is requested on solid waste management includes:</w:t>
      </w:r>
    </w:p>
    <w:p w:rsidR="001F4F2D" w:rsidRPr="00D56C84" w:rsidRDefault="001F4F2D" w:rsidP="00100B7C">
      <w:pPr>
        <w:pStyle w:val="PointsBullets"/>
      </w:pPr>
      <w:r w:rsidRPr="00D56C84">
        <w:t>Operating revenue</w:t>
      </w:r>
    </w:p>
    <w:p w:rsidR="001F4F2D" w:rsidRPr="00D56C84" w:rsidRDefault="001F4F2D" w:rsidP="00100B7C">
      <w:pPr>
        <w:pStyle w:val="PointsBullets"/>
      </w:pPr>
      <w:r w:rsidRPr="00D56C84">
        <w:t>Operating expenses</w:t>
      </w:r>
    </w:p>
    <w:p w:rsidR="001F4F2D" w:rsidRPr="00D56C84" w:rsidRDefault="001F4F2D" w:rsidP="00100B7C">
      <w:pPr>
        <w:pStyle w:val="PointsBullets"/>
      </w:pPr>
      <w:r w:rsidRPr="00D56C84">
        <w:t>Assets</w:t>
      </w:r>
    </w:p>
    <w:p w:rsidR="001F4F2D" w:rsidRPr="00D56C84" w:rsidRDefault="001F4F2D" w:rsidP="00100B7C">
      <w:pPr>
        <w:pStyle w:val="PointsBullets"/>
      </w:pPr>
      <w:r w:rsidRPr="00D56C84">
        <w:t>Rating information – determining if the costs of refuse collection services are included in rates levied; if they are it seeks that an estimate be made for the total amount which would have been imposed for the financial year; also it seeks an estimate of the number of refuse collections per week</w:t>
      </w:r>
      <w:r w:rsidR="00EE44CD">
        <w:t>.</w:t>
      </w:r>
    </w:p>
    <w:p w:rsidR="001F4F2D" w:rsidRPr="00D56C84" w:rsidRDefault="001F4F2D" w:rsidP="004C4847">
      <w:pPr>
        <w:pStyle w:val="Heading3"/>
        <w:jc w:val="both"/>
      </w:pPr>
      <w:r w:rsidRPr="00D56C84">
        <w:lastRenderedPageBreak/>
        <w:t>Local government financial reporting</w:t>
      </w:r>
    </w:p>
    <w:p w:rsidR="001F4F2D" w:rsidRPr="00D56C84" w:rsidRDefault="001F4F2D" w:rsidP="004C4847">
      <w:pPr>
        <w:pStyle w:val="ParaIndent"/>
        <w:jc w:val="both"/>
      </w:pPr>
      <w:r w:rsidRPr="00D56C84">
        <w:rPr>
          <w:rFonts w:cs="Arial"/>
          <w:lang w:eastAsia="en-AU"/>
        </w:rPr>
        <w:t xml:space="preserve">A </w:t>
      </w:r>
      <w:r w:rsidRPr="00D56C84">
        <w:t>new accounting manual for local government was developed and released in February 2011</w:t>
      </w:r>
      <w:r w:rsidR="00EE44CD">
        <w:t>.</w:t>
      </w:r>
      <w:r w:rsidRPr="00D56C84">
        <w:rPr>
          <w:vertAlign w:val="superscript"/>
        </w:rPr>
        <w:footnoteReference w:id="19"/>
      </w:r>
      <w:r w:rsidRPr="00D56C84">
        <w:t xml:space="preserve"> The manual provides model financial statements that address a broad range of information common to the preparation and disclosure of financial statements for local government. In the statements, waste is addressed under ‘Sanitation – Household’ </w:t>
      </w:r>
      <w:proofErr w:type="gramStart"/>
      <w:r w:rsidRPr="00D56C84">
        <w:t>as :</w:t>
      </w:r>
      <w:proofErr w:type="gramEnd"/>
    </w:p>
    <w:p w:rsidR="001F4F2D" w:rsidRPr="00D56C84" w:rsidRDefault="001F4F2D" w:rsidP="004C4847">
      <w:pPr>
        <w:pStyle w:val="ParaIndent"/>
        <w:jc w:val="both"/>
        <w:rPr>
          <w:i/>
        </w:rPr>
      </w:pPr>
      <w:proofErr w:type="gramStart"/>
      <w:r w:rsidRPr="00D56C84">
        <w:rPr>
          <w:i/>
        </w:rPr>
        <w:t>“Administration and operation of general refuse collection and disposal services.</w:t>
      </w:r>
      <w:proofErr w:type="gramEnd"/>
    </w:p>
    <w:p w:rsidR="001F4F2D" w:rsidRPr="00D56C84" w:rsidRDefault="001F4F2D" w:rsidP="004C4847">
      <w:pPr>
        <w:pStyle w:val="ParaIndent"/>
        <w:jc w:val="both"/>
        <w:rPr>
          <w:i/>
        </w:rPr>
      </w:pPr>
      <w:r w:rsidRPr="00D56C84">
        <w:rPr>
          <w:i/>
        </w:rPr>
        <w:t>These include the collection of general, recyclable and green waste, the delivery to a disposal site or transfer station, provision and maintenance of rubbish disposal sites, regional schemes, recycling depots and transfer stations”.</w:t>
      </w:r>
    </w:p>
    <w:p w:rsidR="001F4F2D" w:rsidRPr="00D56C84" w:rsidRDefault="001F4F2D" w:rsidP="004C4847">
      <w:pPr>
        <w:pStyle w:val="ParaIndent"/>
        <w:jc w:val="both"/>
      </w:pPr>
      <w:r w:rsidRPr="00D56C84">
        <w:t xml:space="preserve">On this basis, waste information would be disclosed in local government financial statements in compliance with the new guidance. </w:t>
      </w:r>
    </w:p>
    <w:p w:rsidR="00AA187D" w:rsidRPr="00D56C84" w:rsidRDefault="00AA187D" w:rsidP="004C4847">
      <w:pPr>
        <w:pStyle w:val="Heading2"/>
        <w:jc w:val="both"/>
      </w:pPr>
      <w:bookmarkStart w:id="97" w:name="_Toc307470454"/>
      <w:r w:rsidRPr="00D56C84">
        <w:t>Performance</w:t>
      </w:r>
      <w:r w:rsidR="00085D2C" w:rsidRPr="00085D2C">
        <w:t xml:space="preserve"> </w:t>
      </w:r>
      <w:r w:rsidR="00085D2C">
        <w:t>in Western Australia</w:t>
      </w:r>
      <w:bookmarkEnd w:id="97"/>
    </w:p>
    <w:p w:rsidR="00A01211" w:rsidRPr="00D56C84" w:rsidRDefault="00552E89" w:rsidP="004C4847">
      <w:pPr>
        <w:pStyle w:val="ParaIndent"/>
        <w:jc w:val="both"/>
      </w:pPr>
      <w:r w:rsidRPr="00D56C84">
        <w:t xml:space="preserve">There is currently very little LGA specific information publicly available in relation to waste and recycling performance in Western Australia. </w:t>
      </w:r>
      <w:r w:rsidR="00A01211" w:rsidRPr="00D56C84">
        <w:t>It is not possible to provide any informative discussion around the information that is currently publicly available.</w:t>
      </w:r>
    </w:p>
    <w:p w:rsidR="00AA187D" w:rsidRDefault="00552E89" w:rsidP="004C4847">
      <w:pPr>
        <w:pStyle w:val="ParaIndent"/>
        <w:jc w:val="both"/>
      </w:pPr>
      <w:r w:rsidRPr="00D56C84">
        <w:t>As outline</w:t>
      </w:r>
      <w:r w:rsidR="00EE44CD">
        <w:t>d</w:t>
      </w:r>
      <w:r w:rsidRPr="00D56C84">
        <w:t xml:space="preserve"> in the proceeding sections, it is anticipated that more information will be available in the future, as new reporting mechanisms are introduced and adopted across the jurisdiction.</w:t>
      </w:r>
    </w:p>
    <w:p w:rsidR="00E452F0" w:rsidRDefault="00E452F0" w:rsidP="004C4847">
      <w:pPr>
        <w:pStyle w:val="Heading2"/>
        <w:jc w:val="both"/>
      </w:pPr>
      <w:bookmarkStart w:id="98" w:name="_Toc307470455"/>
      <w:r>
        <w:t>Summary</w:t>
      </w:r>
      <w:r w:rsidR="00085D2C">
        <w:t xml:space="preserve"> – Western Australia</w:t>
      </w:r>
      <w:bookmarkEnd w:id="98"/>
    </w:p>
    <w:p w:rsidR="004B2C54" w:rsidRDefault="004B2C54" w:rsidP="004C4847">
      <w:pPr>
        <w:pStyle w:val="ParaIndent"/>
        <w:jc w:val="both"/>
      </w:pPr>
      <w:r>
        <w:t xml:space="preserve">Based on research for </w:t>
      </w:r>
      <w:r w:rsidRPr="00161A53">
        <w:t xml:space="preserve">this report, </w:t>
      </w:r>
      <w:r w:rsidR="00100B7C" w:rsidRPr="00161A53">
        <w:t xml:space="preserve">considering the availability of information only, </w:t>
      </w:r>
      <w:r w:rsidRPr="00161A53">
        <w:t>the degree to which information about municipal waste and recycling in Western Australia meets the</w:t>
      </w:r>
      <w:r>
        <w:t xml:space="preserve"> needs of users is considered to be LOW.</w:t>
      </w:r>
      <w:r w:rsidR="005C0725">
        <w:t xml:space="preserve"> Coverage of information is extremely limited.</w:t>
      </w:r>
    </w:p>
    <w:p w:rsidR="00085D2C" w:rsidRDefault="00ED6CA0" w:rsidP="004C4847">
      <w:pPr>
        <w:pStyle w:val="ParaIndent"/>
        <w:jc w:val="both"/>
      </w:pPr>
      <w:fldSimple w:instr=" REF _Ref301859060 \h  \* MERGEFORMAT ">
        <w:r w:rsidR="00166111">
          <w:t xml:space="preserve">Table </w:t>
        </w:r>
        <w:r w:rsidR="00166111">
          <w:rPr>
            <w:noProof/>
          </w:rPr>
          <w:t>10</w:t>
        </w:r>
        <w:r w:rsidR="00166111" w:rsidRPr="00D56C84">
          <w:rPr>
            <w:noProof/>
          </w:rPr>
          <w:t>-</w:t>
        </w:r>
        <w:r w:rsidR="00166111">
          <w:rPr>
            <w:noProof/>
          </w:rPr>
          <w:t>30</w:t>
        </w:r>
      </w:fldSimple>
      <w:r w:rsidR="009445BE">
        <w:t xml:space="preserve"> provides a comparison of the waste and recycling data collected by government </w:t>
      </w:r>
      <w:r w:rsidR="009445BE" w:rsidRPr="00161A53">
        <w:t xml:space="preserve">bodies in </w:t>
      </w:r>
      <w:r w:rsidR="00085D2C" w:rsidRPr="00161A53">
        <w:t>Western</w:t>
      </w:r>
      <w:r w:rsidR="009445BE" w:rsidRPr="00161A53">
        <w:t xml:space="preserve"> Australia against the </w:t>
      </w:r>
      <w:r w:rsidR="00085D2C" w:rsidRPr="00161A53">
        <w:t xml:space="preserve">LGA-specific </w:t>
      </w:r>
      <w:r w:rsidR="009445BE" w:rsidRPr="00161A53">
        <w:t>data which is made available to the public.</w:t>
      </w:r>
      <w:r w:rsidR="00100B7C" w:rsidRPr="00161A53">
        <w:t xml:space="preserve"> Note that the quality of available information has not been assessed.</w:t>
      </w:r>
    </w:p>
    <w:p w:rsidR="00085D2C" w:rsidRDefault="00085D2C">
      <w:pPr>
        <w:spacing w:after="0" w:line="240" w:lineRule="auto"/>
        <w:ind w:left="0"/>
      </w:pPr>
      <w:r>
        <w:br w:type="page"/>
      </w:r>
    </w:p>
    <w:p w:rsidR="009445BE" w:rsidRDefault="009445BE" w:rsidP="009445BE">
      <w:pPr>
        <w:pStyle w:val="TableHeading"/>
      </w:pPr>
      <w:bookmarkStart w:id="99" w:name="_Ref301859060"/>
      <w:r>
        <w:lastRenderedPageBreak/>
        <w:t xml:space="preserve">Table </w:t>
      </w:r>
      <w:r w:rsidR="00ED6CA0">
        <w:fldChar w:fldCharType="begin"/>
      </w:r>
      <w:r>
        <w:instrText xml:space="preserve"> STYLEREF "_Heading1" \n </w:instrText>
      </w:r>
      <w:r w:rsidR="00ED6CA0">
        <w:fldChar w:fldCharType="separate"/>
      </w:r>
      <w:r w:rsidR="00166111">
        <w:rPr>
          <w:noProof/>
        </w:rPr>
        <w:t>10</w:t>
      </w:r>
      <w:r w:rsidR="00ED6CA0">
        <w:rPr>
          <w:noProof/>
        </w:rPr>
        <w:fldChar w:fldCharType="end"/>
      </w:r>
      <w:r w:rsidRPr="00D56C84">
        <w:t>-</w:t>
      </w:r>
      <w:r w:rsidR="00ED6CA0">
        <w:fldChar w:fldCharType="begin"/>
      </w:r>
      <w:r>
        <w:instrText xml:space="preserve"> SEQ Table \* Arabic </w:instrText>
      </w:r>
      <w:r w:rsidR="00ED6CA0">
        <w:fldChar w:fldCharType="separate"/>
      </w:r>
      <w:r w:rsidR="00166111">
        <w:rPr>
          <w:noProof/>
        </w:rPr>
        <w:t>30</w:t>
      </w:r>
      <w:r w:rsidR="00ED6CA0">
        <w:rPr>
          <w:noProof/>
        </w:rPr>
        <w:fldChar w:fldCharType="end"/>
      </w:r>
      <w:bookmarkEnd w:id="99"/>
      <w:r>
        <w:rPr>
          <w:noProof/>
        </w:rPr>
        <w:tab/>
        <w:t xml:space="preserve">Summary of waste and recycling data collected in Western Australia </w:t>
      </w:r>
      <w:r w:rsidR="006E78EF">
        <w:rPr>
          <w:noProof/>
        </w:rPr>
        <w:t>and</w:t>
      </w:r>
      <w:r>
        <w:rPr>
          <w:noProof/>
        </w:rPr>
        <w:t xml:space="preserve">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9445BE" w:rsidRPr="00DC4F78" w:rsidTr="00085D2C">
        <w:trPr>
          <w:trHeight w:val="270"/>
          <w:tblHeader/>
        </w:trPr>
        <w:tc>
          <w:tcPr>
            <w:tcW w:w="2693" w:type="pct"/>
            <w:shd w:val="clear" w:color="auto" w:fill="auto"/>
            <w:noWrap/>
            <w:vAlign w:val="bottom"/>
            <w:hideMark/>
          </w:tcPr>
          <w:p w:rsidR="009445BE" w:rsidRPr="00A42A0E" w:rsidRDefault="009445BE" w:rsidP="009445BE">
            <w:pPr>
              <w:pStyle w:val="TableText"/>
              <w:rPr>
                <w:lang w:val="en-US"/>
              </w:rPr>
            </w:pPr>
            <w:r w:rsidRPr="00A42A0E">
              <w:rPr>
                <w:lang w:val="en-US"/>
              </w:rPr>
              <w:t> </w:t>
            </w:r>
          </w:p>
        </w:tc>
        <w:tc>
          <w:tcPr>
            <w:tcW w:w="980" w:type="pct"/>
          </w:tcPr>
          <w:p w:rsidR="009445BE" w:rsidRPr="00DC4F78" w:rsidRDefault="009445BE" w:rsidP="00085D2C">
            <w:pPr>
              <w:pStyle w:val="TableHeading"/>
              <w:jc w:val="center"/>
              <w:rPr>
                <w:lang w:val="en-US"/>
              </w:rPr>
            </w:pPr>
            <w:r w:rsidRPr="00A42A0E">
              <w:rPr>
                <w:lang w:val="en-US"/>
              </w:rPr>
              <w:t>Data collected</w:t>
            </w:r>
          </w:p>
        </w:tc>
        <w:tc>
          <w:tcPr>
            <w:tcW w:w="1327" w:type="pct"/>
            <w:shd w:val="clear" w:color="auto" w:fill="auto"/>
            <w:noWrap/>
            <w:vAlign w:val="bottom"/>
            <w:hideMark/>
          </w:tcPr>
          <w:p w:rsidR="009445BE" w:rsidRPr="00DC4F78" w:rsidRDefault="009445BE" w:rsidP="00085D2C">
            <w:pPr>
              <w:pStyle w:val="TableHeading"/>
              <w:jc w:val="center"/>
              <w:rPr>
                <w:lang w:val="en-US"/>
              </w:rPr>
            </w:pPr>
            <w:r w:rsidRPr="00A42A0E">
              <w:rPr>
                <w:lang w:val="en-US"/>
              </w:rPr>
              <w:t>Data available</w:t>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18" name="Picture 6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19" name="Picture 61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Collection frequencies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20" name="Picture 62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21" name="Picture 62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Bin sizes/ types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52" name="Picture 65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53" name="Picture 65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24" name="Picture 62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25" name="Picture 62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26" name="Picture 62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27" name="Picture 62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28" name="Picture 62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29" name="Picture 62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54" name="Picture 65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55" name="Picture 65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infrastructure</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32" name="Picture 63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33" name="Picture 63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costs/ expenditure</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56" name="Picture 65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57" name="Picture 65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Contractor information</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36" name="Picture 63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37" name="Picture 63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charges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38" name="Picture 63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39" name="Picture 63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Hard waste services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58" name="Picture 65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59" name="Picture 65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Litter/ illegal dumping</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60" name="Picture 660"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61" name="Picture 66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320"/>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Public Place Collections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62" name="Picture 662"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63" name="Picture 66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Commercial &amp; Industrial Services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46" name="Picture 64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47" name="Picture 64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64" name="Picture 664"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65" name="Picture 66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noWrap/>
            <w:vAlign w:val="center"/>
            <w:hideMark/>
          </w:tcPr>
          <w:p w:rsidR="009445BE" w:rsidRPr="00A42A0E" w:rsidRDefault="009445BE" w:rsidP="00085D2C">
            <w:pPr>
              <w:pStyle w:val="TableText"/>
              <w:rPr>
                <w:b/>
                <w:bCs/>
                <w:lang w:val="en-US"/>
              </w:rPr>
            </w:pPr>
            <w:r w:rsidRPr="00A42A0E">
              <w:rPr>
                <w:b/>
                <w:bCs/>
                <w:lang w:val="en-US"/>
              </w:rPr>
              <w:t>Waste Audit Data</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666" name="Picture 66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67" name="Picture 66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E452F0" w:rsidRPr="00D56C84" w:rsidRDefault="00B30608" w:rsidP="00903366">
      <w:pPr>
        <w:pStyle w:val="ParaIndent"/>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001A75C3" w:rsidRPr="00E1080D">
        <w:rPr>
          <w:noProof/>
          <w:sz w:val="14"/>
          <w:szCs w:val="14"/>
          <w:lang w:eastAsia="en-AU"/>
        </w:rPr>
        <w:drawing>
          <wp:inline distT="0" distB="0" distL="0" distR="0">
            <wp:extent cx="209550" cy="209550"/>
            <wp:effectExtent l="0" t="0" r="0" b="0"/>
            <wp:docPr id="737" name="Picture 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001A75C3" w:rsidRPr="00E1080D">
        <w:rPr>
          <w:noProof/>
          <w:sz w:val="14"/>
          <w:szCs w:val="14"/>
          <w:lang w:eastAsia="en-AU"/>
        </w:rPr>
        <w:drawing>
          <wp:inline distT="0" distB="0" distL="0" distR="0">
            <wp:extent cx="200025" cy="200025"/>
            <wp:effectExtent l="0" t="0" r="0" b="0"/>
            <wp:docPr id="738" name="Picture 1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001A75C3" w:rsidRPr="00E1080D">
        <w:rPr>
          <w:noProof/>
          <w:sz w:val="14"/>
          <w:szCs w:val="14"/>
          <w:lang w:eastAsia="en-AU"/>
        </w:rPr>
        <w:drawing>
          <wp:inline distT="0" distB="0" distL="0" distR="0">
            <wp:extent cx="200025" cy="200025"/>
            <wp:effectExtent l="0" t="0" r="0" b="0"/>
            <wp:docPr id="741" name="Picture 2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w:t>
      </w:r>
    </w:p>
    <w:p w:rsidR="00963F22" w:rsidRPr="00D56C84" w:rsidRDefault="00963F22">
      <w:pPr>
        <w:spacing w:after="0" w:line="240" w:lineRule="auto"/>
        <w:ind w:left="0"/>
        <w:rPr>
          <w:highlight w:val="yellow"/>
        </w:rPr>
      </w:pPr>
      <w:r w:rsidRPr="00D56C84">
        <w:rPr>
          <w:highlight w:val="yellow"/>
        </w:rPr>
        <w:br w:type="page"/>
      </w:r>
    </w:p>
    <w:p w:rsidR="001D5A8C" w:rsidRPr="00D56C84" w:rsidRDefault="00C847CD" w:rsidP="00AA187D">
      <w:pPr>
        <w:pStyle w:val="Heading1"/>
      </w:pPr>
      <w:bookmarkStart w:id="100" w:name="_Toc307470456"/>
      <w:r w:rsidRPr="00D56C84">
        <w:lastRenderedPageBreak/>
        <w:t>Tasmania</w:t>
      </w:r>
      <w:bookmarkEnd w:id="100"/>
    </w:p>
    <w:p w:rsidR="00552E89" w:rsidRPr="00D56C84" w:rsidRDefault="00552E89" w:rsidP="00AC3881">
      <w:pPr>
        <w:pStyle w:val="ParaIndent"/>
        <w:jc w:val="both"/>
      </w:pPr>
      <w:r w:rsidRPr="00D56C84">
        <w:t xml:space="preserve">There are 29 Local Government Areas in Tasmania. None of these are considered metropolitan, with </w:t>
      </w:r>
      <w:r w:rsidR="00A2099B" w:rsidRPr="00D56C84">
        <w:t>6</w:t>
      </w:r>
      <w:r w:rsidRPr="00D56C84">
        <w:t xml:space="preserve"> (</w:t>
      </w:r>
      <w:r w:rsidR="00A2099B" w:rsidRPr="00D56C84">
        <w:t>covering 52</w:t>
      </w:r>
      <w:r w:rsidRPr="00D56C84">
        <w:t xml:space="preserve">% of the population) considered regional, and </w:t>
      </w:r>
      <w:r w:rsidR="00A2099B" w:rsidRPr="00D56C84">
        <w:t>the remaining 23</w:t>
      </w:r>
      <w:r w:rsidRPr="00D56C84">
        <w:t xml:space="preserve"> (</w:t>
      </w:r>
      <w:r w:rsidR="00A2099B" w:rsidRPr="00D56C84">
        <w:t>48</w:t>
      </w:r>
      <w:r w:rsidRPr="00D56C84">
        <w:t xml:space="preserve">% of the population)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the availability of LGA-specific waste and recycling information is generally rated as ‘low’ within this jurisdiction.</w:t>
      </w:r>
    </w:p>
    <w:p w:rsidR="00552E89" w:rsidRPr="00D56C84" w:rsidRDefault="00552E89" w:rsidP="00AC3881">
      <w:pPr>
        <w:pStyle w:val="ParaIndent"/>
        <w:jc w:val="both"/>
      </w:pPr>
      <w:r w:rsidRPr="00D56C84">
        <w:t>This chapter provides an overview of the role of local government in this state in relation to waste management and recycling, as well as explaining the information reporting pathways for relevant information. Due to the low level of publicly available information relating to specific LGAs within this jurisdiction,</w:t>
      </w:r>
      <w:r w:rsidR="00C10A36" w:rsidRPr="00D56C84">
        <w:t xml:space="preserve"> there is limited information available regarding </w:t>
      </w:r>
      <w:r w:rsidRPr="00D56C84">
        <w:t xml:space="preserve">performance in terms of service provision, landfill diversion rates or costs. </w:t>
      </w:r>
    </w:p>
    <w:p w:rsidR="00AA187D" w:rsidRPr="00D56C84" w:rsidRDefault="00AA187D" w:rsidP="00AA187D">
      <w:pPr>
        <w:pStyle w:val="Heading2"/>
      </w:pPr>
      <w:bookmarkStart w:id="101" w:name="_Toc307470457"/>
      <w:r w:rsidRPr="00D56C84">
        <w:t>The role of local government</w:t>
      </w:r>
      <w:r w:rsidR="00085D2C">
        <w:t xml:space="preserve"> in Tasmania</w:t>
      </w:r>
      <w:bookmarkEnd w:id="101"/>
    </w:p>
    <w:p w:rsidR="0099625B" w:rsidRPr="00D56C84" w:rsidRDefault="0099625B" w:rsidP="00AC3881">
      <w:pPr>
        <w:pStyle w:val="ParaIndent"/>
        <w:spacing w:after="60"/>
        <w:jc w:val="both"/>
        <w:rPr>
          <w:rFonts w:cs="Arial"/>
          <w:lang w:eastAsia="en-AU"/>
        </w:rPr>
      </w:pPr>
      <w:r w:rsidRPr="00D56C84">
        <w:t xml:space="preserve">The </w:t>
      </w:r>
      <w:r w:rsidRPr="00355D4C">
        <w:rPr>
          <w:i/>
        </w:rPr>
        <w:t xml:space="preserve">Local Government Act </w:t>
      </w:r>
      <w:r w:rsidR="00112302" w:rsidRPr="00355D4C">
        <w:rPr>
          <w:i/>
        </w:rPr>
        <w:t>(</w:t>
      </w:r>
      <w:r w:rsidRPr="00355D4C">
        <w:rPr>
          <w:i/>
        </w:rPr>
        <w:t>1993</w:t>
      </w:r>
      <w:r w:rsidR="00112302" w:rsidRPr="00355D4C">
        <w:rPr>
          <w:i/>
        </w:rPr>
        <w:t>)</w:t>
      </w:r>
      <w:r w:rsidRPr="00D56C84">
        <w:t xml:space="preserve"> </w:t>
      </w:r>
      <w:r w:rsidR="002954AC" w:rsidRPr="00D56C84">
        <w:t>is ‘broadly enabling’ with respect to the functions of local government in Tasmania. The most relevant clause to waste management is:</w:t>
      </w:r>
    </w:p>
    <w:p w:rsidR="00112302" w:rsidRPr="00D56C84" w:rsidRDefault="00112302" w:rsidP="00AC3881">
      <w:pPr>
        <w:pStyle w:val="ParaIndent"/>
        <w:spacing w:after="60"/>
        <w:ind w:left="1701"/>
        <w:jc w:val="both"/>
        <w:rPr>
          <w:b/>
          <w:sz w:val="18"/>
          <w:szCs w:val="18"/>
        </w:rPr>
      </w:pPr>
      <w:bookmarkStart w:id="102" w:name="GS20@EN"/>
      <w:bookmarkEnd w:id="102"/>
      <w:r w:rsidRPr="00D56C84">
        <w:rPr>
          <w:b/>
          <w:sz w:val="18"/>
          <w:szCs w:val="18"/>
        </w:rPr>
        <w:t>20.</w:t>
      </w:r>
      <w:r w:rsidR="00963F22" w:rsidRPr="00D56C84">
        <w:rPr>
          <w:b/>
          <w:sz w:val="18"/>
          <w:szCs w:val="18"/>
        </w:rPr>
        <w:t xml:space="preserve"> </w:t>
      </w:r>
      <w:r w:rsidRPr="00D56C84">
        <w:rPr>
          <w:b/>
          <w:sz w:val="18"/>
          <w:szCs w:val="18"/>
        </w:rPr>
        <w:t xml:space="preserve">Functions and powers of councils </w:t>
      </w:r>
    </w:p>
    <w:p w:rsidR="00112302" w:rsidRPr="00D56C84" w:rsidRDefault="00112302" w:rsidP="00AC3881">
      <w:pPr>
        <w:pStyle w:val="ParaIndent"/>
        <w:spacing w:after="60"/>
        <w:ind w:firstLine="567"/>
        <w:jc w:val="both"/>
        <w:rPr>
          <w:sz w:val="18"/>
          <w:szCs w:val="18"/>
        </w:rPr>
      </w:pPr>
      <w:bookmarkStart w:id="103" w:name="GS20@Gs1@EN"/>
      <w:bookmarkEnd w:id="103"/>
      <w:r w:rsidRPr="00D56C84">
        <w:rPr>
          <w:sz w:val="18"/>
          <w:szCs w:val="18"/>
        </w:rPr>
        <w:t>(1) The council of a municipal area has the following functions:</w:t>
      </w:r>
      <w:bookmarkStart w:id="104" w:name="GS20@Gs1@Hpa@EN"/>
      <w:bookmarkEnd w:id="104"/>
      <w:r w:rsidRPr="00D56C84">
        <w:rPr>
          <w:sz w:val="18"/>
          <w:szCs w:val="18"/>
        </w:rPr>
        <w:t xml:space="preserve"> </w:t>
      </w:r>
    </w:p>
    <w:p w:rsidR="00112302" w:rsidRPr="00D56C84" w:rsidRDefault="00112302" w:rsidP="00AC3881">
      <w:pPr>
        <w:pStyle w:val="ParaIndent"/>
        <w:spacing w:after="60"/>
        <w:ind w:left="1985"/>
        <w:jc w:val="both"/>
        <w:rPr>
          <w:sz w:val="18"/>
          <w:szCs w:val="18"/>
        </w:rPr>
      </w:pPr>
      <w:r w:rsidRPr="00D56C84">
        <w:rPr>
          <w:sz w:val="18"/>
          <w:szCs w:val="18"/>
        </w:rPr>
        <w:t>(</w:t>
      </w:r>
      <w:r w:rsidR="002954AC" w:rsidRPr="00D56C84">
        <w:rPr>
          <w:sz w:val="18"/>
          <w:szCs w:val="18"/>
        </w:rPr>
        <w:t xml:space="preserve"> </w:t>
      </w:r>
      <w:r w:rsidRPr="00D56C84">
        <w:rPr>
          <w:sz w:val="18"/>
          <w:szCs w:val="18"/>
        </w:rPr>
        <w:t xml:space="preserve">) </w:t>
      </w:r>
      <w:r w:rsidR="002954AC" w:rsidRPr="00D56C84">
        <w:rPr>
          <w:sz w:val="18"/>
          <w:szCs w:val="18"/>
        </w:rPr>
        <w:t>...</w:t>
      </w:r>
    </w:p>
    <w:p w:rsidR="00112302" w:rsidRPr="00D56C84" w:rsidRDefault="00112302" w:rsidP="00AC3881">
      <w:pPr>
        <w:pStyle w:val="ParaIndent"/>
        <w:ind w:left="1985"/>
        <w:jc w:val="both"/>
        <w:rPr>
          <w:sz w:val="18"/>
          <w:szCs w:val="18"/>
        </w:rPr>
      </w:pPr>
      <w:bookmarkStart w:id="105" w:name="GS20@Gs1@Hpe@EN"/>
      <w:bookmarkEnd w:id="105"/>
      <w:r w:rsidRPr="00D56C84">
        <w:rPr>
          <w:sz w:val="18"/>
          <w:szCs w:val="18"/>
        </w:rPr>
        <w:t xml:space="preserve">(e) </w:t>
      </w:r>
      <w:proofErr w:type="gramStart"/>
      <w:r w:rsidRPr="00D56C84">
        <w:rPr>
          <w:sz w:val="18"/>
          <w:szCs w:val="18"/>
        </w:rPr>
        <w:t>to</w:t>
      </w:r>
      <w:proofErr w:type="gramEnd"/>
      <w:r w:rsidRPr="00D56C84">
        <w:rPr>
          <w:sz w:val="18"/>
          <w:szCs w:val="18"/>
        </w:rPr>
        <w:t xml:space="preserve"> provide for the health, safety and welfare of the community;</w:t>
      </w:r>
    </w:p>
    <w:p w:rsidR="002954AC" w:rsidRPr="00D56C84" w:rsidRDefault="00810CC3" w:rsidP="00AC3881">
      <w:pPr>
        <w:pStyle w:val="ParaIndent"/>
        <w:spacing w:after="60"/>
        <w:jc w:val="both"/>
      </w:pPr>
      <w:bookmarkStart w:id="106" w:name="GS20@Gs1@Hpf@EN"/>
      <w:bookmarkEnd w:id="106"/>
      <w:r w:rsidRPr="00D56C84">
        <w:t>Nonetheless</w:t>
      </w:r>
      <w:r w:rsidR="002954AC" w:rsidRPr="00D56C84">
        <w:t xml:space="preserve">, the Act specifically enables </w:t>
      </w:r>
      <w:r w:rsidR="00100B7C">
        <w:t>c</w:t>
      </w:r>
      <w:r w:rsidR="002954AC" w:rsidRPr="00D56C84">
        <w:t xml:space="preserve">ouncils to collect a service rate for waste management services, </w:t>
      </w:r>
      <w:r w:rsidRPr="00D56C84">
        <w:t>and so</w:t>
      </w:r>
      <w:r w:rsidR="002954AC" w:rsidRPr="00D56C84">
        <w:t xml:space="preserve"> implies local government responsibility for waste management.</w:t>
      </w:r>
    </w:p>
    <w:p w:rsidR="002954AC" w:rsidRPr="00D56C84" w:rsidRDefault="002954AC" w:rsidP="00AC3881">
      <w:pPr>
        <w:pStyle w:val="ParaIndent"/>
        <w:spacing w:after="60"/>
        <w:ind w:firstLine="567"/>
        <w:jc w:val="both"/>
        <w:rPr>
          <w:b/>
          <w:sz w:val="18"/>
          <w:szCs w:val="18"/>
        </w:rPr>
      </w:pPr>
      <w:r w:rsidRPr="00D56C84">
        <w:rPr>
          <w:b/>
          <w:sz w:val="18"/>
          <w:szCs w:val="18"/>
        </w:rPr>
        <w:t xml:space="preserve">93 Service rate </w:t>
      </w:r>
    </w:p>
    <w:p w:rsidR="002954AC" w:rsidRPr="00D56C84" w:rsidRDefault="002954AC" w:rsidP="00AC3881">
      <w:pPr>
        <w:pStyle w:val="ParaIndent"/>
        <w:spacing w:after="60"/>
        <w:ind w:left="1701"/>
        <w:jc w:val="both"/>
        <w:rPr>
          <w:sz w:val="18"/>
          <w:szCs w:val="18"/>
        </w:rPr>
      </w:pPr>
      <w:bookmarkStart w:id="107" w:name="GS93@Gs1@EN"/>
      <w:bookmarkEnd w:id="107"/>
      <w:r w:rsidRPr="00D56C84">
        <w:rPr>
          <w:sz w:val="18"/>
          <w:szCs w:val="18"/>
        </w:rPr>
        <w:t>(1) A council may make a service rate for a financial year on rateable land for any, all or a combination of the following services:</w:t>
      </w:r>
      <w:bookmarkStart w:id="108" w:name="GS93@Gs1@Hpa@EN"/>
      <w:bookmarkEnd w:id="108"/>
      <w:r w:rsidRPr="00D56C84">
        <w:rPr>
          <w:sz w:val="18"/>
          <w:szCs w:val="18"/>
        </w:rPr>
        <w:t xml:space="preserve"> </w:t>
      </w:r>
    </w:p>
    <w:p w:rsidR="002954AC" w:rsidRPr="00D56C84" w:rsidRDefault="002954AC" w:rsidP="00AC3881">
      <w:pPr>
        <w:pStyle w:val="ParaIndent"/>
        <w:spacing w:after="60"/>
        <w:ind w:firstLine="567"/>
        <w:jc w:val="both"/>
        <w:rPr>
          <w:sz w:val="18"/>
          <w:szCs w:val="18"/>
        </w:rPr>
      </w:pPr>
      <w:r w:rsidRPr="00D56C84">
        <w:rPr>
          <w:sz w:val="18"/>
          <w:szCs w:val="18"/>
        </w:rPr>
        <w:t xml:space="preserve">( ) </w:t>
      </w:r>
    </w:p>
    <w:p w:rsidR="002954AC" w:rsidRPr="00D56C84" w:rsidRDefault="002954AC" w:rsidP="00AC3881">
      <w:pPr>
        <w:pStyle w:val="ParaIndent"/>
        <w:ind w:firstLine="567"/>
        <w:jc w:val="both"/>
        <w:rPr>
          <w:sz w:val="18"/>
          <w:szCs w:val="18"/>
        </w:rPr>
      </w:pPr>
      <w:bookmarkStart w:id="109" w:name="GS93@Gs1@Hpd@EN"/>
      <w:bookmarkEnd w:id="109"/>
      <w:r w:rsidRPr="00D56C84">
        <w:rPr>
          <w:sz w:val="18"/>
          <w:szCs w:val="18"/>
        </w:rPr>
        <w:t xml:space="preserve">(d) </w:t>
      </w:r>
      <w:proofErr w:type="gramStart"/>
      <w:r w:rsidRPr="00D56C84">
        <w:rPr>
          <w:sz w:val="18"/>
          <w:szCs w:val="18"/>
        </w:rPr>
        <w:t>waste</w:t>
      </w:r>
      <w:proofErr w:type="gramEnd"/>
      <w:r w:rsidRPr="00D56C84">
        <w:rPr>
          <w:sz w:val="18"/>
          <w:szCs w:val="18"/>
        </w:rPr>
        <w:t xml:space="preserve"> management;</w:t>
      </w:r>
    </w:p>
    <w:p w:rsidR="003E7242" w:rsidRPr="00D56C84" w:rsidRDefault="0099625B" w:rsidP="00AC3881">
      <w:pPr>
        <w:pStyle w:val="ParaIndent"/>
        <w:keepNext/>
        <w:spacing w:after="60"/>
        <w:jc w:val="both"/>
      </w:pPr>
      <w:bookmarkStart w:id="110" w:name="GS93@Gs1@Hpe@EN"/>
      <w:bookmarkEnd w:id="110"/>
      <w:r w:rsidRPr="00D56C84">
        <w:t xml:space="preserve">The </w:t>
      </w:r>
      <w:r w:rsidRPr="00355D4C">
        <w:rPr>
          <w:i/>
        </w:rPr>
        <w:t>Tasmanian Waste and Resource Management Strategy 2009</w:t>
      </w:r>
      <w:r w:rsidR="003E7242" w:rsidRPr="00D56C84">
        <w:t xml:space="preserve"> </w:t>
      </w:r>
      <w:r w:rsidR="00810CC3" w:rsidRPr="00D56C84">
        <w:t>list</w:t>
      </w:r>
      <w:r w:rsidR="003E7242" w:rsidRPr="00D56C84">
        <w:t xml:space="preserve"> the roles and responsibilities of local government in implementing the strategy.</w:t>
      </w:r>
    </w:p>
    <w:p w:rsidR="003E7242" w:rsidRPr="00D56C84" w:rsidRDefault="003E7242" w:rsidP="00AC3881">
      <w:pPr>
        <w:pStyle w:val="ParaIndent"/>
        <w:keepNext/>
        <w:spacing w:after="60"/>
        <w:ind w:left="1701"/>
        <w:jc w:val="both"/>
        <w:rPr>
          <w:b/>
          <w:sz w:val="18"/>
          <w:szCs w:val="18"/>
        </w:rPr>
      </w:pPr>
      <w:r w:rsidRPr="00D56C84">
        <w:rPr>
          <w:b/>
          <w:sz w:val="18"/>
          <w:szCs w:val="18"/>
        </w:rPr>
        <w:t>Roles and Responsibilities in Implementing the Tasmanian Waste &amp; Resource Management Strategy</w:t>
      </w:r>
    </w:p>
    <w:p w:rsidR="003E7242" w:rsidRPr="00D56C84" w:rsidRDefault="003E7242" w:rsidP="00AC3881">
      <w:pPr>
        <w:pStyle w:val="ParaIndent"/>
        <w:keepNext/>
        <w:spacing w:after="60"/>
        <w:ind w:left="1701"/>
        <w:jc w:val="both"/>
        <w:rPr>
          <w:sz w:val="18"/>
          <w:szCs w:val="18"/>
        </w:rPr>
      </w:pPr>
      <w:r w:rsidRPr="00D56C84">
        <w:rPr>
          <w:sz w:val="18"/>
          <w:szCs w:val="18"/>
        </w:rPr>
        <w:t>Local Govt &amp; Regions</w:t>
      </w:r>
    </w:p>
    <w:p w:rsidR="003E7242" w:rsidRPr="00D56C84" w:rsidRDefault="003E7242" w:rsidP="00AC3881">
      <w:pPr>
        <w:pStyle w:val="ParaIndent"/>
        <w:spacing w:after="60"/>
        <w:ind w:left="1701"/>
        <w:jc w:val="both"/>
        <w:rPr>
          <w:sz w:val="18"/>
          <w:szCs w:val="18"/>
        </w:rPr>
      </w:pPr>
      <w:r w:rsidRPr="00D56C84">
        <w:rPr>
          <w:sz w:val="18"/>
          <w:szCs w:val="18"/>
        </w:rPr>
        <w:t>• implement regional waste management strategies in line with the objectives of the Tasmanian Strategy</w:t>
      </w:r>
    </w:p>
    <w:p w:rsidR="003E7242" w:rsidRPr="00D56C84" w:rsidRDefault="003E7242" w:rsidP="00AC3881">
      <w:pPr>
        <w:pStyle w:val="ParaIndent"/>
        <w:spacing w:after="60"/>
        <w:ind w:left="1701"/>
        <w:jc w:val="both"/>
        <w:rPr>
          <w:sz w:val="18"/>
          <w:szCs w:val="18"/>
        </w:rPr>
      </w:pPr>
      <w:r w:rsidRPr="00D56C84">
        <w:rPr>
          <w:sz w:val="18"/>
          <w:szCs w:val="18"/>
        </w:rPr>
        <w:t>• ensure adverse environmental impacts arising from the generation &amp; management of waste are minimised and/or appropriately managed</w:t>
      </w:r>
    </w:p>
    <w:p w:rsidR="003E7242" w:rsidRPr="00D56C84" w:rsidRDefault="003E7242" w:rsidP="00AC3881">
      <w:pPr>
        <w:pStyle w:val="ParaIndent"/>
        <w:spacing w:after="60"/>
        <w:ind w:left="1701"/>
        <w:jc w:val="both"/>
        <w:rPr>
          <w:sz w:val="18"/>
          <w:szCs w:val="18"/>
        </w:rPr>
      </w:pPr>
      <w:r w:rsidRPr="00D56C84">
        <w:rPr>
          <w:sz w:val="18"/>
          <w:szCs w:val="18"/>
        </w:rPr>
        <w:t>• develop cooperative partnerships across all levels of government, business &amp; the community to better address waste &amp; resource management &amp; to implement initiatives</w:t>
      </w:r>
    </w:p>
    <w:p w:rsidR="003E7242" w:rsidRPr="00D56C84" w:rsidRDefault="003E7242" w:rsidP="00AC3881">
      <w:pPr>
        <w:pStyle w:val="ParaIndent"/>
        <w:spacing w:after="60"/>
        <w:ind w:left="1701"/>
        <w:jc w:val="both"/>
        <w:rPr>
          <w:sz w:val="18"/>
          <w:szCs w:val="18"/>
        </w:rPr>
      </w:pPr>
      <w:r w:rsidRPr="00D56C84">
        <w:rPr>
          <w:sz w:val="18"/>
          <w:szCs w:val="18"/>
        </w:rPr>
        <w:t>• provide appropriate information regarding waste &amp; recycling to the wider community</w:t>
      </w:r>
    </w:p>
    <w:p w:rsidR="003E7242" w:rsidRPr="00D56C84" w:rsidRDefault="003E7242" w:rsidP="00AC3881">
      <w:pPr>
        <w:pStyle w:val="ParaIndent"/>
        <w:spacing w:after="60"/>
        <w:ind w:left="1701"/>
        <w:jc w:val="both"/>
        <w:rPr>
          <w:sz w:val="18"/>
          <w:szCs w:val="18"/>
        </w:rPr>
      </w:pPr>
      <w:r w:rsidRPr="00D56C84">
        <w:rPr>
          <w:sz w:val="18"/>
          <w:szCs w:val="18"/>
        </w:rPr>
        <w:t>• provide environmentally, economically &amp; socially sustainable waste &amp; recycling services to local communities</w:t>
      </w:r>
    </w:p>
    <w:p w:rsidR="003E7242" w:rsidRPr="00D56C84" w:rsidRDefault="003E7242" w:rsidP="00AC3881">
      <w:pPr>
        <w:pStyle w:val="ParaIndent"/>
        <w:spacing w:after="60"/>
        <w:ind w:left="1701"/>
        <w:jc w:val="both"/>
        <w:rPr>
          <w:sz w:val="18"/>
          <w:szCs w:val="18"/>
        </w:rPr>
      </w:pPr>
      <w:r w:rsidRPr="00D56C84">
        <w:rPr>
          <w:sz w:val="18"/>
          <w:szCs w:val="18"/>
        </w:rPr>
        <w:t>• encourage and implement sustainable construction, development &amp; product design to minimise waste</w:t>
      </w:r>
    </w:p>
    <w:p w:rsidR="003E7242" w:rsidRPr="00D56C84" w:rsidRDefault="003E7242" w:rsidP="00AC3881">
      <w:pPr>
        <w:pStyle w:val="ParaIndent"/>
        <w:spacing w:after="60"/>
        <w:ind w:left="1701"/>
        <w:jc w:val="both"/>
        <w:rPr>
          <w:sz w:val="18"/>
          <w:szCs w:val="18"/>
        </w:rPr>
      </w:pPr>
      <w:r w:rsidRPr="00D56C84">
        <w:rPr>
          <w:sz w:val="18"/>
          <w:szCs w:val="18"/>
        </w:rPr>
        <w:t>• provide advisory &amp; educational services &amp; engage with industry &amp; the community to increase awareness of waste issues &amp; implementation of sustainable behaviours</w:t>
      </w:r>
    </w:p>
    <w:p w:rsidR="003E7242" w:rsidRPr="00D56C84" w:rsidRDefault="003E7242" w:rsidP="00AC3881">
      <w:pPr>
        <w:pStyle w:val="ParaIndent"/>
        <w:spacing w:after="60"/>
        <w:ind w:left="1701"/>
        <w:jc w:val="both"/>
        <w:rPr>
          <w:sz w:val="18"/>
          <w:szCs w:val="18"/>
        </w:rPr>
      </w:pPr>
      <w:r w:rsidRPr="00D56C84">
        <w:rPr>
          <w:sz w:val="18"/>
          <w:szCs w:val="18"/>
        </w:rPr>
        <w:lastRenderedPageBreak/>
        <w:t>• develop Action plans for waste reduction, reuse &amp; recycling programs, and waste-specific or region specific strategies for priority waste streams</w:t>
      </w:r>
    </w:p>
    <w:p w:rsidR="003E7242" w:rsidRPr="00D56C84" w:rsidRDefault="003E7242" w:rsidP="00AC3881">
      <w:pPr>
        <w:pStyle w:val="ParaIndent"/>
        <w:spacing w:after="60"/>
        <w:ind w:left="1701"/>
        <w:jc w:val="both"/>
        <w:rPr>
          <w:sz w:val="18"/>
          <w:szCs w:val="18"/>
        </w:rPr>
      </w:pPr>
      <w:r w:rsidRPr="00D56C84">
        <w:rPr>
          <w:sz w:val="18"/>
          <w:szCs w:val="18"/>
        </w:rPr>
        <w:t>• develop &amp; implement waste management plans for government business</w:t>
      </w:r>
    </w:p>
    <w:p w:rsidR="003E7242" w:rsidRPr="00D56C84" w:rsidRDefault="003E7242" w:rsidP="00AC3881">
      <w:pPr>
        <w:pStyle w:val="ParaIndent"/>
        <w:spacing w:after="60"/>
        <w:ind w:left="1701"/>
        <w:jc w:val="both"/>
        <w:rPr>
          <w:sz w:val="18"/>
          <w:szCs w:val="18"/>
        </w:rPr>
      </w:pPr>
      <w:r w:rsidRPr="00D56C84">
        <w:rPr>
          <w:sz w:val="18"/>
          <w:szCs w:val="18"/>
        </w:rPr>
        <w:t>• establish data collection systems to accurately report on the amount, source &amp; type of waste &amp; recyclables generated</w:t>
      </w:r>
    </w:p>
    <w:p w:rsidR="0099625B" w:rsidRPr="00D56C84" w:rsidRDefault="003E7242" w:rsidP="00AC3881">
      <w:pPr>
        <w:pStyle w:val="ParaIndent"/>
        <w:ind w:left="1701"/>
        <w:jc w:val="both"/>
        <w:rPr>
          <w:sz w:val="18"/>
          <w:szCs w:val="18"/>
        </w:rPr>
      </w:pPr>
      <w:r w:rsidRPr="00D56C84">
        <w:rPr>
          <w:sz w:val="18"/>
          <w:szCs w:val="18"/>
        </w:rPr>
        <w:t xml:space="preserve">• as data becomes available, work with stakeholders to develop waste reduction goals &amp; targets </w:t>
      </w:r>
      <w:r w:rsidR="0099625B" w:rsidRPr="00D56C84">
        <w:rPr>
          <w:sz w:val="18"/>
          <w:szCs w:val="18"/>
        </w:rPr>
        <w:t>implement regional waste management strategies in line with the objectives of the Tasmanian Strategy</w:t>
      </w:r>
      <w:r w:rsidR="00742B69">
        <w:rPr>
          <w:sz w:val="18"/>
          <w:szCs w:val="18"/>
        </w:rPr>
        <w:t>.</w:t>
      </w:r>
    </w:p>
    <w:p w:rsidR="000132BD" w:rsidRPr="00D56C84" w:rsidRDefault="000132BD" w:rsidP="00AC3881">
      <w:pPr>
        <w:pStyle w:val="ParaIndent"/>
        <w:jc w:val="both"/>
      </w:pPr>
      <w:r w:rsidRPr="00D56C84">
        <w:t xml:space="preserve">Operators of municipal landfill, which are in </w:t>
      </w:r>
      <w:r w:rsidR="00BF44B3">
        <w:t>all</w:t>
      </w:r>
      <w:r w:rsidRPr="00D56C84">
        <w:t xml:space="preserve"> cases local government</w:t>
      </w:r>
      <w:r w:rsidR="00BF44B3">
        <w:t>s in Tasmania</w:t>
      </w:r>
      <w:r w:rsidRPr="00D56C84">
        <w:t>, have data reporting obligations imposed on them through the issue of an Environment Protection Notice. This data reporting must be done in accordance with the Tasmanian Solid Waste Classifications, which are based on the Australian Waste Database.</w:t>
      </w:r>
      <w:r w:rsidR="00942505" w:rsidRPr="00D56C84">
        <w:t xml:space="preserve"> The EPA provides a spreadsheet for data entry.</w:t>
      </w:r>
    </w:p>
    <w:p w:rsidR="00587A10" w:rsidRPr="00D56C84" w:rsidRDefault="00D37A8B" w:rsidP="00AC3881">
      <w:pPr>
        <w:pStyle w:val="ParaIndent"/>
        <w:jc w:val="both"/>
      </w:pPr>
      <w:r w:rsidRPr="00D56C84">
        <w:t>Many</w:t>
      </w:r>
      <w:r w:rsidR="00587A10" w:rsidRPr="00D56C84">
        <w:t xml:space="preserve"> recycling and </w:t>
      </w:r>
      <w:r w:rsidRPr="00D56C84">
        <w:t>organic waste treatment</w:t>
      </w:r>
      <w:r w:rsidR="00587A10" w:rsidRPr="00D56C84">
        <w:t xml:space="preserve"> facilities are </w:t>
      </w:r>
      <w:r w:rsidR="00942505" w:rsidRPr="00D56C84">
        <w:t xml:space="preserve">located </w:t>
      </w:r>
      <w:r w:rsidR="00587A10" w:rsidRPr="00D56C84">
        <w:t>at landfill</w:t>
      </w:r>
      <w:r w:rsidR="00942505" w:rsidRPr="00D56C84">
        <w:t xml:space="preserve">s, and </w:t>
      </w:r>
      <w:r w:rsidR="00587A10" w:rsidRPr="00D56C84">
        <w:t xml:space="preserve">some </w:t>
      </w:r>
      <w:r w:rsidR="00942505" w:rsidRPr="00D56C84">
        <w:t xml:space="preserve">of the related resource recovery information </w:t>
      </w:r>
      <w:r w:rsidR="00587A10" w:rsidRPr="00D56C84">
        <w:t>gets reported with the landfill data.</w:t>
      </w:r>
    </w:p>
    <w:p w:rsidR="000020A4" w:rsidRPr="00D56C84" w:rsidRDefault="00942505" w:rsidP="00AC3881">
      <w:pPr>
        <w:pStyle w:val="ParaIndent"/>
        <w:jc w:val="both"/>
      </w:pPr>
      <w:r w:rsidRPr="00D56C84">
        <w:t>There is a voluntary $2/tonne landfill ‘levy’ in Tasmania, which is designed to fund waste management programs and activities implemented by regional waste management authorities.</w:t>
      </w:r>
    </w:p>
    <w:p w:rsidR="004430D1" w:rsidRPr="00D56C84" w:rsidRDefault="004B377E" w:rsidP="00AC3881">
      <w:pPr>
        <w:pStyle w:val="ParaIndent"/>
        <w:jc w:val="both"/>
      </w:pPr>
      <w:r w:rsidRPr="00D56C84">
        <w:t>Aggregated d</w:t>
      </w:r>
      <w:r w:rsidR="004430D1" w:rsidRPr="00D56C84">
        <w:t>ata on the amount of municipal waste landfilled and recycled is contained in the EPA’s Annual Report.</w:t>
      </w:r>
    </w:p>
    <w:p w:rsidR="00AA187D" w:rsidRPr="00D56C84" w:rsidRDefault="00AA187D" w:rsidP="00AA187D">
      <w:pPr>
        <w:pStyle w:val="Heading2"/>
      </w:pPr>
      <w:bookmarkStart w:id="111" w:name="_Toc307470458"/>
      <w:r w:rsidRPr="00D56C84">
        <w:t>Groupings</w:t>
      </w:r>
      <w:r w:rsidR="00085D2C" w:rsidRPr="00085D2C">
        <w:t xml:space="preserve"> </w:t>
      </w:r>
      <w:r w:rsidR="00085D2C">
        <w:t>in Tasmania</w:t>
      </w:r>
      <w:bookmarkEnd w:id="111"/>
    </w:p>
    <w:p w:rsidR="008C3594" w:rsidRPr="00D56C84" w:rsidRDefault="00A64C69" w:rsidP="008C3594">
      <w:pPr>
        <w:pStyle w:val="Heading3"/>
      </w:pPr>
      <w:r w:rsidRPr="00D56C84">
        <w:t>Regional waste bodies</w:t>
      </w:r>
    </w:p>
    <w:p w:rsidR="00AF5F99" w:rsidRPr="00D56C84" w:rsidRDefault="00AF5F99" w:rsidP="00AC3881">
      <w:pPr>
        <w:pStyle w:val="ParaIndent"/>
        <w:jc w:val="both"/>
      </w:pPr>
      <w:r w:rsidRPr="00D56C84">
        <w:t xml:space="preserve">There are three regional waste bodies in Tasmania, covering </w:t>
      </w:r>
      <w:r w:rsidR="002F0E9D" w:rsidRPr="00D56C84">
        <w:t>96% of the state’s population and 79% of the state’s land area.</w:t>
      </w:r>
    </w:p>
    <w:p w:rsidR="002F0E9D" w:rsidRPr="00D56C84" w:rsidRDefault="002F0E9D" w:rsidP="00AC3881">
      <w:pPr>
        <w:pStyle w:val="ParaIndent"/>
        <w:jc w:val="both"/>
      </w:pPr>
      <w:r w:rsidRPr="00D56C84">
        <w:t xml:space="preserve">The Cradle Coast Authority, in the </w:t>
      </w:r>
      <w:r w:rsidR="00942505" w:rsidRPr="00D56C84">
        <w:t>n</w:t>
      </w:r>
      <w:r w:rsidRPr="00D56C84">
        <w:t>orth-</w:t>
      </w:r>
      <w:r w:rsidR="00942505" w:rsidRPr="00D56C84">
        <w:t>w</w:t>
      </w:r>
      <w:r w:rsidRPr="00D56C84">
        <w:t xml:space="preserve">est and </w:t>
      </w:r>
      <w:r w:rsidR="00942505" w:rsidRPr="00D56C84">
        <w:t>w</w:t>
      </w:r>
      <w:r w:rsidRPr="00D56C84">
        <w:t>estern Tasmania, is a joint authority created to coordinate economic development across member LGAs. Included in the remit of the authority are regional initiatives, including Local Government services and waste management.</w:t>
      </w:r>
    </w:p>
    <w:p w:rsidR="002F0E9D" w:rsidRPr="00D56C84" w:rsidRDefault="002F0E9D" w:rsidP="00AC3881">
      <w:pPr>
        <w:pStyle w:val="ParaIndent"/>
        <w:jc w:val="both"/>
      </w:pPr>
      <w:r w:rsidRPr="00D56C84">
        <w:t>The Northern Tasmanian Waste Management Group was formed by the Northern Regions Councils to “deliver improvements in waste reduction and resource recovery, regional cooperation and coordination, waste management policy and service delivery and community education and marketing.”</w:t>
      </w:r>
      <w:r w:rsidRPr="00D56C84">
        <w:rPr>
          <w:rStyle w:val="FootnoteReference"/>
        </w:rPr>
        <w:footnoteReference w:id="20"/>
      </w:r>
    </w:p>
    <w:p w:rsidR="002F0E9D" w:rsidRPr="00D56C84" w:rsidRDefault="002F0E9D" w:rsidP="00AC3881">
      <w:pPr>
        <w:pStyle w:val="ParaIndent"/>
        <w:jc w:val="both"/>
      </w:pPr>
      <w:r w:rsidRPr="00D56C84">
        <w:t xml:space="preserve">The Southern Waste Strategy Authority was established by southern Tasmanian Councils to implement </w:t>
      </w:r>
      <w:r w:rsidR="004D0EE1" w:rsidRPr="00D56C84">
        <w:t>a</w:t>
      </w:r>
      <w:r w:rsidRPr="00D56C84">
        <w:t xml:space="preserve"> comprehensive Waste Management Strategy for the area.</w:t>
      </w:r>
    </w:p>
    <w:p w:rsidR="00AF5F99" w:rsidRPr="00D56C84" w:rsidRDefault="00AF5F99" w:rsidP="00AC3881">
      <w:pPr>
        <w:pStyle w:val="ParaIndent"/>
        <w:jc w:val="both"/>
      </w:pPr>
      <w:proofErr w:type="spellStart"/>
      <w:r w:rsidRPr="00D56C84">
        <w:t>Taswaste</w:t>
      </w:r>
      <w:proofErr w:type="spellEnd"/>
      <w:r w:rsidRPr="00D56C84">
        <w:t xml:space="preserve"> is a consortium of </w:t>
      </w:r>
      <w:r w:rsidR="00A64C69" w:rsidRPr="00D56C84">
        <w:t xml:space="preserve">all three </w:t>
      </w:r>
      <w:r w:rsidRPr="00D56C84">
        <w:t>regional waste bodies</w:t>
      </w:r>
      <w:r w:rsidR="004D0EE1" w:rsidRPr="00D56C84">
        <w:t>, which</w:t>
      </w:r>
      <w:r w:rsidR="00A64C69" w:rsidRPr="00D56C84">
        <w:t xml:space="preserve"> provides </w:t>
      </w:r>
      <w:r w:rsidR="00D95FE7" w:rsidRPr="00D56C84">
        <w:t>state-wide</w:t>
      </w:r>
      <w:r w:rsidR="00A64C69" w:rsidRPr="00D56C84">
        <w:t xml:space="preserve"> programs to assist in their functions.</w:t>
      </w:r>
    </w:p>
    <w:p w:rsidR="00A64C69" w:rsidRPr="00D56C84" w:rsidRDefault="00ED6CA0" w:rsidP="00AC3881">
      <w:pPr>
        <w:pStyle w:val="ParaIndent"/>
        <w:jc w:val="both"/>
      </w:pPr>
      <w:fldSimple w:instr=" REF _Ref297109960 \h  \* MERGEFORMAT ">
        <w:r w:rsidR="00166111" w:rsidRPr="00D56C84">
          <w:t xml:space="preserve">Table </w:t>
        </w:r>
        <w:r w:rsidR="00166111">
          <w:rPr>
            <w:noProof/>
          </w:rPr>
          <w:t>11</w:t>
        </w:r>
        <w:r w:rsidR="00166111" w:rsidRPr="00D56C84">
          <w:rPr>
            <w:noProof/>
          </w:rPr>
          <w:t>-</w:t>
        </w:r>
        <w:r w:rsidR="00166111">
          <w:rPr>
            <w:noProof/>
          </w:rPr>
          <w:t>31</w:t>
        </w:r>
      </w:fldSimple>
      <w:r w:rsidR="00D95FE7" w:rsidRPr="00D56C84">
        <w:t xml:space="preserve"> </w:t>
      </w:r>
      <w:r w:rsidR="00A64C69" w:rsidRPr="00D56C84">
        <w:t>provides a list of the member councils of the three regional waste bodies</w:t>
      </w:r>
      <w:r w:rsidR="004D0EE1" w:rsidRPr="00D56C84">
        <w:t xml:space="preserve"> in Tasmania</w:t>
      </w:r>
      <w:r w:rsidR="00A64C69" w:rsidRPr="00D56C84">
        <w:t>, the population and the population density of the areas.</w:t>
      </w:r>
    </w:p>
    <w:p w:rsidR="00D95FE7" w:rsidRPr="00D56C84" w:rsidRDefault="00D95FE7" w:rsidP="00D95FE7">
      <w:pPr>
        <w:pStyle w:val="Caption"/>
      </w:pPr>
      <w:bookmarkStart w:id="112" w:name="_Ref297109960"/>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11</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31</w:t>
      </w:r>
      <w:r w:rsidR="00ED6CA0">
        <w:rPr>
          <w:noProof/>
        </w:rPr>
        <w:fldChar w:fldCharType="end"/>
      </w:r>
      <w:bookmarkEnd w:id="112"/>
      <w:r w:rsidRPr="00D56C84">
        <w:tab/>
      </w:r>
      <w:r w:rsidRPr="00D56C84">
        <w:rPr>
          <w:rFonts w:cs="Arial"/>
        </w:rPr>
        <w:t>Regional waste bodies in Tasmania</w:t>
      </w:r>
    </w:p>
    <w:tbl>
      <w:tblPr>
        <w:tblW w:w="8505" w:type="dxa"/>
        <w:tblInd w:w="1134" w:type="dxa"/>
        <w:tblBorders>
          <w:bottom w:val="single" w:sz="18" w:space="0" w:color="808080"/>
          <w:insideH w:val="single" w:sz="4" w:space="0" w:color="808080"/>
        </w:tblBorders>
        <w:tblLayout w:type="fixed"/>
        <w:tblCellMar>
          <w:left w:w="0" w:type="dxa"/>
          <w:right w:w="113" w:type="dxa"/>
        </w:tblCellMar>
        <w:tblLook w:val="04A0"/>
      </w:tblPr>
      <w:tblGrid>
        <w:gridCol w:w="1560"/>
        <w:gridCol w:w="4536"/>
        <w:gridCol w:w="1241"/>
        <w:gridCol w:w="1168"/>
      </w:tblGrid>
      <w:tr w:rsidR="00434014" w:rsidRPr="00D56C84" w:rsidTr="00BF44B3">
        <w:trPr>
          <w:trHeight w:val="227"/>
        </w:trPr>
        <w:tc>
          <w:tcPr>
            <w:tcW w:w="1560" w:type="dxa"/>
            <w:shd w:val="clear" w:color="auto" w:fill="auto"/>
            <w:noWrap/>
            <w:vAlign w:val="center"/>
            <w:hideMark/>
          </w:tcPr>
          <w:p w:rsidR="00434014" w:rsidRPr="00D56C84" w:rsidRDefault="00A64C69" w:rsidP="00434014">
            <w:pPr>
              <w:pStyle w:val="TableHeading"/>
              <w:rPr>
                <w:lang w:eastAsia="en-AU"/>
              </w:rPr>
            </w:pPr>
            <w:r w:rsidRPr="00D56C84">
              <w:rPr>
                <w:lang w:eastAsia="en-AU"/>
              </w:rPr>
              <w:t>Regional waste bodies</w:t>
            </w:r>
          </w:p>
        </w:tc>
        <w:tc>
          <w:tcPr>
            <w:tcW w:w="4536" w:type="dxa"/>
            <w:shd w:val="clear" w:color="auto" w:fill="auto"/>
            <w:noWrap/>
            <w:vAlign w:val="center"/>
            <w:hideMark/>
          </w:tcPr>
          <w:p w:rsidR="00434014" w:rsidRPr="00D56C84" w:rsidRDefault="00434014" w:rsidP="00434014">
            <w:pPr>
              <w:pStyle w:val="TableHeading"/>
              <w:rPr>
                <w:lang w:eastAsia="en-AU"/>
              </w:rPr>
            </w:pPr>
            <w:r w:rsidRPr="00D56C84">
              <w:rPr>
                <w:lang w:eastAsia="en-AU"/>
              </w:rPr>
              <w:t>Member LGAs</w:t>
            </w:r>
          </w:p>
        </w:tc>
        <w:tc>
          <w:tcPr>
            <w:tcW w:w="1241" w:type="dxa"/>
            <w:vAlign w:val="center"/>
          </w:tcPr>
          <w:p w:rsidR="00434014" w:rsidRPr="00D56C84" w:rsidRDefault="00434014" w:rsidP="00434014">
            <w:pPr>
              <w:pStyle w:val="TableHeading"/>
              <w:jc w:val="right"/>
              <w:rPr>
                <w:lang w:eastAsia="en-AU"/>
              </w:rPr>
            </w:pPr>
            <w:r w:rsidRPr="00D56C84">
              <w:rPr>
                <w:lang w:eastAsia="en-AU"/>
              </w:rPr>
              <w:t>Population</w:t>
            </w:r>
            <w:r w:rsidR="00BF44B3">
              <w:rPr>
                <w:rStyle w:val="FootnoteReference"/>
                <w:lang w:eastAsia="en-AU"/>
              </w:rPr>
              <w:footnoteReference w:id="21"/>
            </w:r>
          </w:p>
        </w:tc>
        <w:tc>
          <w:tcPr>
            <w:tcW w:w="1168" w:type="dxa"/>
            <w:vAlign w:val="center"/>
          </w:tcPr>
          <w:p w:rsidR="00434014" w:rsidRPr="00D56C84" w:rsidRDefault="00434014" w:rsidP="00434014">
            <w:pPr>
              <w:pStyle w:val="TableHeading"/>
              <w:jc w:val="right"/>
              <w:rPr>
                <w:lang w:eastAsia="en-AU"/>
              </w:rPr>
            </w:pPr>
            <w:r w:rsidRPr="00D56C84">
              <w:rPr>
                <w:lang w:eastAsia="en-AU"/>
              </w:rPr>
              <w:t>Population density (/km</w:t>
            </w:r>
            <w:r w:rsidRPr="00D56C84">
              <w:rPr>
                <w:vertAlign w:val="superscript"/>
                <w:lang w:eastAsia="en-AU"/>
              </w:rPr>
              <w:t>2</w:t>
            </w:r>
            <w:r w:rsidRPr="00D56C84">
              <w:rPr>
                <w:lang w:eastAsia="en-AU"/>
              </w:rPr>
              <w:t>)</w:t>
            </w:r>
          </w:p>
        </w:tc>
      </w:tr>
      <w:tr w:rsidR="00355D4C" w:rsidRPr="00355D4C" w:rsidTr="00BF44B3">
        <w:trPr>
          <w:trHeight w:val="227"/>
        </w:trPr>
        <w:tc>
          <w:tcPr>
            <w:tcW w:w="1560" w:type="dxa"/>
            <w:shd w:val="clear" w:color="auto" w:fill="auto"/>
            <w:noWrap/>
            <w:vAlign w:val="center"/>
            <w:hideMark/>
          </w:tcPr>
          <w:p w:rsidR="00355D4C" w:rsidRPr="00D56C84" w:rsidRDefault="00355D4C" w:rsidP="00434014">
            <w:pPr>
              <w:pStyle w:val="TableText"/>
              <w:keepNext/>
              <w:rPr>
                <w:lang w:eastAsia="en-AU"/>
              </w:rPr>
            </w:pPr>
            <w:r w:rsidRPr="00D56C84">
              <w:rPr>
                <w:lang w:eastAsia="en-AU"/>
              </w:rPr>
              <w:t>Cradle Coast Authority</w:t>
            </w:r>
          </w:p>
        </w:tc>
        <w:tc>
          <w:tcPr>
            <w:tcW w:w="4536" w:type="dxa"/>
            <w:shd w:val="clear" w:color="auto" w:fill="auto"/>
            <w:noWrap/>
            <w:vAlign w:val="center"/>
            <w:hideMark/>
          </w:tcPr>
          <w:p w:rsidR="00355D4C" w:rsidRPr="00D56C84" w:rsidRDefault="00355D4C" w:rsidP="00434014">
            <w:pPr>
              <w:pStyle w:val="TableText"/>
              <w:keepNext/>
              <w:rPr>
                <w:lang w:eastAsia="en-AU"/>
              </w:rPr>
            </w:pPr>
            <w:r w:rsidRPr="00D56C84">
              <w:rPr>
                <w:lang w:eastAsia="en-AU"/>
              </w:rPr>
              <w:t>Burnie (C), Central Coast (M), Circular Head (M), Devonport (C), Kentish (M), Latrobe (M)</w:t>
            </w:r>
          </w:p>
        </w:tc>
        <w:tc>
          <w:tcPr>
            <w:tcW w:w="1241" w:type="dxa"/>
            <w:vAlign w:val="center"/>
          </w:tcPr>
          <w:p w:rsidR="00355D4C" w:rsidRPr="00D56C84" w:rsidRDefault="00355D4C" w:rsidP="00434014">
            <w:pPr>
              <w:pStyle w:val="TableText"/>
              <w:keepNext/>
              <w:jc w:val="right"/>
              <w:rPr>
                <w:lang w:eastAsia="en-AU"/>
              </w:rPr>
            </w:pPr>
            <w:r w:rsidRPr="00D56C84">
              <w:rPr>
                <w:lang w:eastAsia="en-AU"/>
              </w:rPr>
              <w:t>91,324</w:t>
            </w:r>
          </w:p>
        </w:tc>
        <w:tc>
          <w:tcPr>
            <w:tcW w:w="1168" w:type="dxa"/>
            <w:vAlign w:val="center"/>
          </w:tcPr>
          <w:p w:rsidR="00355D4C" w:rsidRPr="00D56C84" w:rsidRDefault="008C4900" w:rsidP="00434014">
            <w:pPr>
              <w:pStyle w:val="TableText"/>
              <w:keepNext/>
              <w:jc w:val="right"/>
              <w:rPr>
                <w:lang w:eastAsia="en-AU"/>
              </w:rPr>
            </w:pPr>
            <w:r>
              <w:rPr>
                <w:lang w:eastAsia="en-AU"/>
              </w:rPr>
              <w:t>0</w:t>
            </w:r>
            <w:r w:rsidR="00355D4C" w:rsidRPr="00355D4C">
              <w:rPr>
                <w:lang w:eastAsia="en-AU"/>
              </w:rPr>
              <w:t xml:space="preserve">.4 </w:t>
            </w:r>
          </w:p>
        </w:tc>
      </w:tr>
      <w:tr w:rsidR="00355D4C" w:rsidRPr="00355D4C" w:rsidTr="00BF44B3">
        <w:trPr>
          <w:trHeight w:val="227"/>
        </w:trPr>
        <w:tc>
          <w:tcPr>
            <w:tcW w:w="1560" w:type="dxa"/>
            <w:tcBorders>
              <w:bottom w:val="single" w:sz="4" w:space="0" w:color="808080"/>
            </w:tcBorders>
            <w:shd w:val="clear" w:color="auto" w:fill="auto"/>
            <w:noWrap/>
            <w:vAlign w:val="center"/>
            <w:hideMark/>
          </w:tcPr>
          <w:p w:rsidR="00355D4C" w:rsidRPr="00D56C84" w:rsidRDefault="00355D4C" w:rsidP="00434014">
            <w:pPr>
              <w:pStyle w:val="TableText"/>
              <w:keepNext/>
              <w:rPr>
                <w:lang w:eastAsia="en-AU"/>
              </w:rPr>
            </w:pPr>
            <w:r w:rsidRPr="00D56C84">
              <w:rPr>
                <w:lang w:eastAsia="en-AU"/>
              </w:rPr>
              <w:t>Northern Tasmania Waste Management</w:t>
            </w:r>
          </w:p>
        </w:tc>
        <w:tc>
          <w:tcPr>
            <w:tcW w:w="4536" w:type="dxa"/>
            <w:tcBorders>
              <w:bottom w:val="single" w:sz="4" w:space="0" w:color="808080"/>
            </w:tcBorders>
            <w:shd w:val="clear" w:color="auto" w:fill="auto"/>
            <w:noWrap/>
            <w:vAlign w:val="center"/>
            <w:hideMark/>
          </w:tcPr>
          <w:p w:rsidR="00355D4C" w:rsidRPr="00D56C84" w:rsidRDefault="00355D4C" w:rsidP="00434014">
            <w:pPr>
              <w:pStyle w:val="TableText"/>
              <w:keepNext/>
              <w:rPr>
                <w:lang w:eastAsia="en-AU"/>
              </w:rPr>
            </w:pPr>
            <w:r w:rsidRPr="00D56C84">
              <w:rPr>
                <w:lang w:eastAsia="en-AU"/>
              </w:rPr>
              <w:t xml:space="preserve">Break </w:t>
            </w:r>
            <w:proofErr w:type="spellStart"/>
            <w:r w:rsidRPr="00D56C84">
              <w:rPr>
                <w:lang w:eastAsia="en-AU"/>
              </w:rPr>
              <w:t>O'Day</w:t>
            </w:r>
            <w:proofErr w:type="spellEnd"/>
            <w:r w:rsidRPr="00D56C84">
              <w:rPr>
                <w:lang w:eastAsia="en-AU"/>
              </w:rPr>
              <w:t xml:space="preserve"> (M), Dorset (M), Flinders (M), George Town (M), Launceston (C), Meander Valley (M), Northern Midlands (M), West Tamar (M)</w:t>
            </w:r>
          </w:p>
        </w:tc>
        <w:tc>
          <w:tcPr>
            <w:tcW w:w="1241" w:type="dxa"/>
            <w:tcBorders>
              <w:bottom w:val="single" w:sz="4" w:space="0" w:color="808080"/>
            </w:tcBorders>
            <w:vAlign w:val="center"/>
          </w:tcPr>
          <w:p w:rsidR="00355D4C" w:rsidRPr="00D56C84" w:rsidRDefault="00355D4C" w:rsidP="00434014">
            <w:pPr>
              <w:pStyle w:val="TableText"/>
              <w:keepNext/>
              <w:jc w:val="right"/>
              <w:rPr>
                <w:lang w:eastAsia="en-AU"/>
              </w:rPr>
            </w:pPr>
            <w:r w:rsidRPr="00D56C84">
              <w:rPr>
                <w:lang w:eastAsia="en-AU"/>
              </w:rPr>
              <w:t>141,434</w:t>
            </w:r>
          </w:p>
        </w:tc>
        <w:tc>
          <w:tcPr>
            <w:tcW w:w="1168" w:type="dxa"/>
            <w:tcBorders>
              <w:bottom w:val="single" w:sz="4" w:space="0" w:color="808080"/>
            </w:tcBorders>
            <w:vAlign w:val="center"/>
          </w:tcPr>
          <w:p w:rsidR="00355D4C" w:rsidRPr="00D56C84" w:rsidRDefault="00355D4C" w:rsidP="00355D4C">
            <w:pPr>
              <w:pStyle w:val="TableText"/>
              <w:keepNext/>
              <w:jc w:val="right"/>
              <w:rPr>
                <w:lang w:eastAsia="en-AU"/>
              </w:rPr>
            </w:pPr>
            <w:r w:rsidRPr="00355D4C">
              <w:rPr>
                <w:lang w:eastAsia="en-AU"/>
              </w:rPr>
              <w:t xml:space="preserve">1.9 </w:t>
            </w:r>
          </w:p>
        </w:tc>
      </w:tr>
      <w:tr w:rsidR="00355D4C" w:rsidRPr="00355D4C" w:rsidTr="00BF44B3">
        <w:trPr>
          <w:trHeight w:val="227"/>
        </w:trPr>
        <w:tc>
          <w:tcPr>
            <w:tcW w:w="1560" w:type="dxa"/>
            <w:tcBorders>
              <w:top w:val="single" w:sz="4" w:space="0" w:color="808080"/>
              <w:bottom w:val="single" w:sz="4" w:space="0" w:color="808080"/>
            </w:tcBorders>
            <w:shd w:val="clear" w:color="auto" w:fill="auto"/>
            <w:noWrap/>
            <w:vAlign w:val="center"/>
            <w:hideMark/>
          </w:tcPr>
          <w:p w:rsidR="00355D4C" w:rsidRPr="00D56C84" w:rsidRDefault="00355D4C" w:rsidP="00AF5F99">
            <w:pPr>
              <w:pStyle w:val="TableText"/>
              <w:rPr>
                <w:lang w:eastAsia="en-AU"/>
              </w:rPr>
            </w:pPr>
            <w:r w:rsidRPr="00D56C84">
              <w:rPr>
                <w:lang w:eastAsia="en-AU"/>
              </w:rPr>
              <w:t>Southern Waste Strategy Authority</w:t>
            </w:r>
          </w:p>
        </w:tc>
        <w:tc>
          <w:tcPr>
            <w:tcW w:w="4536" w:type="dxa"/>
            <w:tcBorders>
              <w:top w:val="single" w:sz="4" w:space="0" w:color="808080"/>
              <w:bottom w:val="single" w:sz="4" w:space="0" w:color="808080"/>
            </w:tcBorders>
            <w:shd w:val="clear" w:color="auto" w:fill="auto"/>
            <w:noWrap/>
            <w:vAlign w:val="center"/>
            <w:hideMark/>
          </w:tcPr>
          <w:p w:rsidR="00355D4C" w:rsidRPr="00D56C84" w:rsidRDefault="00355D4C" w:rsidP="00434014">
            <w:pPr>
              <w:pStyle w:val="TableText"/>
              <w:rPr>
                <w:lang w:eastAsia="en-AU"/>
              </w:rPr>
            </w:pPr>
            <w:r w:rsidRPr="00D56C84">
              <w:rPr>
                <w:lang w:eastAsia="en-AU"/>
              </w:rPr>
              <w:t xml:space="preserve">Brighton (M), Central Highlands (M), Clarence (C), Derwent Valley (M), Glamorgan/Spring Bay (M), Glenorchy (C), Hobart (C), Huon Valley (M), </w:t>
            </w:r>
            <w:proofErr w:type="spellStart"/>
            <w:r w:rsidRPr="00D56C84">
              <w:rPr>
                <w:lang w:eastAsia="en-AU"/>
              </w:rPr>
              <w:t>Kingborough</w:t>
            </w:r>
            <w:proofErr w:type="spellEnd"/>
            <w:r w:rsidRPr="00D56C84">
              <w:rPr>
                <w:lang w:eastAsia="en-AU"/>
              </w:rPr>
              <w:t xml:space="preserve"> (M), Sorell (M), Southern Midlands (M), Tasman (M)</w:t>
            </w:r>
          </w:p>
        </w:tc>
        <w:tc>
          <w:tcPr>
            <w:tcW w:w="1241" w:type="dxa"/>
            <w:tcBorders>
              <w:top w:val="single" w:sz="4" w:space="0" w:color="808080"/>
              <w:bottom w:val="single" w:sz="4" w:space="0" w:color="808080"/>
            </w:tcBorders>
            <w:vAlign w:val="center"/>
          </w:tcPr>
          <w:p w:rsidR="00355D4C" w:rsidRPr="00D56C84" w:rsidRDefault="00355D4C" w:rsidP="00434014">
            <w:pPr>
              <w:pStyle w:val="TableText"/>
              <w:jc w:val="right"/>
              <w:rPr>
                <w:lang w:eastAsia="en-AU"/>
              </w:rPr>
            </w:pPr>
            <w:r w:rsidRPr="00D56C84">
              <w:rPr>
                <w:lang w:eastAsia="en-AU"/>
              </w:rPr>
              <w:t>249,475</w:t>
            </w:r>
          </w:p>
        </w:tc>
        <w:tc>
          <w:tcPr>
            <w:tcW w:w="1168" w:type="dxa"/>
            <w:tcBorders>
              <w:top w:val="single" w:sz="4" w:space="0" w:color="808080"/>
              <w:bottom w:val="single" w:sz="4" w:space="0" w:color="808080"/>
            </w:tcBorders>
            <w:vAlign w:val="center"/>
          </w:tcPr>
          <w:p w:rsidR="00355D4C" w:rsidRPr="00D56C84" w:rsidRDefault="00355D4C" w:rsidP="00355D4C">
            <w:pPr>
              <w:pStyle w:val="TableText"/>
              <w:keepNext/>
              <w:jc w:val="right"/>
              <w:rPr>
                <w:lang w:eastAsia="en-AU"/>
              </w:rPr>
            </w:pPr>
            <w:r w:rsidRPr="00355D4C">
              <w:rPr>
                <w:lang w:eastAsia="en-AU"/>
              </w:rPr>
              <w:t xml:space="preserve">1.7 </w:t>
            </w:r>
          </w:p>
        </w:tc>
      </w:tr>
    </w:tbl>
    <w:p w:rsidR="00AA187D" w:rsidRPr="00D56C84" w:rsidRDefault="00AA187D" w:rsidP="00161A53">
      <w:pPr>
        <w:pStyle w:val="Heading2"/>
        <w:spacing w:before="240" w:after="120"/>
      </w:pPr>
      <w:bookmarkStart w:id="113" w:name="_Toc307470459"/>
      <w:r w:rsidRPr="00D56C84">
        <w:t>Information pathways</w:t>
      </w:r>
      <w:r w:rsidR="00085D2C" w:rsidRPr="00085D2C">
        <w:t xml:space="preserve"> </w:t>
      </w:r>
      <w:r w:rsidR="00085D2C">
        <w:t>in Tasmania</w:t>
      </w:r>
      <w:bookmarkEnd w:id="113"/>
    </w:p>
    <w:p w:rsidR="00A2099B" w:rsidRPr="00D56C84" w:rsidRDefault="00A2099B" w:rsidP="00AC3881">
      <w:pPr>
        <w:ind w:left="1134"/>
        <w:jc w:val="both"/>
      </w:pPr>
      <w:r w:rsidRPr="00D56C84">
        <w:t xml:space="preserve">In Tasmania the operators of municipal landfills have data reporting obligations imposed on them through the issue of an Environment Protection Notice. This includes local government landfill operators. This data reporting must be undertaken in accordance with the Tasmanian Solid Waste Classifications, which are based on the Australian Waste Database. The EPA provides a spreadsheet for data entry. </w:t>
      </w:r>
    </w:p>
    <w:p w:rsidR="00A2099B" w:rsidRPr="00D56C84" w:rsidRDefault="00A2099B" w:rsidP="00AC3881">
      <w:pPr>
        <w:ind w:left="1134"/>
        <w:jc w:val="both"/>
      </w:pPr>
      <w:r w:rsidRPr="00D56C84">
        <w:t>Many recycling and organic waste treatment facilities are located at landfills, and some of the related resource recovery information is reported with the landfill data.</w:t>
      </w:r>
    </w:p>
    <w:p w:rsidR="00A2099B" w:rsidRPr="00D56C84" w:rsidRDefault="00A2099B" w:rsidP="00AC3881">
      <w:pPr>
        <w:ind w:left="1134"/>
        <w:jc w:val="both"/>
      </w:pPr>
      <w:r w:rsidRPr="00D56C84">
        <w:t>There is a voluntary $2/tonne landfill ‘levy’ in Tasmania, which is designed to fund waste management programs and activities implemented by regional waste management authorities.</w:t>
      </w:r>
    </w:p>
    <w:p w:rsidR="00A2099B" w:rsidRPr="00D56C84" w:rsidRDefault="00A2099B" w:rsidP="00AC3881">
      <w:pPr>
        <w:ind w:left="1134"/>
        <w:jc w:val="both"/>
      </w:pPr>
      <w:r w:rsidRPr="00D56C84">
        <w:t>Aggregated data on the amount of municipal waste landfilled and recycled is contained in the EPA Annual Report.</w:t>
      </w:r>
    </w:p>
    <w:p w:rsidR="00A2099B" w:rsidRPr="00D56C84" w:rsidRDefault="00A2099B" w:rsidP="00A2099B">
      <w:pPr>
        <w:pStyle w:val="Heading3"/>
      </w:pPr>
      <w:r w:rsidRPr="00D56C84">
        <w:t>Regional Waste Bodies</w:t>
      </w:r>
    </w:p>
    <w:p w:rsidR="00A2099B" w:rsidRPr="00D56C84" w:rsidRDefault="00A2099B" w:rsidP="00FB541F">
      <w:pPr>
        <w:ind w:left="1134"/>
        <w:jc w:val="both"/>
      </w:pPr>
      <w:r w:rsidRPr="00D56C84">
        <w:t xml:space="preserve">Some information is also collected by the three regional waste bodies in Tasmania. Cradle Coast Authority’s 2010–2011 Annual </w:t>
      </w:r>
      <w:proofErr w:type="gramStart"/>
      <w:r w:rsidRPr="00D56C84">
        <w:t>Plan</w:t>
      </w:r>
      <w:proofErr w:type="gramEnd"/>
      <w:r w:rsidRPr="00D56C84">
        <w:t xml:space="preserve"> reported on the tonnes of recyclables collected in each member council through kerbside collection services introduced in April 2009.</w:t>
      </w:r>
    </w:p>
    <w:p w:rsidR="00A2099B" w:rsidRPr="00D56C84" w:rsidRDefault="00A2099B" w:rsidP="00FB541F">
      <w:pPr>
        <w:ind w:left="1134"/>
        <w:jc w:val="both"/>
      </w:pPr>
      <w:r w:rsidRPr="00D56C84">
        <w:t>In the past, the Southern Waste Strategy Authority (SWSA) has collected data from its member councils via a local government survey, although response rates were low, with datasets often incomplete and of questionable quality, as reported in the</w:t>
      </w:r>
      <w:r w:rsidRPr="00D56C84">
        <w:rPr>
          <w:i/>
        </w:rPr>
        <w:t xml:space="preserve"> Southern Waste Strategy Authority Performance Measurement Report 2005</w:t>
      </w:r>
      <w:r w:rsidRPr="00D56C84">
        <w:t>.</w:t>
      </w:r>
    </w:p>
    <w:p w:rsidR="00A2099B" w:rsidRPr="00D56C84" w:rsidRDefault="00A2099B" w:rsidP="00FB541F">
      <w:pPr>
        <w:ind w:left="1134"/>
        <w:jc w:val="both"/>
        <w:rPr>
          <w:i/>
        </w:rPr>
      </w:pPr>
      <w:r w:rsidRPr="00D56C84">
        <w:t>The SWSA had also designed a regional database, visiting member councils on an annual basis to update the data. The data remained incomplete in 2005, particularly with respect to the recovery of recyclables, and, while reports on the SWSA’s Performance Measurement program have been published in the past, these are not currently available to the public. Some aggregated data has be</w:t>
      </w:r>
      <w:r w:rsidR="0093095F" w:rsidRPr="00D56C84">
        <w:t xml:space="preserve">en recently published in SWSA report, </w:t>
      </w:r>
      <w:r w:rsidRPr="00D56C84">
        <w:rPr>
          <w:i/>
        </w:rPr>
        <w:t>Waste Management 2020 and beyond.</w:t>
      </w:r>
    </w:p>
    <w:p w:rsidR="0093095F" w:rsidRPr="00D56C84" w:rsidRDefault="0093095F" w:rsidP="00FB541F">
      <w:pPr>
        <w:pStyle w:val="Heading3"/>
        <w:jc w:val="both"/>
      </w:pPr>
      <w:r w:rsidRPr="00D56C84">
        <w:lastRenderedPageBreak/>
        <w:t>Local government reporting</w:t>
      </w:r>
    </w:p>
    <w:p w:rsidR="0093095F" w:rsidRPr="00D56C84" w:rsidRDefault="0093095F" w:rsidP="00FB541F">
      <w:pPr>
        <w:pStyle w:val="ParaIndent"/>
        <w:jc w:val="both"/>
        <w:rPr>
          <w:vertAlign w:val="superscript"/>
        </w:rPr>
      </w:pPr>
      <w:r w:rsidRPr="00D56C84">
        <w:t xml:space="preserve">The Local Government Division (LGD) is based within the Tasmanian Department of Premier and Cabinet. Through the </w:t>
      </w:r>
      <w:r w:rsidRPr="00BF44B3">
        <w:rPr>
          <w:i/>
        </w:rPr>
        <w:t>Measuring Council Performance in Tasmania</w:t>
      </w:r>
      <w:r w:rsidRPr="00D56C84">
        <w:t xml:space="preserve"> initiative the LGD collates data from 29 councils across a range of performance measures, which include waste management</w:t>
      </w:r>
      <w:r w:rsidR="00742B69">
        <w:t>.</w:t>
      </w:r>
      <w:r w:rsidRPr="00D56C84">
        <w:rPr>
          <w:vertAlign w:val="superscript"/>
        </w:rPr>
        <w:footnoteReference w:id="22"/>
      </w:r>
    </w:p>
    <w:p w:rsidR="0093095F" w:rsidRPr="00D56C84" w:rsidRDefault="004458CB" w:rsidP="00FB541F">
      <w:pPr>
        <w:pStyle w:val="ParaIndent"/>
        <w:jc w:val="both"/>
      </w:pPr>
      <w:r w:rsidRPr="00D56C84">
        <w:rPr>
          <w:rFonts w:cs="Arial"/>
          <w:color w:val="000000"/>
        </w:rPr>
        <w:t xml:space="preserve">As is the case in </w:t>
      </w:r>
      <w:r w:rsidR="0093095F" w:rsidRPr="00D56C84">
        <w:rPr>
          <w:rFonts w:cs="Arial"/>
          <w:color w:val="000000"/>
        </w:rPr>
        <w:t xml:space="preserve">several other </w:t>
      </w:r>
      <w:r w:rsidRPr="00D56C84">
        <w:rPr>
          <w:rFonts w:cs="Arial"/>
          <w:color w:val="000000"/>
        </w:rPr>
        <w:t>jurisdictions</w:t>
      </w:r>
      <w:r w:rsidR="0093095F" w:rsidRPr="00D56C84">
        <w:rPr>
          <w:rFonts w:cs="Arial"/>
          <w:color w:val="000000"/>
        </w:rPr>
        <w:t xml:space="preserve">, the </w:t>
      </w:r>
      <w:r w:rsidRPr="00D56C84">
        <w:rPr>
          <w:rFonts w:cs="Arial"/>
          <w:color w:val="000000"/>
        </w:rPr>
        <w:t xml:space="preserve">Tasmanian </w:t>
      </w:r>
      <w:r w:rsidR="0093095F" w:rsidRPr="00D56C84">
        <w:rPr>
          <w:rFonts w:cs="Arial"/>
        </w:rPr>
        <w:t>DLG</w:t>
      </w:r>
      <w:r w:rsidR="0093095F" w:rsidRPr="00D56C84">
        <w:rPr>
          <w:rFonts w:cs="Arial"/>
          <w:color w:val="000000"/>
        </w:rPr>
        <w:t xml:space="preserve"> </w:t>
      </w:r>
      <w:r w:rsidRPr="00D56C84">
        <w:rPr>
          <w:rFonts w:cs="Arial"/>
          <w:color w:val="000000"/>
        </w:rPr>
        <w:t>has</w:t>
      </w:r>
      <w:r w:rsidR="0093095F" w:rsidRPr="00D56C84">
        <w:rPr>
          <w:rFonts w:cs="Arial"/>
          <w:color w:val="000000"/>
        </w:rPr>
        <w:t xml:space="preserve"> developed a data collection instrument </w:t>
      </w:r>
      <w:r w:rsidRPr="00D56C84">
        <w:rPr>
          <w:rFonts w:cs="Arial"/>
          <w:color w:val="000000"/>
        </w:rPr>
        <w:t>that</w:t>
      </w:r>
      <w:r w:rsidR="0093095F" w:rsidRPr="00D56C84">
        <w:rPr>
          <w:rFonts w:cs="Arial"/>
          <w:color w:val="000000"/>
        </w:rPr>
        <w:t xml:space="preserve"> standardises the requirements of the ABS, the S</w:t>
      </w:r>
      <w:r w:rsidRPr="00D56C84">
        <w:rPr>
          <w:rFonts w:cs="Arial"/>
          <w:color w:val="000000"/>
        </w:rPr>
        <w:t xml:space="preserve">tate </w:t>
      </w:r>
      <w:r w:rsidR="0093095F" w:rsidRPr="00D56C84">
        <w:rPr>
          <w:rFonts w:cs="Arial"/>
          <w:color w:val="000000"/>
        </w:rPr>
        <w:t>G</w:t>
      </w:r>
      <w:r w:rsidRPr="00D56C84">
        <w:rPr>
          <w:rFonts w:cs="Arial"/>
          <w:color w:val="000000"/>
        </w:rPr>
        <w:t>rants Commission</w:t>
      </w:r>
      <w:r w:rsidR="0093095F" w:rsidRPr="00D56C84">
        <w:rPr>
          <w:rFonts w:cs="Arial"/>
          <w:color w:val="000000"/>
        </w:rPr>
        <w:t xml:space="preserve">, and includes the department’s annual performance indicator collection. Councils submit </w:t>
      </w:r>
      <w:r w:rsidR="0093095F" w:rsidRPr="00D56C84">
        <w:t xml:space="preserve">data across a range of performance measures, which includes information on waste management expenditure and costs. A copy of the </w:t>
      </w:r>
      <w:r w:rsidR="0093095F" w:rsidRPr="00D56C84">
        <w:rPr>
          <w:rFonts w:cs="Arial"/>
          <w:color w:val="000000"/>
        </w:rPr>
        <w:t xml:space="preserve">data collection instrument is appended. </w:t>
      </w:r>
    </w:p>
    <w:p w:rsidR="0093095F" w:rsidRPr="00D56C84" w:rsidRDefault="0093095F" w:rsidP="00FB541F">
      <w:pPr>
        <w:pStyle w:val="ParaIndent"/>
        <w:jc w:val="both"/>
      </w:pPr>
      <w:r w:rsidRPr="00D56C84">
        <w:t>In September 2009, a review of the Measuring Council Performance in Tasmania (KPI) project was announced. The intention of the review was to examine the KPI project and the future data collection requirements in relation to the local government sector. The committee was expected to provide its advice to Government by 30 June 2010</w:t>
      </w:r>
      <w:r w:rsidRPr="00D56C84">
        <w:rPr>
          <w:vertAlign w:val="superscript"/>
        </w:rPr>
        <w:footnoteReference w:id="23"/>
      </w:r>
      <w:r w:rsidRPr="00D56C84">
        <w:t xml:space="preserve">. The Department of Premier and Cabinet website does not have any updated information since this date. </w:t>
      </w:r>
    </w:p>
    <w:p w:rsidR="00386248" w:rsidRDefault="0093095F" w:rsidP="00FB541F">
      <w:pPr>
        <w:pStyle w:val="ParaIndent"/>
        <w:jc w:val="both"/>
      </w:pPr>
      <w:r w:rsidRPr="00D56C84">
        <w:t xml:space="preserve">The last published </w:t>
      </w:r>
      <w:r w:rsidRPr="00D56C84">
        <w:rPr>
          <w:i/>
        </w:rPr>
        <w:t>Measuring Council Performance in Tasmania 2007</w:t>
      </w:r>
      <w:r w:rsidR="00742B69">
        <w:rPr>
          <w:i/>
        </w:rPr>
        <w:t>–</w:t>
      </w:r>
      <w:r w:rsidRPr="00D56C84">
        <w:rPr>
          <w:i/>
        </w:rPr>
        <w:t>2008</w:t>
      </w:r>
      <w:r w:rsidRPr="00D56C84">
        <w:t xml:space="preserve"> report has data for local government on 49 key performance indicators. For waste management</w:t>
      </w:r>
      <w:r w:rsidR="00742B69">
        <w:t>,</w:t>
      </w:r>
      <w:r w:rsidRPr="00D56C84">
        <w:t xml:space="preserve"> two indicators are defined</w:t>
      </w:r>
      <w:r w:rsidR="004458CB" w:rsidRPr="00D56C84">
        <w:t>,</w:t>
      </w:r>
      <w:r w:rsidRPr="00D56C84">
        <w:t xml:space="preserve"> as outlined in </w:t>
      </w:r>
      <w:fldSimple w:instr=" REF _Ref302139037 \h  \* MERGEFORMAT ">
        <w:r w:rsidR="00166111" w:rsidRPr="00D56C84">
          <w:t xml:space="preserve">Table </w:t>
        </w:r>
        <w:r w:rsidR="00166111">
          <w:rPr>
            <w:noProof/>
          </w:rPr>
          <w:t>11</w:t>
        </w:r>
        <w:r w:rsidR="00166111" w:rsidRPr="00D56C84">
          <w:rPr>
            <w:noProof/>
          </w:rPr>
          <w:t>-</w:t>
        </w:r>
        <w:r w:rsidR="00166111">
          <w:rPr>
            <w:noProof/>
          </w:rPr>
          <w:t>32</w:t>
        </w:r>
      </w:fldSimple>
      <w:r w:rsidRPr="00D56C84">
        <w:t xml:space="preserve">. </w:t>
      </w:r>
    </w:p>
    <w:p w:rsidR="00386248" w:rsidRDefault="00386248">
      <w:pPr>
        <w:spacing w:after="0" w:line="240" w:lineRule="auto"/>
        <w:ind w:left="0"/>
      </w:pPr>
      <w:r>
        <w:br w:type="page"/>
      </w:r>
    </w:p>
    <w:p w:rsidR="0093095F" w:rsidRPr="00D56C84" w:rsidRDefault="0093095F" w:rsidP="0093095F">
      <w:pPr>
        <w:pStyle w:val="Caption"/>
      </w:pPr>
      <w:bookmarkStart w:id="114" w:name="_Ref302139037"/>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11</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32</w:t>
      </w:r>
      <w:r w:rsidR="00ED6CA0">
        <w:rPr>
          <w:noProof/>
        </w:rPr>
        <w:fldChar w:fldCharType="end"/>
      </w:r>
      <w:bookmarkEnd w:id="114"/>
      <w:r w:rsidRPr="00D56C84">
        <w:tab/>
        <w:t>Waste management performance indicators</w:t>
      </w:r>
    </w:p>
    <w:tbl>
      <w:tblPr>
        <w:tblW w:w="8505" w:type="dxa"/>
        <w:tblInd w:w="1134" w:type="dxa"/>
        <w:tblBorders>
          <w:bottom w:val="single" w:sz="4" w:space="0" w:color="808080"/>
          <w:insideH w:val="single" w:sz="4" w:space="0" w:color="808080"/>
        </w:tblBorders>
        <w:tblLayout w:type="fixed"/>
        <w:tblCellMar>
          <w:left w:w="0" w:type="dxa"/>
          <w:right w:w="0" w:type="dxa"/>
        </w:tblCellMar>
        <w:tblLook w:val="04A0"/>
      </w:tblPr>
      <w:tblGrid>
        <w:gridCol w:w="1283"/>
        <w:gridCol w:w="3611"/>
        <w:gridCol w:w="3611"/>
      </w:tblGrid>
      <w:tr w:rsidR="0093095F" w:rsidRPr="00D56C84" w:rsidTr="004458CB">
        <w:tc>
          <w:tcPr>
            <w:tcW w:w="1283" w:type="dxa"/>
            <w:shd w:val="clear" w:color="auto" w:fill="auto"/>
          </w:tcPr>
          <w:p w:rsidR="0093095F" w:rsidRPr="00D56C84" w:rsidRDefault="0093095F" w:rsidP="004458CB">
            <w:pPr>
              <w:pStyle w:val="TableHeading"/>
              <w:rPr>
                <w:rFonts w:cs="Arial"/>
              </w:rPr>
            </w:pPr>
            <w:r w:rsidRPr="00D56C84">
              <w:rPr>
                <w:rFonts w:cs="Arial"/>
              </w:rPr>
              <w:t>Indicator</w:t>
            </w:r>
          </w:p>
        </w:tc>
        <w:tc>
          <w:tcPr>
            <w:tcW w:w="3611" w:type="dxa"/>
            <w:shd w:val="clear" w:color="auto" w:fill="auto"/>
          </w:tcPr>
          <w:p w:rsidR="0093095F" w:rsidRPr="00D56C84" w:rsidRDefault="0093095F" w:rsidP="004458CB">
            <w:pPr>
              <w:pStyle w:val="TableHeading"/>
              <w:rPr>
                <w:rFonts w:cs="Arial"/>
              </w:rPr>
            </w:pPr>
            <w:r w:rsidRPr="00D56C84">
              <w:rPr>
                <w:rFonts w:cs="Arial"/>
              </w:rPr>
              <w:t xml:space="preserve">Average cost of waste management per property </w:t>
            </w:r>
          </w:p>
        </w:tc>
        <w:tc>
          <w:tcPr>
            <w:tcW w:w="3611" w:type="dxa"/>
            <w:shd w:val="clear" w:color="auto" w:fill="auto"/>
          </w:tcPr>
          <w:p w:rsidR="0093095F" w:rsidRPr="00D56C84" w:rsidRDefault="0093095F" w:rsidP="004458CB">
            <w:pPr>
              <w:pStyle w:val="TableHeading"/>
              <w:rPr>
                <w:rFonts w:cs="Arial"/>
              </w:rPr>
            </w:pPr>
            <w:r w:rsidRPr="00D56C84">
              <w:rPr>
                <w:rFonts w:cs="Arial"/>
              </w:rPr>
              <w:t>Average cost of waste management per capita</w:t>
            </w:r>
          </w:p>
        </w:tc>
      </w:tr>
      <w:tr w:rsidR="0093095F" w:rsidRPr="00D56C84" w:rsidTr="004458CB">
        <w:tc>
          <w:tcPr>
            <w:tcW w:w="1283" w:type="dxa"/>
            <w:shd w:val="clear" w:color="auto" w:fill="auto"/>
          </w:tcPr>
          <w:p w:rsidR="0093095F" w:rsidRPr="00D56C84" w:rsidRDefault="0093095F" w:rsidP="004458CB">
            <w:pPr>
              <w:pStyle w:val="TableText"/>
              <w:rPr>
                <w:rFonts w:cs="Arial"/>
              </w:rPr>
            </w:pPr>
            <w:r w:rsidRPr="00D56C84">
              <w:rPr>
                <w:rFonts w:cs="Arial"/>
              </w:rPr>
              <w:t>Objective</w:t>
            </w:r>
          </w:p>
        </w:tc>
        <w:tc>
          <w:tcPr>
            <w:tcW w:w="7222" w:type="dxa"/>
            <w:gridSpan w:val="2"/>
            <w:shd w:val="clear" w:color="auto" w:fill="auto"/>
            <w:vAlign w:val="bottom"/>
          </w:tcPr>
          <w:p w:rsidR="0093095F" w:rsidRPr="00D56C84" w:rsidRDefault="0093095F" w:rsidP="004458CB">
            <w:pPr>
              <w:pStyle w:val="TableText"/>
              <w:rPr>
                <w:rFonts w:cs="Arial"/>
                <w:szCs w:val="18"/>
                <w:lang w:eastAsia="en-AU"/>
              </w:rPr>
            </w:pPr>
            <w:r w:rsidRPr="00D56C84">
              <w:rPr>
                <w:rFonts w:cs="Arial"/>
                <w:szCs w:val="18"/>
                <w:lang w:eastAsia="en-AU"/>
              </w:rPr>
              <w:t>Reliable waste management system with efficient and effective operations and environmentally acceptable treatment</w:t>
            </w:r>
          </w:p>
        </w:tc>
      </w:tr>
      <w:tr w:rsidR="0093095F" w:rsidRPr="00D56C84" w:rsidTr="004458CB">
        <w:trPr>
          <w:trHeight w:val="1118"/>
        </w:trPr>
        <w:tc>
          <w:tcPr>
            <w:tcW w:w="1283" w:type="dxa"/>
            <w:shd w:val="clear" w:color="auto" w:fill="auto"/>
          </w:tcPr>
          <w:p w:rsidR="0093095F" w:rsidRPr="00D56C84" w:rsidRDefault="0093095F" w:rsidP="004458CB">
            <w:pPr>
              <w:pStyle w:val="TableText"/>
              <w:rPr>
                <w:rFonts w:cs="Arial"/>
              </w:rPr>
            </w:pPr>
            <w:r w:rsidRPr="00D56C84">
              <w:rPr>
                <w:rFonts w:cs="Arial"/>
              </w:rPr>
              <w:t>Indicator calculation</w:t>
            </w:r>
          </w:p>
        </w:tc>
        <w:tc>
          <w:tcPr>
            <w:tcW w:w="3611" w:type="dxa"/>
            <w:shd w:val="clear" w:color="auto" w:fill="auto"/>
            <w:vAlign w:val="center"/>
          </w:tcPr>
          <w:p w:rsidR="0093095F" w:rsidRPr="00D56C84" w:rsidRDefault="0093095F" w:rsidP="004458CB">
            <w:pPr>
              <w:pStyle w:val="TableText"/>
              <w:rPr>
                <w:rFonts w:cs="Arial"/>
                <w:szCs w:val="18"/>
                <w:lang w:eastAsia="en-AU"/>
              </w:rPr>
            </w:pPr>
            <w:r w:rsidRPr="00D56C84">
              <w:rPr>
                <w:rFonts w:cs="Arial"/>
                <w:szCs w:val="18"/>
                <w:lang w:eastAsia="en-AU"/>
              </w:rPr>
              <w:t>Total operating expenses of waste management</w:t>
            </w:r>
          </w:p>
          <w:p w:rsidR="0093095F" w:rsidRPr="00D56C84" w:rsidRDefault="0093095F" w:rsidP="004458CB">
            <w:pPr>
              <w:pStyle w:val="TableText"/>
              <w:rPr>
                <w:rFonts w:cs="Arial"/>
                <w:szCs w:val="18"/>
                <w:lang w:eastAsia="en-AU"/>
              </w:rPr>
            </w:pPr>
            <w:r w:rsidRPr="00D56C84">
              <w:rPr>
                <w:rFonts w:cs="Arial"/>
                <w:szCs w:val="18"/>
                <w:lang w:eastAsia="en-AU"/>
              </w:rPr>
              <w:t>No. of rateable properties</w:t>
            </w:r>
          </w:p>
          <w:p w:rsidR="0093095F" w:rsidRPr="00D56C84" w:rsidRDefault="0093095F" w:rsidP="004458CB">
            <w:pPr>
              <w:pStyle w:val="TableText"/>
              <w:rPr>
                <w:rFonts w:cs="Arial"/>
                <w:szCs w:val="18"/>
                <w:lang w:eastAsia="en-AU"/>
              </w:rPr>
            </w:pPr>
          </w:p>
        </w:tc>
        <w:tc>
          <w:tcPr>
            <w:tcW w:w="3611" w:type="dxa"/>
            <w:shd w:val="clear" w:color="auto" w:fill="auto"/>
            <w:vAlign w:val="center"/>
          </w:tcPr>
          <w:p w:rsidR="0093095F" w:rsidRPr="00D56C84" w:rsidRDefault="0093095F" w:rsidP="004458CB">
            <w:pPr>
              <w:pStyle w:val="TableText"/>
              <w:rPr>
                <w:rFonts w:cs="Arial"/>
                <w:szCs w:val="18"/>
                <w:lang w:eastAsia="en-AU"/>
              </w:rPr>
            </w:pPr>
            <w:r w:rsidRPr="00D56C84">
              <w:rPr>
                <w:rFonts w:cs="Arial"/>
                <w:szCs w:val="18"/>
                <w:lang w:eastAsia="en-AU"/>
              </w:rPr>
              <w:t>Total operating expenses of waste management</w:t>
            </w:r>
          </w:p>
          <w:p w:rsidR="0093095F" w:rsidRPr="00D56C84" w:rsidRDefault="0093095F" w:rsidP="004458CB">
            <w:pPr>
              <w:pStyle w:val="TableText"/>
              <w:rPr>
                <w:rFonts w:cs="Arial"/>
                <w:szCs w:val="18"/>
                <w:lang w:eastAsia="en-AU"/>
              </w:rPr>
            </w:pPr>
            <w:r w:rsidRPr="00D56C84">
              <w:rPr>
                <w:rFonts w:cs="Arial"/>
                <w:szCs w:val="18"/>
                <w:lang w:eastAsia="en-AU"/>
              </w:rPr>
              <w:t>Population of Council area</w:t>
            </w:r>
          </w:p>
        </w:tc>
      </w:tr>
      <w:tr w:rsidR="0093095F" w:rsidRPr="00D56C84" w:rsidTr="00BF44B3">
        <w:trPr>
          <w:trHeight w:val="1118"/>
        </w:trPr>
        <w:tc>
          <w:tcPr>
            <w:tcW w:w="1283" w:type="dxa"/>
            <w:shd w:val="clear" w:color="auto" w:fill="auto"/>
          </w:tcPr>
          <w:p w:rsidR="0093095F" w:rsidRPr="00D56C84" w:rsidRDefault="0093095F" w:rsidP="004458CB">
            <w:pPr>
              <w:pStyle w:val="TableText"/>
              <w:rPr>
                <w:rFonts w:cs="Arial"/>
              </w:rPr>
            </w:pPr>
            <w:r w:rsidRPr="00D56C84">
              <w:rPr>
                <w:rFonts w:cs="Arial"/>
              </w:rPr>
              <w:t>Indicator Explanation</w:t>
            </w:r>
          </w:p>
        </w:tc>
        <w:tc>
          <w:tcPr>
            <w:tcW w:w="3611" w:type="dxa"/>
            <w:shd w:val="clear" w:color="auto" w:fill="auto"/>
          </w:tcPr>
          <w:p w:rsidR="0093095F" w:rsidRPr="00D56C84" w:rsidRDefault="0093095F" w:rsidP="00BF44B3">
            <w:pPr>
              <w:pStyle w:val="TableText"/>
              <w:rPr>
                <w:rFonts w:cs="Arial"/>
                <w:szCs w:val="18"/>
                <w:lang w:eastAsia="en-AU"/>
              </w:rPr>
            </w:pPr>
            <w:r w:rsidRPr="00D56C84">
              <w:rPr>
                <w:rFonts w:cs="Arial"/>
                <w:szCs w:val="18"/>
                <w:lang w:eastAsia="en-AU"/>
              </w:rPr>
              <w:t>Average Cost of Waste Management per property: This indicates the average cost of waste management services provided per</w:t>
            </w:r>
            <w:r w:rsidR="00BF44B3">
              <w:rPr>
                <w:rFonts w:cs="Arial"/>
                <w:szCs w:val="18"/>
                <w:lang w:eastAsia="en-AU"/>
              </w:rPr>
              <w:t xml:space="preserve"> p</w:t>
            </w:r>
            <w:r w:rsidRPr="00D56C84">
              <w:rPr>
                <w:rFonts w:cs="Arial"/>
                <w:szCs w:val="18"/>
                <w:lang w:eastAsia="en-AU"/>
              </w:rPr>
              <w:t>roperty</w:t>
            </w:r>
            <w:r w:rsidR="00742B69">
              <w:rPr>
                <w:rFonts w:cs="Arial"/>
                <w:szCs w:val="18"/>
                <w:lang w:eastAsia="en-AU"/>
              </w:rPr>
              <w:t>.</w:t>
            </w:r>
          </w:p>
        </w:tc>
        <w:tc>
          <w:tcPr>
            <w:tcW w:w="3611" w:type="dxa"/>
            <w:shd w:val="clear" w:color="auto" w:fill="auto"/>
            <w:vAlign w:val="center"/>
          </w:tcPr>
          <w:p w:rsidR="0093095F" w:rsidRPr="00D56C84" w:rsidRDefault="0093095F" w:rsidP="00BF44B3">
            <w:pPr>
              <w:pStyle w:val="TableText"/>
              <w:rPr>
                <w:rFonts w:cs="Arial"/>
                <w:szCs w:val="18"/>
                <w:u w:val="single"/>
                <w:lang w:eastAsia="en-AU"/>
              </w:rPr>
            </w:pPr>
            <w:r w:rsidRPr="00D56C84">
              <w:rPr>
                <w:rFonts w:cs="Arial"/>
                <w:szCs w:val="18"/>
                <w:lang w:eastAsia="en-AU"/>
              </w:rPr>
              <w:t>Average Cost of Waste Management per Capita: This indicates the average cost of waste management services provided per</w:t>
            </w:r>
            <w:r w:rsidR="00BF44B3">
              <w:rPr>
                <w:rFonts w:cs="Arial"/>
                <w:szCs w:val="18"/>
                <w:lang w:eastAsia="en-AU"/>
              </w:rPr>
              <w:t xml:space="preserve"> </w:t>
            </w:r>
            <w:r w:rsidRPr="00D56C84">
              <w:rPr>
                <w:rFonts w:cs="Arial"/>
                <w:szCs w:val="18"/>
                <w:lang w:eastAsia="en-AU"/>
              </w:rPr>
              <w:t>head of population. It provides an indication of the scale of the waste management operations</w:t>
            </w:r>
            <w:r w:rsidR="00742B69">
              <w:rPr>
                <w:rFonts w:cs="Arial"/>
                <w:szCs w:val="18"/>
                <w:lang w:eastAsia="en-AU"/>
              </w:rPr>
              <w:t>.</w:t>
            </w:r>
          </w:p>
        </w:tc>
      </w:tr>
      <w:tr w:rsidR="0093095F" w:rsidRPr="00D56C84" w:rsidTr="004458CB">
        <w:tc>
          <w:tcPr>
            <w:tcW w:w="1283" w:type="dxa"/>
            <w:vMerge w:val="restart"/>
            <w:shd w:val="clear" w:color="auto" w:fill="auto"/>
          </w:tcPr>
          <w:p w:rsidR="0093095F" w:rsidRPr="00D56C84" w:rsidRDefault="0093095F" w:rsidP="004458CB">
            <w:pPr>
              <w:pStyle w:val="TableText"/>
              <w:rPr>
                <w:rFonts w:cs="Arial"/>
              </w:rPr>
            </w:pPr>
            <w:r w:rsidRPr="00D56C84">
              <w:rPr>
                <w:rFonts w:cs="Arial"/>
              </w:rPr>
              <w:t>Influencing factors</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type and scale of available disposal facilities</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type and scale of available disposal facilities</w:t>
            </w:r>
          </w:p>
        </w:tc>
      </w:tr>
      <w:tr w:rsidR="0093095F" w:rsidRPr="00D56C84" w:rsidTr="004458CB">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type of recycling services provided</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type of recycling services provided</w:t>
            </w:r>
          </w:p>
        </w:tc>
      </w:tr>
      <w:tr w:rsidR="0093095F" w:rsidRPr="00D56C84" w:rsidTr="004458CB">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frequency and volume allowance for garbage collection</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frequency and volume allowance for garbage collection</w:t>
            </w:r>
          </w:p>
        </w:tc>
      </w:tr>
      <w:tr w:rsidR="0093095F" w:rsidRPr="00D56C84" w:rsidTr="004458CB">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density of population and distance from disposal facility</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density of population and distance from disposal facility</w:t>
            </w:r>
          </w:p>
        </w:tc>
      </w:tr>
      <w:tr w:rsidR="0093095F" w:rsidRPr="00D56C84" w:rsidTr="004458CB">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industrial users of waste management facilities</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industrial users of waste management facilities</w:t>
            </w:r>
          </w:p>
        </w:tc>
      </w:tr>
      <w:tr w:rsidR="0093095F" w:rsidRPr="00D56C84" w:rsidTr="004458CB">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cost allocation policies</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cost allocation policies</w:t>
            </w:r>
          </w:p>
        </w:tc>
      </w:tr>
      <w:tr w:rsidR="0093095F" w:rsidRPr="00D56C84" w:rsidTr="004458CB">
        <w:trPr>
          <w:trHeight w:val="419"/>
        </w:trPr>
        <w:tc>
          <w:tcPr>
            <w:tcW w:w="1283" w:type="dxa"/>
            <w:vMerge/>
            <w:shd w:val="clear" w:color="auto" w:fill="auto"/>
          </w:tcPr>
          <w:p w:rsidR="0093095F" w:rsidRPr="00D56C84" w:rsidRDefault="0093095F" w:rsidP="004458CB">
            <w:pPr>
              <w:pStyle w:val="TableText"/>
              <w:rPr>
                <w:rFonts w:cs="Arial"/>
                <w:b/>
                <w:bCs/>
                <w:lang w:eastAsia="en-AU"/>
              </w:rPr>
            </w:pP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amount of waste received from outside the municipal area</w:t>
            </w:r>
          </w:p>
        </w:tc>
        <w:tc>
          <w:tcPr>
            <w:tcW w:w="3611" w:type="dxa"/>
            <w:shd w:val="clear" w:color="auto" w:fill="auto"/>
          </w:tcPr>
          <w:p w:rsidR="0093095F" w:rsidRPr="00D56C84" w:rsidRDefault="0093095F" w:rsidP="004458CB">
            <w:pPr>
              <w:pStyle w:val="TableText"/>
              <w:rPr>
                <w:rFonts w:cs="Arial"/>
                <w:szCs w:val="18"/>
                <w:lang w:eastAsia="en-AU"/>
              </w:rPr>
            </w:pPr>
            <w:r w:rsidRPr="00D56C84">
              <w:rPr>
                <w:rFonts w:cs="Arial"/>
                <w:szCs w:val="18"/>
                <w:lang w:eastAsia="en-AU"/>
              </w:rPr>
              <w:t>amount of waste received from outside the municipal area</w:t>
            </w:r>
          </w:p>
        </w:tc>
      </w:tr>
    </w:tbl>
    <w:p w:rsidR="0093095F" w:rsidRPr="00D56C84" w:rsidRDefault="0093095F" w:rsidP="0093095F"/>
    <w:p w:rsidR="0093095F" w:rsidRPr="00D56C84" w:rsidRDefault="0093095F" w:rsidP="00FB541F">
      <w:pPr>
        <w:pStyle w:val="ParaIndent"/>
        <w:jc w:val="both"/>
      </w:pPr>
      <w:r w:rsidRPr="00D56C84">
        <w:t xml:space="preserve">On the basis of the parameters for the two waste management indicators, data is provided for each Tasmanian local government in Section 4.4 of the </w:t>
      </w:r>
      <w:r w:rsidRPr="00D56C84">
        <w:rPr>
          <w:i/>
        </w:rPr>
        <w:t>Measuring Council Performance in Tasmania 2007</w:t>
      </w:r>
      <w:r w:rsidR="00742B69">
        <w:rPr>
          <w:i/>
        </w:rPr>
        <w:t>–</w:t>
      </w:r>
      <w:r w:rsidRPr="00D56C84">
        <w:rPr>
          <w:i/>
        </w:rPr>
        <w:t>2008</w:t>
      </w:r>
      <w:r w:rsidRPr="00D56C84">
        <w:t xml:space="preserve"> report from 2002</w:t>
      </w:r>
      <w:r w:rsidR="00742B69">
        <w:rPr>
          <w:rFonts w:cs="Arial"/>
        </w:rPr>
        <w:t>–</w:t>
      </w:r>
      <w:r w:rsidRPr="00D56C84">
        <w:t>03 to 2007</w:t>
      </w:r>
      <w:r w:rsidR="00742B69">
        <w:rPr>
          <w:rFonts w:cs="Arial"/>
        </w:rPr>
        <w:t>–</w:t>
      </w:r>
      <w:r w:rsidRPr="00D56C84">
        <w:t>08, however more recent data has not been made publicly available.</w:t>
      </w:r>
    </w:p>
    <w:p w:rsidR="001F4F2D" w:rsidRPr="00D56C84" w:rsidRDefault="001F4F2D" w:rsidP="001F4F2D">
      <w:pPr>
        <w:pStyle w:val="Heading3"/>
      </w:pPr>
      <w:r w:rsidRPr="00D56C84">
        <w:t>State Grants Commission (SGC)</w:t>
      </w:r>
    </w:p>
    <w:p w:rsidR="001F4F2D" w:rsidRPr="00D56C84" w:rsidRDefault="001F4F2D" w:rsidP="00FB541F">
      <w:pPr>
        <w:pStyle w:val="ParaIndent"/>
        <w:jc w:val="both"/>
      </w:pPr>
      <w:r w:rsidRPr="00D56C84">
        <w:t>The Tasmanian State Grants Commission (SGC) sits within the Department of Treasury and Finance. Like all jurisdictional Grant Commissions, SGC has an applied methodology for its base grant model</w:t>
      </w:r>
      <w:r w:rsidR="00742B69">
        <w:t>.</w:t>
      </w:r>
      <w:r w:rsidRPr="00D56C84">
        <w:rPr>
          <w:rStyle w:val="FootnoteReference"/>
        </w:rPr>
        <w:footnoteReference w:id="24"/>
      </w:r>
      <w:r w:rsidRPr="00D56C84">
        <w:t xml:space="preserve"> The calculation for standardised expenditure for local government in the SGC’s method, addresses a series of expenditure functions, one of which is ‘</w:t>
      </w:r>
      <w:r w:rsidRPr="00D56C84">
        <w:rPr>
          <w:i/>
        </w:rPr>
        <w:t>Waste Management and the Environment</w:t>
      </w:r>
      <w:r w:rsidRPr="00D56C84">
        <w:t>’, which is explained in the following table (</w:t>
      </w:r>
      <w:r w:rsidR="00ED6CA0" w:rsidRPr="00D56C84">
        <w:fldChar w:fldCharType="begin"/>
      </w:r>
      <w:r w:rsidRPr="00D56C84">
        <w:instrText xml:space="preserve"> REF _Ref297116846 \h </w:instrText>
      </w:r>
      <w:r w:rsidR="00ED6CA0" w:rsidRPr="00D56C84">
        <w:fldChar w:fldCharType="separate"/>
      </w:r>
      <w:r w:rsidR="00166111" w:rsidRPr="00D56C84">
        <w:t xml:space="preserve">Table </w:t>
      </w:r>
      <w:r w:rsidR="00166111">
        <w:rPr>
          <w:noProof/>
        </w:rPr>
        <w:t>11</w:t>
      </w:r>
      <w:r w:rsidR="00166111" w:rsidRPr="00D56C84">
        <w:t>-</w:t>
      </w:r>
      <w:r w:rsidR="00166111">
        <w:rPr>
          <w:noProof/>
        </w:rPr>
        <w:t>33</w:t>
      </w:r>
      <w:r w:rsidR="00ED6CA0" w:rsidRPr="00D56C84">
        <w:fldChar w:fldCharType="end"/>
      </w:r>
      <w:r w:rsidRPr="00D56C84">
        <w:t xml:space="preserve">). </w:t>
      </w:r>
    </w:p>
    <w:p w:rsidR="001F4F2D" w:rsidRPr="00D56C84" w:rsidRDefault="001F4F2D" w:rsidP="001F4F2D">
      <w:pPr>
        <w:pStyle w:val="Caption"/>
      </w:pPr>
      <w:bookmarkStart w:id="115" w:name="_Ref297116846"/>
      <w:r w:rsidRPr="00D56C84">
        <w:lastRenderedPageBreak/>
        <w:t xml:space="preserve">Table </w:t>
      </w:r>
      <w:r w:rsidR="00ED6CA0">
        <w:fldChar w:fldCharType="begin"/>
      </w:r>
      <w:r w:rsidR="006D5406">
        <w:instrText xml:space="preserve"> STYLEREF "_Heading1" \n </w:instrText>
      </w:r>
      <w:r w:rsidR="00ED6CA0">
        <w:fldChar w:fldCharType="separate"/>
      </w:r>
      <w:r w:rsidR="00166111">
        <w:rPr>
          <w:noProof/>
        </w:rPr>
        <w:t>11</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33</w:t>
      </w:r>
      <w:r w:rsidR="00ED6CA0">
        <w:rPr>
          <w:noProof/>
        </w:rPr>
        <w:fldChar w:fldCharType="end"/>
      </w:r>
      <w:bookmarkEnd w:id="115"/>
      <w:r w:rsidRPr="00D56C84">
        <w:tab/>
        <w:t>Explanation of expenditure function, Tasmanian SGC</w:t>
      </w:r>
    </w:p>
    <w:tbl>
      <w:tblPr>
        <w:tblStyle w:val="TableGrid"/>
        <w:tblW w:w="8505" w:type="dxa"/>
        <w:tblInd w:w="1134" w:type="dxa"/>
        <w:tblBorders>
          <w:top w:val="none" w:sz="0" w:space="0" w:color="auto"/>
          <w:left w:val="none" w:sz="0" w:space="0" w:color="auto"/>
          <w:bottom w:val="single" w:sz="4"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2376"/>
        <w:gridCol w:w="6129"/>
      </w:tblGrid>
      <w:tr w:rsidR="001F4F2D" w:rsidRPr="00D56C84" w:rsidTr="00FF7720">
        <w:tc>
          <w:tcPr>
            <w:tcW w:w="2376" w:type="dxa"/>
            <w:shd w:val="clear" w:color="auto" w:fill="auto"/>
            <w:vAlign w:val="center"/>
          </w:tcPr>
          <w:p w:rsidR="001F4F2D" w:rsidRPr="00D56C84" w:rsidRDefault="001F4F2D" w:rsidP="00FF7720">
            <w:pPr>
              <w:pStyle w:val="TableHeading"/>
            </w:pPr>
            <w:r w:rsidRPr="00D56C84">
              <w:t>Expenditure function</w:t>
            </w:r>
          </w:p>
        </w:tc>
        <w:tc>
          <w:tcPr>
            <w:tcW w:w="6129" w:type="dxa"/>
            <w:shd w:val="clear" w:color="auto" w:fill="auto"/>
            <w:vAlign w:val="center"/>
          </w:tcPr>
          <w:p w:rsidR="001F4F2D" w:rsidRPr="00D56C84" w:rsidRDefault="001F4F2D" w:rsidP="00FF7720">
            <w:pPr>
              <w:pStyle w:val="TableHeading"/>
            </w:pPr>
            <w:r w:rsidRPr="00D56C84">
              <w:t>Explanation</w:t>
            </w:r>
          </w:p>
        </w:tc>
      </w:tr>
      <w:tr w:rsidR="001F4F2D" w:rsidRPr="00D56C84" w:rsidTr="00FF7720">
        <w:tc>
          <w:tcPr>
            <w:tcW w:w="2376" w:type="dxa"/>
            <w:shd w:val="clear" w:color="auto" w:fill="auto"/>
          </w:tcPr>
          <w:p w:rsidR="001F4F2D" w:rsidRPr="00D56C84" w:rsidRDefault="001F4F2D" w:rsidP="00FF7720">
            <w:pPr>
              <w:pStyle w:val="TableText"/>
            </w:pPr>
            <w:r w:rsidRPr="00D56C84">
              <w:t>Waste Management and the Environment</w:t>
            </w:r>
          </w:p>
        </w:tc>
        <w:tc>
          <w:tcPr>
            <w:tcW w:w="6129" w:type="dxa"/>
            <w:shd w:val="clear" w:color="auto" w:fill="auto"/>
          </w:tcPr>
          <w:p w:rsidR="001F4F2D" w:rsidRPr="00D56C84" w:rsidRDefault="001F4F2D" w:rsidP="00FF7720">
            <w:pPr>
              <w:pStyle w:val="TableText"/>
              <w:rPr>
                <w:rFonts w:ascii="OptimaLTStd" w:hAnsi="OptimaLTStd" w:cs="OptimaLTStd"/>
                <w:sz w:val="22"/>
                <w:szCs w:val="22"/>
                <w:lang w:eastAsia="en-AU"/>
              </w:rPr>
            </w:pPr>
            <w:r w:rsidRPr="00D56C84">
              <w:t>Household and other garbage services, urban storm water drainage, street cleaning, flood mitigation and other protection of the environment</w:t>
            </w:r>
          </w:p>
        </w:tc>
      </w:tr>
    </w:tbl>
    <w:p w:rsidR="001F4F2D" w:rsidRPr="00D56C84" w:rsidRDefault="001F4F2D" w:rsidP="001F4F2D"/>
    <w:p w:rsidR="001F4F2D" w:rsidRPr="00D56C84" w:rsidRDefault="001F4F2D" w:rsidP="000126C8">
      <w:pPr>
        <w:pStyle w:val="ParaIndent"/>
        <w:jc w:val="both"/>
      </w:pPr>
      <w:r w:rsidRPr="00D56C84">
        <w:t>A series of cost adjustors are applied to the waste management and the environment expenditure function. These are identified as:</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Absentee population</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Climate</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Dispersion</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Population decline</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Scale - other</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Day-tripper tourism</w:t>
      </w:r>
    </w:p>
    <w:p w:rsidR="001F4F2D" w:rsidRPr="00D56C84" w:rsidRDefault="001F4F2D" w:rsidP="000126C8">
      <w:pPr>
        <w:pStyle w:val="ParaIndent"/>
        <w:keepNext/>
        <w:numPr>
          <w:ilvl w:val="0"/>
          <w:numId w:val="29"/>
        </w:numPr>
        <w:spacing w:after="60"/>
        <w:ind w:left="1985" w:hanging="284"/>
        <w:jc w:val="both"/>
        <w:rPr>
          <w:sz w:val="18"/>
          <w:szCs w:val="18"/>
        </w:rPr>
      </w:pPr>
      <w:r w:rsidRPr="00D56C84">
        <w:rPr>
          <w:sz w:val="18"/>
          <w:szCs w:val="18"/>
        </w:rPr>
        <w:t>Worker influx</w:t>
      </w:r>
      <w:r w:rsidR="00742B69">
        <w:rPr>
          <w:sz w:val="18"/>
          <w:szCs w:val="18"/>
        </w:rPr>
        <w:t>.</w:t>
      </w:r>
    </w:p>
    <w:p w:rsidR="001F4F2D" w:rsidRPr="00D56C84" w:rsidRDefault="001F4F2D" w:rsidP="000126C8">
      <w:pPr>
        <w:pStyle w:val="ParaIndent"/>
        <w:jc w:val="both"/>
      </w:pPr>
      <w:r w:rsidRPr="00D56C84">
        <w:rPr>
          <w:rFonts w:cs="Arial"/>
          <w:lang w:eastAsia="en-AU"/>
        </w:rPr>
        <w:t xml:space="preserve">As part of its </w:t>
      </w:r>
      <w:r w:rsidRPr="00D56C84">
        <w:t>responsibilities the SGC hosted a series of hearings in 2010. One issue associated with waste management expenditure highlighted in the annual report was that:</w:t>
      </w:r>
    </w:p>
    <w:p w:rsidR="001F4F2D" w:rsidRPr="00D56C84" w:rsidRDefault="001F4F2D" w:rsidP="000126C8">
      <w:pPr>
        <w:pStyle w:val="ParaIndent"/>
        <w:ind w:left="1701"/>
        <w:jc w:val="both"/>
        <w:rPr>
          <w:i/>
        </w:rPr>
      </w:pPr>
      <w:r w:rsidRPr="00D56C84">
        <w:rPr>
          <w:i/>
        </w:rPr>
        <w:t xml:space="preserve">“Some </w:t>
      </w:r>
      <w:proofErr w:type="gramStart"/>
      <w:r w:rsidRPr="00D56C84">
        <w:rPr>
          <w:i/>
        </w:rPr>
        <w:t>councils</w:t>
      </w:r>
      <w:proofErr w:type="gramEnd"/>
      <w:r w:rsidRPr="00D56C84">
        <w:rPr>
          <w:i/>
        </w:rPr>
        <w:t xml:space="preserve"> believe they are at a geographical disadvantage through having to transport waste larger distances than other councils to regional tip sites. The Commission believes that further information is necessary to determine the extent of the issue. Hence, councils will be approached to provide this additional information in the near future”. </w:t>
      </w:r>
    </w:p>
    <w:p w:rsidR="001F4F2D" w:rsidRPr="00D56C84" w:rsidRDefault="001F4F2D" w:rsidP="000126C8">
      <w:pPr>
        <w:pStyle w:val="ParaIndent"/>
        <w:jc w:val="both"/>
      </w:pPr>
      <w:r w:rsidRPr="00D56C84">
        <w:t>The Annual Report outlines in Appendix 8 Standard Expenditure for 2008</w:t>
      </w:r>
      <w:r w:rsidR="00742B69">
        <w:t>–</w:t>
      </w:r>
      <w:r w:rsidRPr="00D56C84">
        <w:t xml:space="preserve">09 </w:t>
      </w:r>
      <w:r w:rsidR="00243C72">
        <w:t xml:space="preserve">the data </w:t>
      </w:r>
      <w:r w:rsidRPr="00D56C84">
        <w:t>that was used as part of the 2010</w:t>
      </w:r>
      <w:r w:rsidR="00742B69">
        <w:rPr>
          <w:rFonts w:cs="Arial"/>
        </w:rPr>
        <w:t>–</w:t>
      </w:r>
      <w:r w:rsidRPr="00D56C84">
        <w:t>11 assessments. This information includes specific reference to waste management and environment expenditure for each Tasmania local gover</w:t>
      </w:r>
      <w:r w:rsidR="000968E9">
        <w:t>nment. Appendix 10 details the c</w:t>
      </w:r>
      <w:r w:rsidRPr="00D56C84">
        <w:t>ost of service provision ratios taken from 2010</w:t>
      </w:r>
      <w:r w:rsidR="00742B69">
        <w:rPr>
          <w:rFonts w:cs="Arial"/>
        </w:rPr>
        <w:t>–</w:t>
      </w:r>
      <w:r w:rsidRPr="00D56C84">
        <w:t xml:space="preserve">11 assessments. Specific ratios are detailed for waste management and the environment over a three year timeframe. </w:t>
      </w:r>
    </w:p>
    <w:p w:rsidR="00AA187D" w:rsidRPr="00D56C84" w:rsidRDefault="00AA187D" w:rsidP="00AA187D">
      <w:pPr>
        <w:pStyle w:val="Heading2"/>
      </w:pPr>
      <w:bookmarkStart w:id="116" w:name="_Toc307470460"/>
      <w:r w:rsidRPr="00D56C84">
        <w:t xml:space="preserve">Performance </w:t>
      </w:r>
      <w:r w:rsidR="00085D2C">
        <w:t>in Tasmania</w:t>
      </w:r>
      <w:bookmarkEnd w:id="116"/>
    </w:p>
    <w:p w:rsidR="004458CB" w:rsidRPr="00D56C84" w:rsidRDefault="004458CB" w:rsidP="000126C8">
      <w:pPr>
        <w:pStyle w:val="ParaIndent"/>
        <w:jc w:val="both"/>
      </w:pPr>
      <w:r w:rsidRPr="00D56C84">
        <w:t xml:space="preserve">The most comprehensive set of Tasmanian data was last reported in the </w:t>
      </w:r>
      <w:r w:rsidRPr="00D56C84">
        <w:rPr>
          <w:i/>
        </w:rPr>
        <w:t>Measuring Council Performance in Tasmania 2007</w:t>
      </w:r>
      <w:r w:rsidR="00742B69">
        <w:rPr>
          <w:rFonts w:cs="Arial"/>
        </w:rPr>
        <w:t>–</w:t>
      </w:r>
      <w:r w:rsidRPr="00D56C84">
        <w:rPr>
          <w:i/>
        </w:rPr>
        <w:t>08</w:t>
      </w:r>
      <w:r w:rsidRPr="00D56C84">
        <w:t xml:space="preserve"> report. Based on information within this report, the weighted average cost of waste collection in Tasmania is $151.34 per property.</w:t>
      </w:r>
    </w:p>
    <w:p w:rsidR="004458CB" w:rsidRPr="00D56C84" w:rsidRDefault="004458CB" w:rsidP="000126C8">
      <w:pPr>
        <w:pStyle w:val="ParaIndent"/>
        <w:jc w:val="both"/>
      </w:pPr>
      <w:r w:rsidRPr="00D56C84">
        <w:t xml:space="preserve">The lowest cost of waste collection reported in this report is </w:t>
      </w:r>
      <w:r w:rsidR="00437FE1" w:rsidRPr="00D56C84">
        <w:t>$34/property (Huon Valley Council), while the highest cost of waste collection reported is $294/property (Glamorgan/Spring Bay Council).</w:t>
      </w:r>
    </w:p>
    <w:p w:rsidR="004458CB" w:rsidRPr="00D56C84" w:rsidRDefault="004458CB" w:rsidP="000126C8">
      <w:pPr>
        <w:pStyle w:val="ParaIndent"/>
        <w:jc w:val="both"/>
      </w:pPr>
      <w:r w:rsidRPr="00D56C84">
        <w:t xml:space="preserve">Selected </w:t>
      </w:r>
      <w:r w:rsidR="00437FE1" w:rsidRPr="00D56C84">
        <w:t xml:space="preserve">additional </w:t>
      </w:r>
      <w:r w:rsidRPr="00D56C84">
        <w:t xml:space="preserve">data has also been reported by the three regional waste bodies in Tasmania. The </w:t>
      </w:r>
      <w:r w:rsidRPr="00D56C84">
        <w:rPr>
          <w:i/>
        </w:rPr>
        <w:t>Cradle Coast Authority Regional Waste Management Strategy Five Year Strategy 2009</w:t>
      </w:r>
      <w:r w:rsidR="00742B69">
        <w:rPr>
          <w:rFonts w:cs="Arial"/>
        </w:rPr>
        <w:t>–</w:t>
      </w:r>
      <w:r w:rsidRPr="00D56C84">
        <w:rPr>
          <w:i/>
        </w:rPr>
        <w:t>2013</w:t>
      </w:r>
      <w:r w:rsidRPr="00D56C84">
        <w:t xml:space="preserve"> reported that, of the nine councils, all offered a kerbside garbage collection, and all but one council also offered a recycling collection.</w:t>
      </w:r>
    </w:p>
    <w:p w:rsidR="004458CB" w:rsidRPr="00D56C84" w:rsidRDefault="004458CB" w:rsidP="000126C8">
      <w:pPr>
        <w:pStyle w:val="ParaIndent"/>
        <w:jc w:val="both"/>
      </w:pPr>
      <w:r w:rsidRPr="00D56C84">
        <w:t xml:space="preserve">Information contained within the </w:t>
      </w:r>
      <w:r w:rsidRPr="00D56C84">
        <w:rPr>
          <w:i/>
        </w:rPr>
        <w:t xml:space="preserve">Southern Waste Strategy Authority Waste Management 2020 and beyond </w:t>
      </w:r>
      <w:r w:rsidRPr="00D56C84">
        <w:t>report indicated that</w:t>
      </w:r>
      <w:r w:rsidRPr="00D56C84">
        <w:rPr>
          <w:i/>
        </w:rPr>
        <w:t xml:space="preserve"> </w:t>
      </w:r>
      <w:r w:rsidRPr="00D56C84">
        <w:t>an estimated 89% of households within this region have access to a kerbside garbage service, and 85% have access to a recycling service. Of the 12 councils, only four offered a separate organics collection. An average of 680kg of residual waste was collected per household for the 2009</w:t>
      </w:r>
      <w:r w:rsidR="00742B69">
        <w:rPr>
          <w:rFonts w:cs="Arial"/>
        </w:rPr>
        <w:t>–</w:t>
      </w:r>
      <w:r w:rsidRPr="00D56C84">
        <w:t>10 year.</w:t>
      </w:r>
    </w:p>
    <w:p w:rsidR="00E452F0" w:rsidRDefault="00E452F0" w:rsidP="00E452F0">
      <w:pPr>
        <w:pStyle w:val="Heading2"/>
      </w:pPr>
      <w:bookmarkStart w:id="117" w:name="_Toc307470461"/>
      <w:r>
        <w:lastRenderedPageBreak/>
        <w:t>Summary</w:t>
      </w:r>
      <w:r w:rsidR="00085D2C">
        <w:t xml:space="preserve"> – Tasmania</w:t>
      </w:r>
      <w:bookmarkEnd w:id="117"/>
    </w:p>
    <w:p w:rsidR="005C0725" w:rsidRPr="00243C72" w:rsidRDefault="005C0725" w:rsidP="000126C8">
      <w:pPr>
        <w:pStyle w:val="ParaIndent"/>
        <w:jc w:val="both"/>
      </w:pPr>
      <w:r w:rsidRPr="00243C72">
        <w:t xml:space="preserve">Based on research for this </w:t>
      </w:r>
      <w:r w:rsidRPr="00161A53">
        <w:t xml:space="preserve">report, </w:t>
      </w:r>
      <w:r w:rsidR="000968E9" w:rsidRPr="00161A53">
        <w:t xml:space="preserve">considering the availability of information only, </w:t>
      </w:r>
      <w:r w:rsidRPr="00161A53">
        <w:t>the</w:t>
      </w:r>
      <w:r w:rsidRPr="00243C72">
        <w:t xml:space="preserve"> degree to which information about municipal waste and recycling in Tasmania meets the needs of users is considered to be </w:t>
      </w:r>
      <w:r w:rsidR="00243C72" w:rsidRPr="00243C72">
        <w:t>LOW</w:t>
      </w:r>
      <w:r w:rsidRPr="00243C72">
        <w:t>.</w:t>
      </w:r>
    </w:p>
    <w:p w:rsidR="005C0725" w:rsidRPr="00243C72" w:rsidRDefault="005C0725" w:rsidP="000126C8">
      <w:pPr>
        <w:pStyle w:val="ParaIndent"/>
        <w:jc w:val="both"/>
      </w:pPr>
      <w:r w:rsidRPr="00243C72">
        <w:t>Key performance and service level information is made available at the LGA level, although the information is contained in disparate reports and there are significant gaps in coverage of responses from the state’s LGAs.</w:t>
      </w:r>
    </w:p>
    <w:p w:rsidR="00085D2C" w:rsidRDefault="00ED6CA0" w:rsidP="000126C8">
      <w:pPr>
        <w:pStyle w:val="ParaIndent"/>
        <w:jc w:val="both"/>
      </w:pPr>
      <w:fldSimple w:instr=" REF _Ref301859130 \h  \* MERGEFORMAT ">
        <w:r w:rsidR="00166111">
          <w:t xml:space="preserve">Table </w:t>
        </w:r>
        <w:r w:rsidR="00166111">
          <w:rPr>
            <w:noProof/>
          </w:rPr>
          <w:t>11</w:t>
        </w:r>
        <w:r w:rsidR="00166111" w:rsidRPr="00D56C84">
          <w:rPr>
            <w:noProof/>
          </w:rPr>
          <w:t>-</w:t>
        </w:r>
        <w:r w:rsidR="00166111">
          <w:rPr>
            <w:noProof/>
          </w:rPr>
          <w:t>34</w:t>
        </w:r>
      </w:fldSimple>
      <w:r w:rsidR="009445BE" w:rsidRPr="00243C72">
        <w:t xml:space="preserve"> provides a comparison of the waste and recycling data collected by government bodies in Tasmania against the </w:t>
      </w:r>
      <w:r w:rsidR="00085D2C" w:rsidRPr="00243C72">
        <w:t xml:space="preserve">LGA-specific </w:t>
      </w:r>
      <w:r w:rsidR="009445BE" w:rsidRPr="00243C72">
        <w:t>data which is made available to the public.</w:t>
      </w:r>
      <w:r w:rsidR="00243C72">
        <w:t xml:space="preserve"> Note that s</w:t>
      </w:r>
      <w:r w:rsidR="00243C72" w:rsidRPr="00D56C84">
        <w:t xml:space="preserve">elected additional data has also been reported by the three regional waste bodies in </w:t>
      </w:r>
      <w:r w:rsidR="00243C72" w:rsidRPr="00161A53">
        <w:t>Tasmania.</w:t>
      </w:r>
      <w:r w:rsidR="000968E9" w:rsidRPr="00161A53">
        <w:t xml:space="preserve"> Note also that the quality of available information has not been assessed.</w:t>
      </w:r>
    </w:p>
    <w:p w:rsidR="00085D2C" w:rsidRDefault="00085D2C">
      <w:pPr>
        <w:spacing w:after="0" w:line="240" w:lineRule="auto"/>
        <w:ind w:left="0"/>
      </w:pPr>
      <w:r>
        <w:br w:type="page"/>
      </w:r>
    </w:p>
    <w:p w:rsidR="009445BE" w:rsidRDefault="009445BE" w:rsidP="009445BE">
      <w:pPr>
        <w:pStyle w:val="TableHeading"/>
      </w:pPr>
      <w:bookmarkStart w:id="118" w:name="_Ref301859130"/>
      <w:r>
        <w:lastRenderedPageBreak/>
        <w:t xml:space="preserve">Table </w:t>
      </w:r>
      <w:r w:rsidR="00ED6CA0">
        <w:fldChar w:fldCharType="begin"/>
      </w:r>
      <w:r>
        <w:instrText xml:space="preserve"> STYLEREF "_Heading1" \n </w:instrText>
      </w:r>
      <w:r w:rsidR="00ED6CA0">
        <w:fldChar w:fldCharType="separate"/>
      </w:r>
      <w:r w:rsidR="00166111">
        <w:rPr>
          <w:noProof/>
        </w:rPr>
        <w:t>11</w:t>
      </w:r>
      <w:r w:rsidR="00ED6CA0">
        <w:rPr>
          <w:noProof/>
        </w:rPr>
        <w:fldChar w:fldCharType="end"/>
      </w:r>
      <w:r w:rsidRPr="00D56C84">
        <w:t>-</w:t>
      </w:r>
      <w:r w:rsidR="00ED6CA0">
        <w:fldChar w:fldCharType="begin"/>
      </w:r>
      <w:r>
        <w:instrText xml:space="preserve"> SEQ Table \* Arabic </w:instrText>
      </w:r>
      <w:r w:rsidR="00ED6CA0">
        <w:fldChar w:fldCharType="separate"/>
      </w:r>
      <w:r w:rsidR="00166111">
        <w:rPr>
          <w:noProof/>
        </w:rPr>
        <w:t>34</w:t>
      </w:r>
      <w:r w:rsidR="00ED6CA0">
        <w:rPr>
          <w:noProof/>
        </w:rPr>
        <w:fldChar w:fldCharType="end"/>
      </w:r>
      <w:bookmarkEnd w:id="118"/>
      <w:r>
        <w:rPr>
          <w:noProof/>
        </w:rPr>
        <w:tab/>
        <w:t xml:space="preserve">Summary of waste and recycling data collected in Tasmania </w:t>
      </w:r>
      <w:r w:rsidR="006E78EF">
        <w:rPr>
          <w:noProof/>
        </w:rPr>
        <w:t>and</w:t>
      </w:r>
      <w:r>
        <w:rPr>
          <w:noProof/>
        </w:rPr>
        <w:t xml:space="preserve">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9445BE" w:rsidRPr="00DC4F78" w:rsidTr="00085D2C">
        <w:trPr>
          <w:trHeight w:val="270"/>
          <w:tblHeader/>
        </w:trPr>
        <w:tc>
          <w:tcPr>
            <w:tcW w:w="2693" w:type="pct"/>
            <w:shd w:val="clear" w:color="auto" w:fill="auto"/>
            <w:noWrap/>
            <w:vAlign w:val="bottom"/>
            <w:hideMark/>
          </w:tcPr>
          <w:p w:rsidR="009445BE" w:rsidRPr="00A42A0E" w:rsidRDefault="009445BE" w:rsidP="009445BE">
            <w:pPr>
              <w:pStyle w:val="TableText"/>
              <w:rPr>
                <w:lang w:val="en-US"/>
              </w:rPr>
            </w:pPr>
            <w:r w:rsidRPr="00A42A0E">
              <w:rPr>
                <w:lang w:val="en-US"/>
              </w:rPr>
              <w:t> </w:t>
            </w:r>
          </w:p>
        </w:tc>
        <w:tc>
          <w:tcPr>
            <w:tcW w:w="980" w:type="pct"/>
          </w:tcPr>
          <w:p w:rsidR="009445BE" w:rsidRPr="00DC4F78" w:rsidRDefault="009445BE" w:rsidP="00085D2C">
            <w:pPr>
              <w:pStyle w:val="TableHeading"/>
              <w:jc w:val="center"/>
              <w:rPr>
                <w:lang w:val="en-US"/>
              </w:rPr>
            </w:pPr>
            <w:r w:rsidRPr="00A42A0E">
              <w:rPr>
                <w:lang w:val="en-US"/>
              </w:rPr>
              <w:t>Data collected</w:t>
            </w:r>
          </w:p>
        </w:tc>
        <w:tc>
          <w:tcPr>
            <w:tcW w:w="1327" w:type="pct"/>
            <w:shd w:val="clear" w:color="auto" w:fill="auto"/>
            <w:noWrap/>
            <w:vAlign w:val="bottom"/>
            <w:hideMark/>
          </w:tcPr>
          <w:p w:rsidR="009445BE" w:rsidRPr="00DC4F78" w:rsidRDefault="009445BE" w:rsidP="00085D2C">
            <w:pPr>
              <w:pStyle w:val="TableHeading"/>
              <w:jc w:val="center"/>
              <w:rPr>
                <w:lang w:val="en-US"/>
              </w:rPr>
            </w:pPr>
            <w:r w:rsidRPr="00A42A0E">
              <w:rPr>
                <w:lang w:val="en-US"/>
              </w:rPr>
              <w:t>Data available</w:t>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2" name="Picture 70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69" name="Picture 66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Collection frequencies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3" name="Picture 70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71" name="Picture 67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Bin sizes/ types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4" name="Picture 70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73" name="Picture 67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5" name="Picture 70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75" name="Picture 67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6" name="Picture 70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77" name="Picture 67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7" name="Picture 70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79" name="Picture 67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8" name="Picture 70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81" name="Picture 68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infrastructure</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9" name="Picture 70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83" name="Picture 68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RPr="00A42A0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costs/ expenditure</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719" name="Picture 719"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Pr="00A42A0E" w:rsidRDefault="009445BE" w:rsidP="00085D2C">
            <w:pPr>
              <w:pStyle w:val="TableText"/>
              <w:jc w:val="center"/>
              <w:rPr>
                <w:lang w:val="en-US"/>
              </w:rPr>
            </w:pPr>
            <w:r>
              <w:rPr>
                <w:noProof/>
                <w:lang w:eastAsia="en-AU"/>
              </w:rPr>
              <w:drawing>
                <wp:inline distT="0" distB="0" distL="0" distR="0">
                  <wp:extent cx="209550" cy="209550"/>
                  <wp:effectExtent l="0" t="0" r="0" b="0"/>
                  <wp:docPr id="720" name="Picture 720"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2" cy="21081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Contractor information</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1" name="Picture 71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87" name="Picture 68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charges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2" name="Picture 71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89" name="Picture 68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Hard waste services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3" name="Picture 71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91" name="Picture 69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Litter/ illegal dumping</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4" name="Picture 71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93" name="Picture 69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320"/>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Public Place Collections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5" name="Picture 71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95" name="Picture 69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Commercial &amp; Industrial Services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6" name="Picture 71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97" name="Picture 69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7" name="Picture 71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699" name="Picture 69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noWrap/>
            <w:vAlign w:val="center"/>
            <w:hideMark/>
          </w:tcPr>
          <w:p w:rsidR="009445BE" w:rsidRPr="00A42A0E" w:rsidRDefault="009445BE" w:rsidP="00085D2C">
            <w:pPr>
              <w:pStyle w:val="TableText"/>
              <w:rPr>
                <w:b/>
                <w:bCs/>
                <w:lang w:val="en-US"/>
              </w:rPr>
            </w:pPr>
            <w:r w:rsidRPr="00A42A0E">
              <w:rPr>
                <w:b/>
                <w:bCs/>
                <w:lang w:val="en-US"/>
              </w:rPr>
              <w:t>Waste Audit Data</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18" name="Picture 71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01" name="Picture 70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E452F0" w:rsidRPr="00D56C84" w:rsidRDefault="00B30608" w:rsidP="001D5A8C">
      <w:pPr>
        <w:pStyle w:val="ParaIndent"/>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001A75C3" w:rsidRPr="000126C8">
        <w:rPr>
          <w:noProof/>
          <w:sz w:val="14"/>
          <w:szCs w:val="14"/>
          <w:lang w:eastAsia="en-AU"/>
        </w:rPr>
        <w:drawing>
          <wp:inline distT="0" distB="0" distL="0" distR="0">
            <wp:extent cx="209550" cy="209550"/>
            <wp:effectExtent l="0" t="0" r="0" b="0"/>
            <wp:docPr id="742" name="Picture 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001A75C3" w:rsidRPr="000126C8">
        <w:rPr>
          <w:noProof/>
          <w:sz w:val="14"/>
          <w:szCs w:val="14"/>
          <w:lang w:eastAsia="en-AU"/>
        </w:rPr>
        <w:drawing>
          <wp:inline distT="0" distB="0" distL="0" distR="0">
            <wp:extent cx="200025" cy="200025"/>
            <wp:effectExtent l="0" t="0" r="0" b="0"/>
            <wp:docPr id="759" name="Picture 1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001A75C3" w:rsidRPr="000126C8">
        <w:rPr>
          <w:noProof/>
          <w:sz w:val="14"/>
          <w:szCs w:val="14"/>
          <w:lang w:eastAsia="en-AU"/>
        </w:rPr>
        <w:drawing>
          <wp:inline distT="0" distB="0" distL="0" distR="0">
            <wp:extent cx="200025" cy="200025"/>
            <wp:effectExtent l="0" t="0" r="0" b="0"/>
            <wp:docPr id="760" name="Picture 2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w:t>
      </w:r>
    </w:p>
    <w:p w:rsidR="004B377E" w:rsidRPr="00D56C84" w:rsidRDefault="004B377E">
      <w:pPr>
        <w:spacing w:after="0" w:line="240" w:lineRule="auto"/>
        <w:ind w:left="0"/>
      </w:pPr>
      <w:r w:rsidRPr="00D56C84">
        <w:br w:type="page"/>
      </w:r>
    </w:p>
    <w:p w:rsidR="00C77697" w:rsidRPr="00D56C84" w:rsidRDefault="00C77697" w:rsidP="001F146F">
      <w:pPr>
        <w:pStyle w:val="Heading1"/>
        <w:spacing w:after="100" w:afterAutospacing="1"/>
      </w:pPr>
      <w:bookmarkStart w:id="119" w:name="_Toc307470462"/>
      <w:r w:rsidRPr="00D56C84">
        <w:lastRenderedPageBreak/>
        <w:t>Australian Capital Territory</w:t>
      </w:r>
      <w:bookmarkEnd w:id="119"/>
    </w:p>
    <w:p w:rsidR="001F146F" w:rsidRPr="00D56C84" w:rsidRDefault="001F146F" w:rsidP="000126C8">
      <w:pPr>
        <w:ind w:left="1134"/>
        <w:jc w:val="both"/>
      </w:pPr>
      <w:r w:rsidRPr="00D56C84">
        <w:t xml:space="preserve">The Legislative Assembly for the ACT is the legislative seat of government of the nation’s capital territory. The Assembly is unique among parliaments in Australia in that it is the only parliament responsible for the management of state/territory responsibilities such as health, education, policing and industrial relations, as well as local government responsibilities such as the maintenance of roads, rubbish and recycling. </w:t>
      </w:r>
    </w:p>
    <w:p w:rsidR="001F146F" w:rsidRPr="00D56C84" w:rsidRDefault="001F146F" w:rsidP="000126C8">
      <w:pPr>
        <w:ind w:left="1134"/>
        <w:jc w:val="both"/>
      </w:pPr>
      <w:r w:rsidRPr="00D56C84">
        <w:t>The Assembly has the power to</w:t>
      </w:r>
      <w:r w:rsidRPr="00D56C84">
        <w:rPr>
          <w:rStyle w:val="FootnoteReference"/>
        </w:rPr>
        <w:footnoteReference w:id="25"/>
      </w:r>
      <w:r w:rsidRPr="00D56C84">
        <w:t xml:space="preserve">: </w:t>
      </w:r>
    </w:p>
    <w:p w:rsidR="001F146F" w:rsidRPr="00161A53" w:rsidRDefault="001F146F" w:rsidP="00161A53">
      <w:pPr>
        <w:pStyle w:val="ParaIndent"/>
        <w:keepNext/>
        <w:numPr>
          <w:ilvl w:val="0"/>
          <w:numId w:val="29"/>
        </w:numPr>
        <w:spacing w:after="60"/>
        <w:ind w:left="1985" w:hanging="284"/>
        <w:jc w:val="both"/>
        <w:rPr>
          <w:sz w:val="18"/>
          <w:szCs w:val="18"/>
        </w:rPr>
      </w:pPr>
      <w:r w:rsidRPr="00161A53">
        <w:rPr>
          <w:sz w:val="18"/>
          <w:szCs w:val="18"/>
        </w:rPr>
        <w:t xml:space="preserve">make laws; </w:t>
      </w:r>
    </w:p>
    <w:p w:rsidR="001F146F" w:rsidRPr="00161A53" w:rsidRDefault="001F146F" w:rsidP="00161A53">
      <w:pPr>
        <w:pStyle w:val="ParaIndent"/>
        <w:keepNext/>
        <w:numPr>
          <w:ilvl w:val="0"/>
          <w:numId w:val="29"/>
        </w:numPr>
        <w:spacing w:after="60"/>
        <w:ind w:left="1985" w:hanging="284"/>
        <w:jc w:val="both"/>
        <w:rPr>
          <w:sz w:val="18"/>
          <w:szCs w:val="18"/>
        </w:rPr>
      </w:pPr>
      <w:r w:rsidRPr="00161A53">
        <w:rPr>
          <w:sz w:val="18"/>
          <w:szCs w:val="18"/>
        </w:rPr>
        <w:t xml:space="preserve">investigate and debate matters of public importance; </w:t>
      </w:r>
    </w:p>
    <w:p w:rsidR="001F146F" w:rsidRPr="00161A53" w:rsidRDefault="001F146F" w:rsidP="00161A53">
      <w:pPr>
        <w:pStyle w:val="ParaIndent"/>
        <w:keepNext/>
        <w:numPr>
          <w:ilvl w:val="0"/>
          <w:numId w:val="29"/>
        </w:numPr>
        <w:spacing w:after="60"/>
        <w:ind w:left="1985" w:hanging="284"/>
        <w:jc w:val="both"/>
        <w:rPr>
          <w:sz w:val="18"/>
          <w:szCs w:val="18"/>
        </w:rPr>
      </w:pPr>
      <w:r w:rsidRPr="00161A53">
        <w:rPr>
          <w:sz w:val="18"/>
          <w:szCs w:val="18"/>
        </w:rPr>
        <w:t xml:space="preserve">review the actions of the Government; and </w:t>
      </w:r>
    </w:p>
    <w:p w:rsidR="001F146F" w:rsidRPr="00161A53" w:rsidRDefault="001F146F" w:rsidP="00161A53">
      <w:pPr>
        <w:pStyle w:val="ParaIndent"/>
        <w:keepNext/>
        <w:numPr>
          <w:ilvl w:val="0"/>
          <w:numId w:val="29"/>
        </w:numPr>
        <w:spacing w:after="60"/>
        <w:ind w:left="1985" w:hanging="284"/>
        <w:jc w:val="both"/>
        <w:rPr>
          <w:sz w:val="18"/>
          <w:szCs w:val="18"/>
        </w:rPr>
      </w:pPr>
      <w:proofErr w:type="gramStart"/>
      <w:r w:rsidRPr="00161A53">
        <w:rPr>
          <w:sz w:val="18"/>
          <w:szCs w:val="18"/>
        </w:rPr>
        <w:t>oversee</w:t>
      </w:r>
      <w:proofErr w:type="gramEnd"/>
      <w:r w:rsidRPr="00161A53">
        <w:rPr>
          <w:sz w:val="18"/>
          <w:szCs w:val="18"/>
        </w:rPr>
        <w:t xml:space="preserve"> the financial matters of the Government. </w:t>
      </w:r>
    </w:p>
    <w:p w:rsidR="008403E5" w:rsidRPr="00D56C84" w:rsidRDefault="008403E5" w:rsidP="008403E5">
      <w:pPr>
        <w:pStyle w:val="Heading2"/>
        <w:spacing w:before="240"/>
      </w:pPr>
      <w:bookmarkStart w:id="120" w:name="_Toc307470463"/>
      <w:r w:rsidRPr="00D56C84">
        <w:t>Legislation</w:t>
      </w:r>
      <w:r w:rsidR="00085D2C">
        <w:t xml:space="preserve"> in the ACT</w:t>
      </w:r>
      <w:bookmarkEnd w:id="120"/>
    </w:p>
    <w:p w:rsidR="008403E5" w:rsidRPr="00D56C84" w:rsidRDefault="008403E5" w:rsidP="000126C8">
      <w:pPr>
        <w:ind w:left="1134"/>
        <w:jc w:val="both"/>
      </w:pPr>
      <w:r w:rsidRPr="00D56C84">
        <w:t xml:space="preserve">Waste legislation in the Australian Capital Territory (ACT) is provided within two Acts: </w:t>
      </w:r>
      <w:r w:rsidRPr="00D56C84">
        <w:rPr>
          <w:i/>
        </w:rPr>
        <w:t>The Environmental Protection Act 1997</w:t>
      </w:r>
      <w:r w:rsidRPr="00D56C84">
        <w:t xml:space="preserve"> and the </w:t>
      </w:r>
      <w:r w:rsidRPr="00D56C84">
        <w:rPr>
          <w:i/>
        </w:rPr>
        <w:t>Waste Minimisation Act 2001</w:t>
      </w:r>
      <w:r w:rsidRPr="00D56C84">
        <w:t xml:space="preserve">. </w:t>
      </w:r>
    </w:p>
    <w:p w:rsidR="001F146F" w:rsidRPr="00D56C84" w:rsidRDefault="008403E5" w:rsidP="000126C8">
      <w:pPr>
        <w:ind w:left="1134"/>
        <w:jc w:val="both"/>
      </w:pPr>
      <w:r w:rsidRPr="00D56C84">
        <w:t>The ACT Environment Protection Agency (EPA), a division of the Department of the Environment, Climate Change, Energy and Water (DECCEW), is the regulatory authority with regards to waste and its associated legislation, including waste policy.</w:t>
      </w:r>
    </w:p>
    <w:p w:rsidR="008403E5" w:rsidRPr="00D56C84" w:rsidRDefault="008403E5" w:rsidP="000126C8">
      <w:pPr>
        <w:ind w:left="1134"/>
        <w:jc w:val="both"/>
      </w:pPr>
      <w:r w:rsidRPr="00D56C84">
        <w:t xml:space="preserve">ACT </w:t>
      </w:r>
      <w:proofErr w:type="spellStart"/>
      <w:r w:rsidRPr="00D56C84">
        <w:t>NoWaste</w:t>
      </w:r>
      <w:proofErr w:type="spellEnd"/>
      <w:r w:rsidRPr="00D56C84">
        <w:t xml:space="preserve"> division is responsible for data collection and monitoring waste service providers. The ACT Commission of the Environment provides independent advice the ACT Government on its environmental performance through the annual State of the Environment Report.</w:t>
      </w:r>
    </w:p>
    <w:p w:rsidR="008403E5" w:rsidRPr="00D56C84" w:rsidRDefault="008403E5" w:rsidP="000126C8">
      <w:pPr>
        <w:ind w:left="1134"/>
        <w:jc w:val="both"/>
      </w:pPr>
      <w:r w:rsidRPr="00D56C84">
        <w:t xml:space="preserve">Waste is defined under the </w:t>
      </w:r>
      <w:r w:rsidRPr="00D56C84">
        <w:rPr>
          <w:i/>
        </w:rPr>
        <w:t>Environment Protection Act 1997</w:t>
      </w:r>
      <w:r w:rsidRPr="00D56C84">
        <w:t xml:space="preserve"> under four waste classifications: inert (broadly industrial and demolition), solid (broadly municipal waste), industrial and hazardous</w:t>
      </w:r>
      <w:r w:rsidR="001F146F" w:rsidRPr="00D56C84">
        <w:rPr>
          <w:rStyle w:val="FootnoteReference"/>
        </w:rPr>
        <w:footnoteReference w:id="26"/>
      </w:r>
      <w:r w:rsidRPr="00D56C84">
        <w:t>.</w:t>
      </w:r>
    </w:p>
    <w:p w:rsidR="008403E5" w:rsidRPr="00D56C84" w:rsidRDefault="00085D2C" w:rsidP="008403E5">
      <w:pPr>
        <w:pStyle w:val="Heading2"/>
        <w:spacing w:before="240"/>
      </w:pPr>
      <w:bookmarkStart w:id="121" w:name="_Toc307470464"/>
      <w:r>
        <w:t>Information p</w:t>
      </w:r>
      <w:r w:rsidR="008403E5" w:rsidRPr="00D56C84">
        <w:t>athways</w:t>
      </w:r>
      <w:r>
        <w:t xml:space="preserve"> in the ACT</w:t>
      </w:r>
      <w:bookmarkEnd w:id="121"/>
    </w:p>
    <w:p w:rsidR="008403E5" w:rsidRPr="00D56C84" w:rsidRDefault="008403E5" w:rsidP="000126C8">
      <w:pPr>
        <w:ind w:left="1134"/>
        <w:jc w:val="both"/>
      </w:pPr>
      <w:r w:rsidRPr="00D56C84">
        <w:t xml:space="preserve">ACT </w:t>
      </w:r>
      <w:proofErr w:type="spellStart"/>
      <w:r w:rsidRPr="00D56C84">
        <w:t>NOWaste</w:t>
      </w:r>
      <w:proofErr w:type="spellEnd"/>
      <w:r w:rsidRPr="00D56C84">
        <w:t xml:space="preserve"> collects the following waste and recycling data for the ACT:</w:t>
      </w:r>
    </w:p>
    <w:p w:rsidR="008403E5" w:rsidRPr="00D56C84" w:rsidRDefault="008403E5" w:rsidP="000126C8">
      <w:pPr>
        <w:pStyle w:val="ParaIndent"/>
        <w:keepNext/>
        <w:numPr>
          <w:ilvl w:val="0"/>
          <w:numId w:val="29"/>
        </w:numPr>
        <w:spacing w:after="60"/>
        <w:ind w:left="1985" w:hanging="284"/>
        <w:jc w:val="both"/>
        <w:rPr>
          <w:sz w:val="18"/>
          <w:szCs w:val="18"/>
        </w:rPr>
      </w:pPr>
      <w:r w:rsidRPr="00D56C84">
        <w:rPr>
          <w:sz w:val="18"/>
          <w:szCs w:val="18"/>
        </w:rPr>
        <w:t xml:space="preserve">Waste disposed to landfill (tonnes per annum) </w:t>
      </w:r>
    </w:p>
    <w:p w:rsidR="008403E5" w:rsidRPr="00D56C84" w:rsidRDefault="008403E5" w:rsidP="000126C8">
      <w:pPr>
        <w:pStyle w:val="ParaIndent"/>
        <w:keepNext/>
        <w:numPr>
          <w:ilvl w:val="0"/>
          <w:numId w:val="29"/>
        </w:numPr>
        <w:spacing w:after="60"/>
        <w:ind w:left="1985" w:hanging="284"/>
        <w:jc w:val="both"/>
        <w:rPr>
          <w:sz w:val="18"/>
          <w:szCs w:val="18"/>
        </w:rPr>
      </w:pPr>
      <w:r w:rsidRPr="00D56C84">
        <w:rPr>
          <w:sz w:val="18"/>
          <w:szCs w:val="18"/>
        </w:rPr>
        <w:t>Resource Recovery Survey</w:t>
      </w:r>
      <w:r w:rsidR="00A9017D">
        <w:rPr>
          <w:sz w:val="18"/>
          <w:szCs w:val="18"/>
        </w:rPr>
        <w:t>.</w:t>
      </w:r>
    </w:p>
    <w:p w:rsidR="00F61F6E" w:rsidRDefault="008403E5" w:rsidP="000126C8">
      <w:pPr>
        <w:ind w:left="1134"/>
        <w:jc w:val="both"/>
      </w:pPr>
      <w:r w:rsidRPr="00D56C84">
        <w:t>The ACT has one landfill</w:t>
      </w:r>
      <w:r w:rsidR="001F146F" w:rsidRPr="00D56C84">
        <w:t>,</w:t>
      </w:r>
      <w:r w:rsidRPr="00D56C84">
        <w:t xml:space="preserve"> which is </w:t>
      </w:r>
      <w:r w:rsidR="001F146F" w:rsidRPr="00D56C84">
        <w:t xml:space="preserve">owned by the </w:t>
      </w:r>
      <w:r w:rsidRPr="00D56C84">
        <w:t>Territory Government</w:t>
      </w:r>
      <w:r w:rsidR="001F146F" w:rsidRPr="00D56C84">
        <w:t xml:space="preserve"> and operated by a private contractor</w:t>
      </w:r>
      <w:r w:rsidRPr="00D56C84">
        <w:t xml:space="preserve">. Data on waste disposed to landfill is gathered from the ACT </w:t>
      </w:r>
      <w:proofErr w:type="spellStart"/>
      <w:r w:rsidRPr="00D56C84">
        <w:t>NOWaste</w:t>
      </w:r>
      <w:proofErr w:type="spellEnd"/>
      <w:r w:rsidRPr="00D56C84">
        <w:t xml:space="preserve"> weighbridge transaction database.</w:t>
      </w:r>
    </w:p>
    <w:p w:rsidR="00F61F6E" w:rsidRDefault="00F61F6E">
      <w:pPr>
        <w:spacing w:after="0" w:line="240" w:lineRule="auto"/>
        <w:ind w:left="0"/>
      </w:pPr>
      <w:r>
        <w:br w:type="page"/>
      </w:r>
    </w:p>
    <w:p w:rsidR="00C77697" w:rsidRPr="00D56C84" w:rsidRDefault="00C77697" w:rsidP="00C77697">
      <w:pPr>
        <w:pStyle w:val="Heading2"/>
      </w:pPr>
      <w:bookmarkStart w:id="122" w:name="_Toc307470465"/>
      <w:r w:rsidRPr="00D56C84">
        <w:lastRenderedPageBreak/>
        <w:t xml:space="preserve">Performance </w:t>
      </w:r>
      <w:r w:rsidR="00085D2C">
        <w:t>in the ACT</w:t>
      </w:r>
      <w:bookmarkEnd w:id="122"/>
    </w:p>
    <w:p w:rsidR="001F146F" w:rsidRPr="00D56C84" w:rsidRDefault="001F146F" w:rsidP="000126C8">
      <w:pPr>
        <w:pStyle w:val="ParaIndent"/>
        <w:jc w:val="both"/>
      </w:pPr>
      <w:r w:rsidRPr="00D56C84">
        <w:t xml:space="preserve">ACT </w:t>
      </w:r>
      <w:proofErr w:type="spellStart"/>
      <w:r w:rsidRPr="00D56C84">
        <w:t>NOWaste</w:t>
      </w:r>
      <w:proofErr w:type="spellEnd"/>
      <w:r w:rsidRPr="00D56C84">
        <w:t xml:space="preserve"> provides the following summary of information, gained from the weighbridge transaction database at the Mugga Land Landfill, and stakeholder surveys with approximately 100 relevant organisations within the ACT. </w:t>
      </w:r>
      <w:r w:rsidR="00D97841" w:rsidRPr="00D56C84">
        <w:t>The information includes summaries of commercial waste performance, as well as municipal waste performance.</w:t>
      </w:r>
    </w:p>
    <w:p w:rsidR="001F146F" w:rsidRPr="00D56C84" w:rsidRDefault="001F146F" w:rsidP="00F61F6E">
      <w:pPr>
        <w:pStyle w:val="PointsBullets"/>
      </w:pPr>
      <w:r w:rsidRPr="00D56C84">
        <w:t>In 2009</w:t>
      </w:r>
      <w:r w:rsidR="00A9017D">
        <w:rPr>
          <w:rFonts w:cs="Arial"/>
        </w:rPr>
        <w:t>–</w:t>
      </w:r>
      <w:r w:rsidRPr="00D56C84">
        <w:t>10, approximately 229,000 tonnes of waste was sent to landfill. This was an increase of almost 15,000 tonnes (or 7%) from the previous year. The total amount of recycling and resource recovery was approximately 588,000 tonnes, which is a small increase (3,000 tonnes, or less than 1%) from the previous year.</w:t>
      </w:r>
    </w:p>
    <w:p w:rsidR="001F146F" w:rsidRPr="00D56C84" w:rsidRDefault="001F146F" w:rsidP="00F61F6E">
      <w:pPr>
        <w:pStyle w:val="PointsBullets"/>
      </w:pPr>
      <w:r w:rsidRPr="00D56C84">
        <w:t>The percentage of total waste recycled in 2009</w:t>
      </w:r>
      <w:r w:rsidR="00A9017D">
        <w:rPr>
          <w:rFonts w:cs="Arial"/>
        </w:rPr>
        <w:t>–</w:t>
      </w:r>
      <w:r w:rsidRPr="00D56C84">
        <w:t>10 was around 72%, a 1% decrease from the previous year. Even though total resource recovery and recycling increased slightly, waste to landfill increased more quickly.</w:t>
      </w:r>
    </w:p>
    <w:p w:rsidR="001F146F" w:rsidRPr="00D56C84" w:rsidRDefault="001F146F" w:rsidP="00F61F6E">
      <w:pPr>
        <w:pStyle w:val="PointsBullets"/>
      </w:pPr>
      <w:r w:rsidRPr="00D56C84">
        <w:t>The major sector contributing waste to landfill was the Commercial and Industrial sector. Waste from that sector has comprised nearly half of all waste to landfill for the last 8 years.</w:t>
      </w:r>
    </w:p>
    <w:p w:rsidR="001F146F" w:rsidRPr="00D56C84" w:rsidRDefault="001F146F" w:rsidP="00F61F6E">
      <w:pPr>
        <w:pStyle w:val="PointsBullets"/>
      </w:pPr>
      <w:r w:rsidRPr="00D56C84">
        <w:t>Limited Construction and Demolition waste is sent to landfill as there are effective recycling arrangements in place. However, in 2009</w:t>
      </w:r>
      <w:r w:rsidR="00A9017D">
        <w:rPr>
          <w:rFonts w:cs="Arial"/>
        </w:rPr>
        <w:t>–</w:t>
      </w:r>
      <w:r w:rsidRPr="00D56C84">
        <w:t>10, waste to landfill from Construction and Demolition sources increased by 41% compared to the previous year (27,522 tonnes in 2008</w:t>
      </w:r>
      <w:r w:rsidR="00A9017D">
        <w:rPr>
          <w:rFonts w:cs="Arial"/>
        </w:rPr>
        <w:t>–</w:t>
      </w:r>
      <w:r w:rsidRPr="00D56C84">
        <w:t>09 and 38,895 tonnes in 2009</w:t>
      </w:r>
      <w:r w:rsidR="00A9017D">
        <w:rPr>
          <w:rFonts w:cs="Arial"/>
        </w:rPr>
        <w:t>–</w:t>
      </w:r>
      <w:r w:rsidRPr="00D56C84">
        <w:t>10). Some drivers of this increase include: improvements in the way waste is classified at weighbridges; increased activity in the building industry and changes to the local Construction and Demolition waste recycling industry.</w:t>
      </w:r>
    </w:p>
    <w:p w:rsidR="001F146F" w:rsidRPr="00D56C84" w:rsidRDefault="001F146F" w:rsidP="00F61F6E">
      <w:pPr>
        <w:pStyle w:val="PointsBullets"/>
      </w:pPr>
      <w:r w:rsidRPr="00D56C84">
        <w:t>Kerbside waste from households (ACT and Queanbeyan) increased slightly in 2009</w:t>
      </w:r>
      <w:r w:rsidR="00A9017D">
        <w:rPr>
          <w:rFonts w:cs="Arial"/>
        </w:rPr>
        <w:t>–</w:t>
      </w:r>
      <w:r w:rsidRPr="00D56C84">
        <w:t>10 by just over 1</w:t>
      </w:r>
      <w:r w:rsidR="008819D9" w:rsidRPr="00D56C84">
        <w:t>,</w:t>
      </w:r>
      <w:r w:rsidRPr="00D56C84">
        <w:t xml:space="preserve">000 tonnes, an increase of around 1.6%. This increase is slightly below growth in population (which the ABS estimates at around 1.8%). </w:t>
      </w:r>
      <w:proofErr w:type="spellStart"/>
      <w:r w:rsidRPr="00D56C84">
        <w:t>Canberrans</w:t>
      </w:r>
      <w:proofErr w:type="spellEnd"/>
      <w:r w:rsidRPr="00D56C84">
        <w:t xml:space="preserve"> recycle well, with 85% of standard recyclables (paper, plastic, glass and metals) and over 90% of green waste being recycled. However, 13% of the waste in kerbside garbage bins is still material which could be placed in recycling bins.</w:t>
      </w:r>
    </w:p>
    <w:p w:rsidR="001F146F" w:rsidRDefault="001F146F" w:rsidP="00F61F6E">
      <w:pPr>
        <w:pStyle w:val="PointsBullets"/>
      </w:pPr>
      <w:r w:rsidRPr="00D56C84">
        <w:t xml:space="preserve">There remain opportunities to improve overall levels of resource recovery above the current level of 72% with existing recycling services. New initiatives may lead to even greater improvements. More recycling in workplaces, including the </w:t>
      </w:r>
      <w:proofErr w:type="spellStart"/>
      <w:r w:rsidRPr="00D56C84">
        <w:t>ACTSmart</w:t>
      </w:r>
      <w:proofErr w:type="spellEnd"/>
      <w:r w:rsidRPr="00D56C84">
        <w:t xml:space="preserve"> business and office recycling program, to divert Commercial and Industrial waste from landfill present a great opportunity to reduce waste.</w:t>
      </w:r>
    </w:p>
    <w:p w:rsidR="00E452F0" w:rsidRDefault="00E452F0" w:rsidP="00E452F0">
      <w:pPr>
        <w:pStyle w:val="Heading2"/>
      </w:pPr>
      <w:bookmarkStart w:id="123" w:name="_Toc307470466"/>
      <w:r>
        <w:t>Summary</w:t>
      </w:r>
      <w:r w:rsidR="00085D2C">
        <w:t xml:space="preserve"> - ACT</w:t>
      </w:r>
      <w:bookmarkEnd w:id="123"/>
    </w:p>
    <w:p w:rsidR="005C0725" w:rsidRDefault="005C0725" w:rsidP="000126C8">
      <w:pPr>
        <w:pStyle w:val="ParaIndent"/>
        <w:jc w:val="both"/>
      </w:pPr>
      <w:r>
        <w:t xml:space="preserve">Based on research for this report, the degree to which information about municipal waste and recycling in </w:t>
      </w:r>
      <w:r w:rsidR="00085D2C">
        <w:t>the ACT</w:t>
      </w:r>
      <w:r>
        <w:t xml:space="preserve"> meets the needs of users is considered to be HIGH.</w:t>
      </w:r>
      <w:r w:rsidR="000A7FFA">
        <w:t xml:space="preserve"> It is noted that, due to commercial sensitivities associated with there being only being one coordinating body in the ACT, it is not practical to expect the same level of information to be made available as is possible in those jurisdictions where there are multiple LGAs to consider. </w:t>
      </w:r>
    </w:p>
    <w:p w:rsidR="00E452F0" w:rsidRPr="00D56C84" w:rsidRDefault="00E452F0" w:rsidP="000126C8">
      <w:pPr>
        <w:jc w:val="both"/>
      </w:pPr>
    </w:p>
    <w:p w:rsidR="00C77697" w:rsidRPr="00D56C84" w:rsidRDefault="00C77697">
      <w:pPr>
        <w:spacing w:after="0" w:line="240" w:lineRule="auto"/>
        <w:ind w:left="0"/>
      </w:pPr>
    </w:p>
    <w:p w:rsidR="00C77697" w:rsidRPr="00D56C84" w:rsidRDefault="00C77697">
      <w:pPr>
        <w:spacing w:after="0" w:line="240" w:lineRule="auto"/>
        <w:ind w:left="0"/>
        <w:rPr>
          <w:rFonts w:cs="Arial"/>
          <w:caps/>
          <w:color w:val="495F70"/>
          <w:kern w:val="28"/>
          <w:sz w:val="40"/>
        </w:rPr>
      </w:pPr>
      <w:r w:rsidRPr="00D56C84">
        <w:br w:type="page"/>
      </w:r>
    </w:p>
    <w:p w:rsidR="0099625B" w:rsidRPr="00D56C84" w:rsidRDefault="00AE5AB5" w:rsidP="00AA187D">
      <w:pPr>
        <w:pStyle w:val="Heading1"/>
      </w:pPr>
      <w:bookmarkStart w:id="124" w:name="_Toc307470467"/>
      <w:r w:rsidRPr="00D56C84">
        <w:lastRenderedPageBreak/>
        <w:t>Northern Territory</w:t>
      </w:r>
      <w:bookmarkEnd w:id="124"/>
    </w:p>
    <w:p w:rsidR="00C10A36" w:rsidRPr="00D56C84" w:rsidRDefault="00C10A36" w:rsidP="000126C8">
      <w:pPr>
        <w:pStyle w:val="ParaIndent"/>
        <w:jc w:val="both"/>
      </w:pPr>
      <w:r w:rsidRPr="00D56C84">
        <w:t xml:space="preserve">There are 16 Local Government Areas in the Northern Territory, and all are considered remote. As outlined in </w:t>
      </w:r>
      <w:fldSimple w:instr=" REF _Ref297117476 \h  \* MERGEFORMAT ">
        <w:r w:rsidR="00166111" w:rsidRPr="00D56C84">
          <w:t xml:space="preserve">Table </w:t>
        </w:r>
        <w:r w:rsidR="00166111">
          <w:t>4</w:t>
        </w:r>
        <w:r w:rsidR="00166111" w:rsidRPr="00D56C84">
          <w:t>-</w:t>
        </w:r>
        <w:r w:rsidR="00166111">
          <w:t>4</w:t>
        </w:r>
      </w:fldSimple>
      <w:r w:rsidRPr="00D56C84">
        <w:t>, the availability of LGA-specific waste and recycling information is generally rated as ‘low’ within this jurisdiction.</w:t>
      </w:r>
    </w:p>
    <w:p w:rsidR="00C10A36" w:rsidRPr="00D56C84" w:rsidRDefault="00C10A36" w:rsidP="000126C8">
      <w:pPr>
        <w:pStyle w:val="ParaIndent"/>
        <w:jc w:val="both"/>
      </w:pPr>
      <w:r w:rsidRPr="00D56C84">
        <w:t xml:space="preserve">This chapter provides an overview of the role of local government in this state in relation to waste management and recycling, as well as explaining the information reporting pathways for relevant information. Due to the low level of publicly available information relating to specific LGAs within this jurisdiction, there is limited information available regarding performance in terms of service provision, landfill diversion rates or costs. </w:t>
      </w:r>
    </w:p>
    <w:p w:rsidR="00AA187D" w:rsidRPr="00D56C84" w:rsidRDefault="00AA187D" w:rsidP="00AA187D">
      <w:pPr>
        <w:pStyle w:val="Heading2"/>
      </w:pPr>
      <w:bookmarkStart w:id="125" w:name="_Toc307470468"/>
      <w:r w:rsidRPr="00D56C84">
        <w:t>The role of local government</w:t>
      </w:r>
      <w:r w:rsidR="00085D2C">
        <w:t xml:space="preserve"> in the NT</w:t>
      </w:r>
      <w:bookmarkEnd w:id="125"/>
    </w:p>
    <w:p w:rsidR="007F4A7A" w:rsidRPr="00D56C84" w:rsidRDefault="007F4A7A" w:rsidP="000126C8">
      <w:pPr>
        <w:pStyle w:val="ParaIndent"/>
        <w:spacing w:after="60"/>
        <w:jc w:val="both"/>
        <w:rPr>
          <w:rFonts w:cs="Arial"/>
          <w:lang w:eastAsia="en-AU"/>
        </w:rPr>
      </w:pPr>
      <w:r w:rsidRPr="00D56C84">
        <w:t xml:space="preserve">The </w:t>
      </w:r>
      <w:r w:rsidRPr="00243C72">
        <w:rPr>
          <w:i/>
        </w:rPr>
        <w:t>Local Government Act (2008)</w:t>
      </w:r>
      <w:r w:rsidRPr="00D56C84">
        <w:t xml:space="preserve"> is ‘broadly enabling’ with respect to the functions of local government in the Northern Territory</w:t>
      </w:r>
      <w:r w:rsidR="00D95FE7" w:rsidRPr="00D56C84">
        <w:t xml:space="preserve"> (NT)</w:t>
      </w:r>
      <w:r w:rsidRPr="00D56C84">
        <w:t>. The most relevant clause to waste management is:</w:t>
      </w:r>
    </w:p>
    <w:p w:rsidR="00FC1D0C" w:rsidRPr="00D56C84" w:rsidRDefault="00FC1D0C" w:rsidP="000126C8">
      <w:pPr>
        <w:pStyle w:val="ParaIndent"/>
        <w:spacing w:after="60"/>
        <w:ind w:left="1701"/>
        <w:jc w:val="both"/>
        <w:rPr>
          <w:b/>
          <w:sz w:val="18"/>
          <w:szCs w:val="18"/>
        </w:rPr>
      </w:pPr>
      <w:bookmarkStart w:id="126" w:name="_Toc198343220"/>
      <w:r w:rsidRPr="00D56C84">
        <w:rPr>
          <w:b/>
          <w:sz w:val="18"/>
          <w:szCs w:val="18"/>
        </w:rPr>
        <w:t>11. Principal role of council</w:t>
      </w:r>
      <w:bookmarkEnd w:id="126"/>
    </w:p>
    <w:p w:rsidR="00FC1D0C" w:rsidRPr="00D56C84" w:rsidRDefault="00FC1D0C" w:rsidP="000126C8">
      <w:pPr>
        <w:pStyle w:val="Sectiontext"/>
        <w:rPr>
          <w:rFonts w:ascii="Arial" w:eastAsia="Times New Roman" w:hAnsi="Arial" w:cs="Times New Roman"/>
          <w:sz w:val="18"/>
          <w:szCs w:val="18"/>
          <w:lang w:eastAsia="en-US"/>
        </w:rPr>
      </w:pPr>
      <w:r w:rsidRPr="00D56C84">
        <w:rPr>
          <w:rFonts w:ascii="Arial" w:eastAsia="Times New Roman" w:hAnsi="Arial" w:cs="Times New Roman"/>
          <w:sz w:val="18"/>
          <w:szCs w:val="18"/>
          <w:lang w:eastAsia="en-US"/>
        </w:rPr>
        <w:t>The role of a council is:</w:t>
      </w:r>
    </w:p>
    <w:p w:rsidR="00FC1D0C" w:rsidRPr="00D56C84" w:rsidRDefault="00FC1D0C" w:rsidP="000126C8">
      <w:pPr>
        <w:pStyle w:val="ParaIndent"/>
        <w:ind w:left="1985"/>
        <w:jc w:val="both"/>
        <w:rPr>
          <w:sz w:val="18"/>
          <w:szCs w:val="18"/>
        </w:rPr>
      </w:pPr>
      <w:r w:rsidRPr="00D56C84">
        <w:rPr>
          <w:sz w:val="18"/>
          <w:szCs w:val="18"/>
        </w:rPr>
        <w:t>(...)</w:t>
      </w:r>
      <w:r w:rsidRPr="00D56C84">
        <w:rPr>
          <w:sz w:val="18"/>
          <w:szCs w:val="18"/>
        </w:rPr>
        <w:tab/>
      </w:r>
    </w:p>
    <w:p w:rsidR="00FC1D0C" w:rsidRPr="00D56C84" w:rsidRDefault="00FC1D0C" w:rsidP="000126C8">
      <w:pPr>
        <w:pStyle w:val="ParaIndent"/>
        <w:ind w:left="1985"/>
        <w:jc w:val="both"/>
        <w:rPr>
          <w:sz w:val="18"/>
          <w:szCs w:val="18"/>
        </w:rPr>
      </w:pPr>
      <w:r w:rsidRPr="00D56C84">
        <w:rPr>
          <w:sz w:val="18"/>
          <w:szCs w:val="18"/>
        </w:rPr>
        <w:t>(c)</w:t>
      </w:r>
      <w:r w:rsidRPr="00D56C84">
        <w:rPr>
          <w:sz w:val="18"/>
          <w:szCs w:val="18"/>
        </w:rPr>
        <w:tab/>
      </w:r>
      <w:proofErr w:type="gramStart"/>
      <w:r w:rsidRPr="00D56C84">
        <w:rPr>
          <w:sz w:val="18"/>
          <w:szCs w:val="18"/>
        </w:rPr>
        <w:t>to</w:t>
      </w:r>
      <w:proofErr w:type="gramEnd"/>
      <w:r w:rsidRPr="00D56C84">
        <w:rPr>
          <w:sz w:val="18"/>
          <w:szCs w:val="18"/>
        </w:rPr>
        <w:t xml:space="preserve"> provide and coordinate public facilities and services; and</w:t>
      </w:r>
    </w:p>
    <w:p w:rsidR="00FC1D0C" w:rsidRPr="00D56C84" w:rsidRDefault="00FC1D0C" w:rsidP="000126C8">
      <w:pPr>
        <w:pStyle w:val="ParaIndent"/>
        <w:ind w:left="1985"/>
        <w:jc w:val="both"/>
        <w:rPr>
          <w:sz w:val="18"/>
          <w:szCs w:val="18"/>
        </w:rPr>
      </w:pPr>
      <w:r w:rsidRPr="00D56C84">
        <w:rPr>
          <w:sz w:val="18"/>
          <w:szCs w:val="18"/>
        </w:rPr>
        <w:t>(...)</w:t>
      </w:r>
    </w:p>
    <w:p w:rsidR="00FC1D0C" w:rsidRPr="00D56C84" w:rsidRDefault="00FC1D0C" w:rsidP="000126C8">
      <w:pPr>
        <w:pStyle w:val="ParaIndent"/>
        <w:spacing w:after="60"/>
        <w:jc w:val="both"/>
      </w:pPr>
      <w:bookmarkStart w:id="127" w:name="_Toc198343221"/>
      <w:r w:rsidRPr="00D56C84">
        <w:t>A number of the functions of a council, as defined in the Act, are also of relevance to waste management responsibilities:</w:t>
      </w:r>
    </w:p>
    <w:p w:rsidR="00FC1D0C" w:rsidRPr="00D56C84" w:rsidRDefault="00FC1D0C" w:rsidP="000126C8">
      <w:pPr>
        <w:pStyle w:val="ParaIndent"/>
        <w:spacing w:after="60"/>
        <w:ind w:left="1701"/>
        <w:jc w:val="both"/>
        <w:rPr>
          <w:b/>
          <w:sz w:val="18"/>
          <w:szCs w:val="18"/>
        </w:rPr>
      </w:pPr>
      <w:r w:rsidRPr="00D56C84">
        <w:rPr>
          <w:b/>
          <w:sz w:val="18"/>
          <w:szCs w:val="18"/>
        </w:rPr>
        <w:t>12. Functions of a council</w:t>
      </w:r>
      <w:bookmarkEnd w:id="127"/>
    </w:p>
    <w:p w:rsidR="00FC1D0C" w:rsidRPr="00D56C84" w:rsidRDefault="00FC1D0C" w:rsidP="000126C8">
      <w:pPr>
        <w:pStyle w:val="ParaIndent"/>
        <w:spacing w:after="60"/>
        <w:ind w:firstLine="567"/>
        <w:jc w:val="both"/>
        <w:rPr>
          <w:sz w:val="18"/>
          <w:szCs w:val="18"/>
        </w:rPr>
      </w:pPr>
      <w:r w:rsidRPr="00D56C84">
        <w:rPr>
          <w:sz w:val="18"/>
          <w:szCs w:val="18"/>
        </w:rPr>
        <w:t>(1)</w:t>
      </w:r>
      <w:r w:rsidRPr="00D56C84">
        <w:rPr>
          <w:sz w:val="18"/>
          <w:szCs w:val="18"/>
        </w:rPr>
        <w:tab/>
        <w:t>The functions of a council include the following:</w:t>
      </w:r>
    </w:p>
    <w:p w:rsidR="00FC1D0C" w:rsidRPr="00D56C84" w:rsidRDefault="00FC1D0C" w:rsidP="000126C8">
      <w:pPr>
        <w:pStyle w:val="ParaIndent"/>
        <w:ind w:left="1985"/>
        <w:jc w:val="both"/>
        <w:rPr>
          <w:sz w:val="18"/>
          <w:szCs w:val="18"/>
        </w:rPr>
      </w:pPr>
      <w:r w:rsidRPr="00D56C84">
        <w:rPr>
          <w:sz w:val="18"/>
          <w:szCs w:val="18"/>
        </w:rPr>
        <w:t>(a)</w:t>
      </w:r>
      <w:r w:rsidRPr="00D56C84">
        <w:rPr>
          <w:sz w:val="18"/>
          <w:szCs w:val="18"/>
        </w:rPr>
        <w:tab/>
      </w:r>
      <w:proofErr w:type="gramStart"/>
      <w:r w:rsidRPr="00D56C84">
        <w:rPr>
          <w:sz w:val="18"/>
          <w:szCs w:val="18"/>
        </w:rPr>
        <w:t>to</w:t>
      </w:r>
      <w:proofErr w:type="gramEnd"/>
      <w:r w:rsidRPr="00D56C84">
        <w:rPr>
          <w:sz w:val="18"/>
          <w:szCs w:val="18"/>
        </w:rPr>
        <w:t xml:space="preserve"> plan for the future requirements of its area for local government services; </w:t>
      </w:r>
    </w:p>
    <w:p w:rsidR="00FC1D0C" w:rsidRPr="00D56C84" w:rsidRDefault="00FC1D0C" w:rsidP="000126C8">
      <w:pPr>
        <w:pStyle w:val="ParaIndent"/>
        <w:ind w:left="1985"/>
        <w:jc w:val="both"/>
        <w:rPr>
          <w:sz w:val="18"/>
          <w:szCs w:val="18"/>
        </w:rPr>
      </w:pPr>
      <w:r w:rsidRPr="00D56C84">
        <w:rPr>
          <w:sz w:val="18"/>
          <w:szCs w:val="18"/>
        </w:rPr>
        <w:t>(b)</w:t>
      </w:r>
      <w:r w:rsidRPr="00D56C84">
        <w:rPr>
          <w:sz w:val="18"/>
          <w:szCs w:val="18"/>
        </w:rPr>
        <w:tab/>
      </w:r>
      <w:proofErr w:type="gramStart"/>
      <w:r w:rsidRPr="00D56C84">
        <w:rPr>
          <w:sz w:val="18"/>
          <w:szCs w:val="18"/>
        </w:rPr>
        <w:t>to</w:t>
      </w:r>
      <w:proofErr w:type="gramEnd"/>
      <w:r w:rsidRPr="00D56C84">
        <w:rPr>
          <w:sz w:val="18"/>
          <w:szCs w:val="18"/>
        </w:rPr>
        <w:t xml:space="preserve"> provide services and facilities for the benefit of its area, its residents and visitors; </w:t>
      </w:r>
    </w:p>
    <w:p w:rsidR="00FC1D0C" w:rsidRPr="00D56C84" w:rsidRDefault="00FC1D0C" w:rsidP="000126C8">
      <w:pPr>
        <w:pStyle w:val="ParaIndent"/>
        <w:ind w:left="1985"/>
        <w:jc w:val="both"/>
        <w:rPr>
          <w:sz w:val="18"/>
          <w:szCs w:val="18"/>
        </w:rPr>
      </w:pPr>
      <w:r w:rsidRPr="00D56C84">
        <w:rPr>
          <w:sz w:val="18"/>
          <w:szCs w:val="18"/>
        </w:rPr>
        <w:t>(...)</w:t>
      </w:r>
      <w:r w:rsidRPr="00D56C84">
        <w:rPr>
          <w:sz w:val="18"/>
          <w:szCs w:val="18"/>
        </w:rPr>
        <w:tab/>
        <w:t xml:space="preserve"> </w:t>
      </w:r>
    </w:p>
    <w:p w:rsidR="00FC1D0C" w:rsidRPr="00D56C84" w:rsidRDefault="00FC1D0C" w:rsidP="000126C8">
      <w:pPr>
        <w:pStyle w:val="ParaIndent"/>
        <w:ind w:left="1985"/>
        <w:jc w:val="both"/>
        <w:rPr>
          <w:sz w:val="18"/>
          <w:szCs w:val="18"/>
        </w:rPr>
      </w:pPr>
      <w:r w:rsidRPr="00D56C84">
        <w:rPr>
          <w:sz w:val="18"/>
          <w:szCs w:val="18"/>
        </w:rPr>
        <w:t>(e)</w:t>
      </w:r>
      <w:r w:rsidRPr="00D56C84">
        <w:rPr>
          <w:sz w:val="18"/>
          <w:szCs w:val="18"/>
        </w:rPr>
        <w:tab/>
      </w:r>
      <w:proofErr w:type="gramStart"/>
      <w:r w:rsidRPr="00D56C84">
        <w:rPr>
          <w:sz w:val="18"/>
          <w:szCs w:val="18"/>
        </w:rPr>
        <w:t>to</w:t>
      </w:r>
      <w:proofErr w:type="gramEnd"/>
      <w:r w:rsidRPr="00D56C84">
        <w:rPr>
          <w:sz w:val="18"/>
          <w:szCs w:val="18"/>
        </w:rPr>
        <w:t xml:space="preserve"> manage and develop council facilities and services in its area in a sustainable way;</w:t>
      </w:r>
    </w:p>
    <w:p w:rsidR="007F4A7A" w:rsidRPr="00D56C84" w:rsidRDefault="00FC1D0C" w:rsidP="000126C8">
      <w:pPr>
        <w:pStyle w:val="ParaIndent"/>
        <w:ind w:left="1985"/>
        <w:jc w:val="both"/>
        <w:rPr>
          <w:sz w:val="18"/>
          <w:szCs w:val="18"/>
        </w:rPr>
      </w:pPr>
      <w:r w:rsidRPr="00D56C84">
        <w:rPr>
          <w:sz w:val="18"/>
          <w:szCs w:val="18"/>
        </w:rPr>
        <w:t>(...)</w:t>
      </w:r>
    </w:p>
    <w:p w:rsidR="00F11D56" w:rsidRPr="00D56C84" w:rsidRDefault="00F11D56" w:rsidP="000126C8">
      <w:pPr>
        <w:pStyle w:val="ParaIndent"/>
        <w:spacing w:after="60"/>
        <w:jc w:val="both"/>
      </w:pPr>
      <w:r w:rsidRPr="00D56C84">
        <w:t xml:space="preserve">The </w:t>
      </w:r>
      <w:r w:rsidRPr="00D56C84">
        <w:rPr>
          <w:i/>
        </w:rPr>
        <w:t xml:space="preserve">Public Health (Night-soil, Garbage, Cesspits, Wells and Water) </w:t>
      </w:r>
      <w:r w:rsidRPr="00243C72">
        <w:rPr>
          <w:i/>
        </w:rPr>
        <w:t>Regulations (2008)</w:t>
      </w:r>
      <w:r w:rsidRPr="00D56C84">
        <w:t xml:space="preserve"> </w:t>
      </w:r>
      <w:r w:rsidR="00DB1E8C" w:rsidRPr="00D56C84">
        <w:t>outlines council powers in relation to charging for garbage collection:</w:t>
      </w:r>
    </w:p>
    <w:p w:rsidR="00F11D56" w:rsidRPr="00D56C84" w:rsidRDefault="00F11D56" w:rsidP="000126C8">
      <w:pPr>
        <w:pStyle w:val="ParaIndent"/>
        <w:spacing w:after="60"/>
        <w:ind w:left="1701"/>
        <w:jc w:val="both"/>
        <w:rPr>
          <w:b/>
          <w:sz w:val="18"/>
          <w:szCs w:val="18"/>
        </w:rPr>
      </w:pPr>
      <w:bookmarkStart w:id="128" w:name="_Hlk63666527"/>
      <w:bookmarkStart w:id="129" w:name="_Toc258851887"/>
      <w:r w:rsidRPr="00D56C84">
        <w:rPr>
          <w:b/>
          <w:sz w:val="18"/>
          <w:szCs w:val="18"/>
        </w:rPr>
        <w:t>40</w:t>
      </w:r>
      <w:bookmarkEnd w:id="128"/>
      <w:r w:rsidRPr="00D56C84">
        <w:rPr>
          <w:b/>
          <w:sz w:val="18"/>
          <w:szCs w:val="18"/>
        </w:rPr>
        <w:tab/>
        <w:t>Night-soil and garbage charges</w:t>
      </w:r>
      <w:bookmarkEnd w:id="129"/>
    </w:p>
    <w:p w:rsidR="00F11D56" w:rsidRPr="00D56C84" w:rsidRDefault="00F11D56" w:rsidP="000126C8">
      <w:pPr>
        <w:pStyle w:val="ParaIndent"/>
        <w:spacing w:after="60"/>
        <w:ind w:firstLine="567"/>
        <w:jc w:val="both"/>
        <w:rPr>
          <w:sz w:val="18"/>
          <w:szCs w:val="18"/>
        </w:rPr>
      </w:pPr>
      <w:r w:rsidRPr="00D56C84">
        <w:rPr>
          <w:sz w:val="18"/>
          <w:szCs w:val="18"/>
        </w:rPr>
        <w:tab/>
        <w:t>(1)</w:t>
      </w:r>
      <w:r w:rsidRPr="00D56C84">
        <w:rPr>
          <w:sz w:val="18"/>
          <w:szCs w:val="18"/>
        </w:rPr>
        <w:tab/>
        <w:t>The Minister may:</w:t>
      </w:r>
    </w:p>
    <w:p w:rsidR="00F11D56" w:rsidRPr="00D56C84" w:rsidRDefault="00F11D56" w:rsidP="000126C8">
      <w:pPr>
        <w:pStyle w:val="ParaIndent"/>
        <w:ind w:left="1985"/>
        <w:jc w:val="both"/>
        <w:rPr>
          <w:sz w:val="18"/>
          <w:szCs w:val="18"/>
        </w:rPr>
      </w:pPr>
      <w:r w:rsidRPr="00D56C84">
        <w:rPr>
          <w:sz w:val="18"/>
          <w:szCs w:val="18"/>
        </w:rPr>
        <w:t>(a)</w:t>
      </w:r>
      <w:r w:rsidRPr="00D56C84">
        <w:rPr>
          <w:sz w:val="18"/>
          <w:szCs w:val="18"/>
        </w:rPr>
        <w:tab/>
      </w:r>
      <w:proofErr w:type="gramStart"/>
      <w:r w:rsidRPr="00D56C84">
        <w:rPr>
          <w:sz w:val="18"/>
          <w:szCs w:val="18"/>
        </w:rPr>
        <w:t>make</w:t>
      </w:r>
      <w:proofErr w:type="gramEnd"/>
      <w:r w:rsidRPr="00D56C84">
        <w:rPr>
          <w:sz w:val="18"/>
          <w:szCs w:val="18"/>
        </w:rPr>
        <w:t xml:space="preserve"> arrangements for the regular collection of night-soil, or garbage, or both, from premises, being premises not within the Municipality of Darwin; and</w:t>
      </w:r>
    </w:p>
    <w:p w:rsidR="00F11D56" w:rsidRPr="00D56C84" w:rsidRDefault="00F11D56" w:rsidP="000126C8">
      <w:pPr>
        <w:pStyle w:val="ParaIndent"/>
        <w:ind w:left="1985"/>
        <w:jc w:val="both"/>
        <w:rPr>
          <w:sz w:val="18"/>
          <w:szCs w:val="18"/>
        </w:rPr>
      </w:pPr>
      <w:r w:rsidRPr="00D56C84">
        <w:rPr>
          <w:sz w:val="18"/>
          <w:szCs w:val="18"/>
        </w:rPr>
        <w:t>(b)</w:t>
      </w:r>
      <w:r w:rsidRPr="00D56C84">
        <w:rPr>
          <w:sz w:val="18"/>
          <w:szCs w:val="18"/>
        </w:rPr>
        <w:tab/>
      </w:r>
      <w:proofErr w:type="gramStart"/>
      <w:r w:rsidRPr="00D56C84">
        <w:rPr>
          <w:sz w:val="18"/>
          <w:szCs w:val="18"/>
        </w:rPr>
        <w:t>by</w:t>
      </w:r>
      <w:proofErr w:type="gramEnd"/>
      <w:r w:rsidRPr="00D56C84">
        <w:rPr>
          <w:sz w:val="18"/>
          <w:szCs w:val="18"/>
        </w:rPr>
        <w:t xml:space="preserve"> notice in the Gazette and in at least 2 newspapers published in the Northern Territory declare:</w:t>
      </w:r>
    </w:p>
    <w:p w:rsidR="00F11D56" w:rsidRPr="00D56C84" w:rsidRDefault="00F11D56" w:rsidP="000126C8">
      <w:pPr>
        <w:pStyle w:val="ParaIndent"/>
        <w:ind w:left="1985"/>
        <w:jc w:val="both"/>
        <w:rPr>
          <w:sz w:val="18"/>
          <w:szCs w:val="18"/>
        </w:rPr>
      </w:pPr>
      <w:r w:rsidRPr="00D56C84">
        <w:rPr>
          <w:sz w:val="18"/>
          <w:szCs w:val="18"/>
        </w:rPr>
        <w:t>(...)</w:t>
      </w:r>
    </w:p>
    <w:p w:rsidR="00F11D56" w:rsidRPr="00D56C84" w:rsidRDefault="00F11D56" w:rsidP="000126C8">
      <w:pPr>
        <w:pStyle w:val="ParaIndent"/>
        <w:ind w:left="1985"/>
        <w:jc w:val="both"/>
        <w:rPr>
          <w:sz w:val="18"/>
          <w:szCs w:val="18"/>
        </w:rPr>
      </w:pPr>
      <w:r w:rsidRPr="00D56C84">
        <w:rPr>
          <w:sz w:val="18"/>
          <w:szCs w:val="18"/>
        </w:rPr>
        <w:t>(ii)</w:t>
      </w:r>
      <w:r w:rsidRPr="00D56C84">
        <w:rPr>
          <w:sz w:val="18"/>
          <w:szCs w:val="18"/>
        </w:rPr>
        <w:tab/>
      </w:r>
      <w:proofErr w:type="gramStart"/>
      <w:r w:rsidRPr="00D56C84">
        <w:rPr>
          <w:sz w:val="18"/>
          <w:szCs w:val="18"/>
        </w:rPr>
        <w:t>a</w:t>
      </w:r>
      <w:proofErr w:type="gramEnd"/>
      <w:r w:rsidRPr="00D56C84">
        <w:rPr>
          <w:sz w:val="18"/>
          <w:szCs w:val="18"/>
        </w:rPr>
        <w:t xml:space="preserve"> garbage charge in respect of the collection of garbage; or</w:t>
      </w:r>
    </w:p>
    <w:p w:rsidR="00F11D56" w:rsidRPr="00D56C84" w:rsidRDefault="00F11D56" w:rsidP="000126C8">
      <w:pPr>
        <w:pStyle w:val="ParaIndent"/>
        <w:ind w:left="1985"/>
        <w:jc w:val="both"/>
        <w:rPr>
          <w:sz w:val="18"/>
          <w:szCs w:val="18"/>
        </w:rPr>
      </w:pPr>
      <w:r w:rsidRPr="00D56C84">
        <w:rPr>
          <w:sz w:val="18"/>
          <w:szCs w:val="18"/>
        </w:rPr>
        <w:lastRenderedPageBreak/>
        <w:t>(iii)</w:t>
      </w:r>
      <w:r w:rsidRPr="00D56C84">
        <w:rPr>
          <w:sz w:val="18"/>
          <w:szCs w:val="18"/>
        </w:rPr>
        <w:tab/>
      </w:r>
      <w:proofErr w:type="gramStart"/>
      <w:r w:rsidRPr="00D56C84">
        <w:rPr>
          <w:sz w:val="18"/>
          <w:szCs w:val="18"/>
        </w:rPr>
        <w:t>a</w:t>
      </w:r>
      <w:proofErr w:type="gramEnd"/>
      <w:r w:rsidRPr="00D56C84">
        <w:rPr>
          <w:sz w:val="18"/>
          <w:szCs w:val="18"/>
        </w:rPr>
        <w:t xml:space="preserve"> sanitary and garbage charge in respect of the collection of night-soil and garbage, from such premises.</w:t>
      </w:r>
    </w:p>
    <w:p w:rsidR="00FC1D0C" w:rsidRPr="00D56C84" w:rsidRDefault="00F11D56" w:rsidP="000126C8">
      <w:pPr>
        <w:pStyle w:val="ParaIndent"/>
        <w:spacing w:after="60"/>
        <w:ind w:firstLine="567"/>
        <w:jc w:val="both"/>
        <w:rPr>
          <w:sz w:val="18"/>
          <w:szCs w:val="18"/>
        </w:rPr>
      </w:pPr>
      <w:r w:rsidRPr="00D56C84">
        <w:tab/>
      </w:r>
      <w:r w:rsidRPr="00D56C84">
        <w:rPr>
          <w:sz w:val="18"/>
          <w:szCs w:val="18"/>
        </w:rPr>
        <w:t>(2)</w:t>
      </w:r>
      <w:r w:rsidRPr="00D56C84">
        <w:rPr>
          <w:sz w:val="18"/>
          <w:szCs w:val="18"/>
        </w:rPr>
        <w:tab/>
        <w:t xml:space="preserve">The Minister or an officer authorised in that behalf by the Minister may make arrangements for collection, additional to the collection referred to in </w:t>
      </w:r>
      <w:proofErr w:type="spellStart"/>
      <w:r w:rsidRPr="00D56C84">
        <w:rPr>
          <w:sz w:val="18"/>
          <w:szCs w:val="18"/>
        </w:rPr>
        <w:t>subregulation</w:t>
      </w:r>
      <w:proofErr w:type="spellEnd"/>
      <w:r w:rsidRPr="00D56C84">
        <w:rPr>
          <w:sz w:val="18"/>
          <w:szCs w:val="18"/>
        </w:rPr>
        <w:t xml:space="preserve"> (1), of night-soil or garbage, or both, from such premises and on such terms and conditions as he thinks fit, and may charge a fee for this additional collection.</w:t>
      </w:r>
    </w:p>
    <w:p w:rsidR="00806A58" w:rsidRPr="00D56C84" w:rsidRDefault="00806A58" w:rsidP="000126C8">
      <w:pPr>
        <w:pStyle w:val="ParaIndent"/>
        <w:spacing w:after="60"/>
        <w:jc w:val="both"/>
        <w:rPr>
          <w:iCs/>
        </w:rPr>
      </w:pPr>
      <w:r w:rsidRPr="00D56C84">
        <w:t xml:space="preserve">The objectives of the </w:t>
      </w:r>
      <w:r w:rsidRPr="00D56C84">
        <w:rPr>
          <w:i/>
          <w:iCs/>
        </w:rPr>
        <w:t xml:space="preserve">Waste Management and Pollution Control </w:t>
      </w:r>
      <w:r w:rsidRPr="00243C72">
        <w:rPr>
          <w:i/>
          <w:iCs/>
        </w:rPr>
        <w:t>Act (2009)</w:t>
      </w:r>
      <w:r w:rsidRPr="00D56C84">
        <w:rPr>
          <w:iCs/>
        </w:rPr>
        <w:t xml:space="preserve"> are:</w:t>
      </w:r>
    </w:p>
    <w:p w:rsidR="00806A58" w:rsidRPr="00D56C84" w:rsidRDefault="00806A58" w:rsidP="006E78EF">
      <w:pPr>
        <w:pStyle w:val="ParaIndent"/>
        <w:spacing w:after="60"/>
        <w:ind w:left="2268" w:hanging="567"/>
        <w:jc w:val="both"/>
        <w:rPr>
          <w:sz w:val="18"/>
          <w:szCs w:val="18"/>
        </w:rPr>
      </w:pPr>
      <w:r w:rsidRPr="00D56C84">
        <w:rPr>
          <w:sz w:val="18"/>
          <w:szCs w:val="18"/>
        </w:rPr>
        <w:t>(a)</w:t>
      </w:r>
      <w:r w:rsidRPr="00D56C84">
        <w:rPr>
          <w:sz w:val="18"/>
          <w:szCs w:val="18"/>
        </w:rPr>
        <w:tab/>
      </w:r>
      <w:proofErr w:type="gramStart"/>
      <w:r w:rsidRPr="00D56C84">
        <w:rPr>
          <w:sz w:val="18"/>
          <w:szCs w:val="18"/>
        </w:rPr>
        <w:t>to</w:t>
      </w:r>
      <w:proofErr w:type="gramEnd"/>
      <w:r w:rsidRPr="00D56C84">
        <w:rPr>
          <w:sz w:val="18"/>
          <w:szCs w:val="18"/>
        </w:rPr>
        <w:t xml:space="preserve"> protect, and where practicable to restore and enhance the quality of, the Territory environment by:</w:t>
      </w:r>
    </w:p>
    <w:p w:rsidR="00806A58" w:rsidRPr="00D56C84" w:rsidRDefault="00806A58" w:rsidP="000126C8">
      <w:pPr>
        <w:pStyle w:val="ParaIndent"/>
        <w:ind w:left="1985"/>
        <w:jc w:val="both"/>
        <w:rPr>
          <w:sz w:val="18"/>
          <w:szCs w:val="18"/>
        </w:rPr>
      </w:pPr>
      <w:r w:rsidRPr="00D56C84">
        <w:rPr>
          <w:sz w:val="18"/>
          <w:szCs w:val="18"/>
        </w:rPr>
        <w:t>(</w:t>
      </w:r>
      <w:proofErr w:type="spellStart"/>
      <w:r w:rsidRPr="00D56C84">
        <w:rPr>
          <w:sz w:val="18"/>
          <w:szCs w:val="18"/>
        </w:rPr>
        <w:t>i</w:t>
      </w:r>
      <w:proofErr w:type="spellEnd"/>
      <w:r w:rsidRPr="00D56C84">
        <w:rPr>
          <w:sz w:val="18"/>
          <w:szCs w:val="18"/>
        </w:rPr>
        <w:t>)</w:t>
      </w:r>
      <w:r w:rsidRPr="00D56C84">
        <w:rPr>
          <w:sz w:val="18"/>
          <w:szCs w:val="18"/>
        </w:rPr>
        <w:tab/>
      </w:r>
      <w:proofErr w:type="gramStart"/>
      <w:r w:rsidRPr="00D56C84">
        <w:rPr>
          <w:sz w:val="18"/>
          <w:szCs w:val="18"/>
        </w:rPr>
        <w:t>preventing</w:t>
      </w:r>
      <w:proofErr w:type="gramEnd"/>
      <w:r w:rsidRPr="00D56C84">
        <w:rPr>
          <w:sz w:val="18"/>
          <w:szCs w:val="18"/>
        </w:rPr>
        <w:t xml:space="preserve"> pollution;</w:t>
      </w:r>
    </w:p>
    <w:p w:rsidR="00806A58" w:rsidRPr="00D56C84" w:rsidRDefault="00806A58" w:rsidP="000126C8">
      <w:pPr>
        <w:pStyle w:val="ParaIndent"/>
        <w:ind w:left="1985"/>
        <w:jc w:val="both"/>
        <w:rPr>
          <w:sz w:val="18"/>
          <w:szCs w:val="18"/>
        </w:rPr>
      </w:pPr>
      <w:r w:rsidRPr="00D56C84">
        <w:rPr>
          <w:sz w:val="18"/>
          <w:szCs w:val="18"/>
        </w:rPr>
        <w:t>(ii)</w:t>
      </w:r>
      <w:r w:rsidRPr="00D56C84">
        <w:rPr>
          <w:sz w:val="18"/>
          <w:szCs w:val="18"/>
        </w:rPr>
        <w:tab/>
      </w:r>
      <w:proofErr w:type="gramStart"/>
      <w:r w:rsidRPr="00D56C84">
        <w:rPr>
          <w:sz w:val="18"/>
          <w:szCs w:val="18"/>
        </w:rPr>
        <w:t>reducing</w:t>
      </w:r>
      <w:proofErr w:type="gramEnd"/>
      <w:r w:rsidRPr="00D56C84">
        <w:rPr>
          <w:sz w:val="18"/>
          <w:szCs w:val="18"/>
        </w:rPr>
        <w:t xml:space="preserve"> the likelihood of pollution occurring;</w:t>
      </w:r>
    </w:p>
    <w:p w:rsidR="00806A58" w:rsidRPr="00D56C84" w:rsidRDefault="00806A58" w:rsidP="000126C8">
      <w:pPr>
        <w:pStyle w:val="ParaIndent"/>
        <w:ind w:left="1985"/>
        <w:jc w:val="both"/>
        <w:rPr>
          <w:sz w:val="18"/>
          <w:szCs w:val="18"/>
        </w:rPr>
      </w:pPr>
      <w:r w:rsidRPr="00D56C84">
        <w:rPr>
          <w:sz w:val="18"/>
          <w:szCs w:val="18"/>
        </w:rPr>
        <w:t>(iii)</w:t>
      </w:r>
      <w:r w:rsidRPr="00D56C84">
        <w:rPr>
          <w:sz w:val="18"/>
          <w:szCs w:val="18"/>
        </w:rPr>
        <w:tab/>
      </w:r>
      <w:proofErr w:type="gramStart"/>
      <w:r w:rsidRPr="00D56C84">
        <w:rPr>
          <w:sz w:val="18"/>
          <w:szCs w:val="18"/>
        </w:rPr>
        <w:t>effectively</w:t>
      </w:r>
      <w:proofErr w:type="gramEnd"/>
      <w:r w:rsidRPr="00D56C84">
        <w:rPr>
          <w:sz w:val="18"/>
          <w:szCs w:val="18"/>
        </w:rPr>
        <w:t xml:space="preserve"> responding to pollution;</w:t>
      </w:r>
    </w:p>
    <w:p w:rsidR="00806A58" w:rsidRPr="00D56C84" w:rsidRDefault="00806A58" w:rsidP="000126C8">
      <w:pPr>
        <w:pStyle w:val="ParaIndent"/>
        <w:ind w:left="1985"/>
        <w:jc w:val="both"/>
        <w:rPr>
          <w:sz w:val="18"/>
          <w:szCs w:val="18"/>
        </w:rPr>
      </w:pPr>
      <w:r w:rsidRPr="00D56C84">
        <w:rPr>
          <w:sz w:val="18"/>
          <w:szCs w:val="18"/>
        </w:rPr>
        <w:t>(iv)</w:t>
      </w:r>
      <w:r w:rsidRPr="00D56C84">
        <w:rPr>
          <w:sz w:val="18"/>
          <w:szCs w:val="18"/>
        </w:rPr>
        <w:tab/>
      </w:r>
      <w:proofErr w:type="gramStart"/>
      <w:r w:rsidRPr="00D56C84">
        <w:rPr>
          <w:sz w:val="18"/>
          <w:szCs w:val="18"/>
        </w:rPr>
        <w:t>avoiding</w:t>
      </w:r>
      <w:proofErr w:type="gramEnd"/>
      <w:r w:rsidRPr="00D56C84">
        <w:rPr>
          <w:sz w:val="18"/>
          <w:szCs w:val="18"/>
        </w:rPr>
        <w:t xml:space="preserve"> and reducing the generation of waste;</w:t>
      </w:r>
    </w:p>
    <w:p w:rsidR="00806A58" w:rsidRPr="00D56C84" w:rsidRDefault="00806A58" w:rsidP="000126C8">
      <w:pPr>
        <w:pStyle w:val="ParaIndent"/>
        <w:ind w:left="1985"/>
        <w:jc w:val="both"/>
        <w:rPr>
          <w:sz w:val="18"/>
          <w:szCs w:val="18"/>
        </w:rPr>
      </w:pPr>
      <w:r w:rsidRPr="00D56C84">
        <w:rPr>
          <w:sz w:val="18"/>
          <w:szCs w:val="18"/>
        </w:rPr>
        <w:t>(v)</w:t>
      </w:r>
      <w:r w:rsidRPr="00D56C84">
        <w:rPr>
          <w:sz w:val="18"/>
          <w:szCs w:val="18"/>
        </w:rPr>
        <w:tab/>
      </w:r>
      <w:proofErr w:type="gramStart"/>
      <w:r w:rsidRPr="00D56C84">
        <w:rPr>
          <w:sz w:val="18"/>
          <w:szCs w:val="18"/>
        </w:rPr>
        <w:t>increasing</w:t>
      </w:r>
      <w:proofErr w:type="gramEnd"/>
      <w:r w:rsidRPr="00D56C84">
        <w:rPr>
          <w:sz w:val="18"/>
          <w:szCs w:val="18"/>
        </w:rPr>
        <w:t xml:space="preserve"> the re-use and re-cycling of waste; and</w:t>
      </w:r>
    </w:p>
    <w:p w:rsidR="00806A58" w:rsidRPr="00D56C84" w:rsidRDefault="00806A58" w:rsidP="000126C8">
      <w:pPr>
        <w:pStyle w:val="ParaIndent"/>
        <w:ind w:left="1985"/>
        <w:jc w:val="both"/>
        <w:rPr>
          <w:sz w:val="18"/>
          <w:szCs w:val="18"/>
        </w:rPr>
      </w:pPr>
      <w:r w:rsidRPr="00D56C84">
        <w:rPr>
          <w:sz w:val="18"/>
          <w:szCs w:val="18"/>
        </w:rPr>
        <w:t>(vi)</w:t>
      </w:r>
      <w:r w:rsidRPr="00D56C84">
        <w:rPr>
          <w:sz w:val="18"/>
          <w:szCs w:val="18"/>
        </w:rPr>
        <w:tab/>
      </w:r>
      <w:proofErr w:type="gramStart"/>
      <w:r w:rsidRPr="00D56C84">
        <w:rPr>
          <w:sz w:val="18"/>
          <w:szCs w:val="18"/>
        </w:rPr>
        <w:t>effectively</w:t>
      </w:r>
      <w:proofErr w:type="gramEnd"/>
      <w:r w:rsidRPr="00D56C84">
        <w:rPr>
          <w:sz w:val="18"/>
          <w:szCs w:val="18"/>
        </w:rPr>
        <w:t xml:space="preserve"> managing waste disposal;</w:t>
      </w:r>
    </w:p>
    <w:p w:rsidR="00806A58" w:rsidRPr="00D56C84" w:rsidRDefault="00806A58" w:rsidP="000126C8">
      <w:pPr>
        <w:pStyle w:val="ParaIndent"/>
        <w:spacing w:after="60"/>
        <w:ind w:firstLine="567"/>
        <w:jc w:val="both"/>
        <w:rPr>
          <w:sz w:val="18"/>
          <w:szCs w:val="18"/>
        </w:rPr>
      </w:pPr>
      <w:r w:rsidRPr="00D56C84">
        <w:rPr>
          <w:sz w:val="18"/>
          <w:szCs w:val="18"/>
        </w:rPr>
        <w:t>(b)</w:t>
      </w:r>
      <w:r w:rsidRPr="00D56C84">
        <w:rPr>
          <w:sz w:val="18"/>
          <w:szCs w:val="18"/>
        </w:rPr>
        <w:tab/>
      </w:r>
      <w:proofErr w:type="gramStart"/>
      <w:r w:rsidRPr="00D56C84">
        <w:rPr>
          <w:sz w:val="18"/>
          <w:szCs w:val="18"/>
        </w:rPr>
        <w:t>to</w:t>
      </w:r>
      <w:proofErr w:type="gramEnd"/>
      <w:r w:rsidRPr="00D56C84">
        <w:rPr>
          <w:sz w:val="18"/>
          <w:szCs w:val="18"/>
        </w:rPr>
        <w:t xml:space="preserve"> encourage ecologically sustainable development; and</w:t>
      </w:r>
    </w:p>
    <w:p w:rsidR="00806A58" w:rsidRPr="00D56C84" w:rsidRDefault="00806A58" w:rsidP="000968E9">
      <w:pPr>
        <w:pStyle w:val="ParaIndent"/>
        <w:spacing w:after="60"/>
        <w:ind w:left="2268" w:hanging="567"/>
        <w:jc w:val="both"/>
        <w:rPr>
          <w:sz w:val="18"/>
          <w:szCs w:val="18"/>
        </w:rPr>
      </w:pPr>
      <w:r w:rsidRPr="00D56C84">
        <w:rPr>
          <w:sz w:val="18"/>
          <w:szCs w:val="18"/>
        </w:rPr>
        <w:t>(c)</w:t>
      </w:r>
      <w:r w:rsidRPr="00D56C84">
        <w:rPr>
          <w:sz w:val="18"/>
          <w:szCs w:val="18"/>
        </w:rPr>
        <w:tab/>
      </w:r>
      <w:proofErr w:type="gramStart"/>
      <w:r w:rsidRPr="00D56C84">
        <w:rPr>
          <w:sz w:val="18"/>
          <w:szCs w:val="18"/>
        </w:rPr>
        <w:t>to</w:t>
      </w:r>
      <w:proofErr w:type="gramEnd"/>
      <w:r w:rsidRPr="00D56C84">
        <w:rPr>
          <w:sz w:val="18"/>
          <w:szCs w:val="18"/>
        </w:rPr>
        <w:t xml:space="preserve"> facilitate the implementation of national environment protection measures made under the </w:t>
      </w:r>
      <w:r w:rsidRPr="00B30608">
        <w:rPr>
          <w:i/>
          <w:sz w:val="18"/>
          <w:szCs w:val="18"/>
        </w:rPr>
        <w:t>National Environment Protection Council (Northern Territory) Act</w:t>
      </w:r>
      <w:r w:rsidRPr="00D56C84">
        <w:rPr>
          <w:sz w:val="18"/>
          <w:szCs w:val="18"/>
        </w:rPr>
        <w:t xml:space="preserve">. </w:t>
      </w:r>
    </w:p>
    <w:p w:rsidR="00D2695E" w:rsidRPr="00D56C84" w:rsidRDefault="00D2695E" w:rsidP="000126C8">
      <w:pPr>
        <w:pStyle w:val="ParaIndent"/>
        <w:spacing w:after="60"/>
        <w:jc w:val="both"/>
      </w:pPr>
    </w:p>
    <w:p w:rsidR="00927369" w:rsidRPr="00F61F6E" w:rsidRDefault="00927369" w:rsidP="006E78EF">
      <w:pPr>
        <w:pStyle w:val="ParaIndent"/>
        <w:spacing w:before="100" w:beforeAutospacing="1" w:after="100" w:afterAutospacing="1"/>
        <w:jc w:val="both"/>
      </w:pPr>
      <w:r w:rsidRPr="00F61F6E">
        <w:t>Per tonne landfill disposal levies, as imposed in</w:t>
      </w:r>
      <w:r w:rsidR="00D2695E" w:rsidRPr="00F61F6E">
        <w:t xml:space="preserve"> several </w:t>
      </w:r>
      <w:r w:rsidRPr="00F61F6E">
        <w:t xml:space="preserve">Australian jurisdictions, are not </w:t>
      </w:r>
      <w:r w:rsidR="005C3521" w:rsidRPr="00F61F6E">
        <w:t>used in the Northern Territory.</w:t>
      </w:r>
      <w:r w:rsidR="002B3830" w:rsidRPr="00F61F6E">
        <w:t xml:space="preserve"> Operators of landfills servicing a population of greater than 1,000 people required an Environmental Protection Licence. There are annual fees associated with such licences</w:t>
      </w:r>
      <w:r w:rsidR="00DC7DBD" w:rsidRPr="00F61F6E">
        <w:t>, based on the population served by the facility</w:t>
      </w:r>
      <w:r w:rsidR="002B3830" w:rsidRPr="00F61F6E">
        <w:t>.</w:t>
      </w:r>
      <w:r w:rsidR="00F61F6E" w:rsidRPr="00F61F6E">
        <w:t xml:space="preserve"> These fees increase the cost of landfill operation, and therefore act in a similar fashion to the levies applied in other jurisdictions, although without requiring the same level of data collection regarding weight of material disposed. </w:t>
      </w:r>
    </w:p>
    <w:p w:rsidR="00D2695E" w:rsidRPr="00D56C84" w:rsidRDefault="00D2695E" w:rsidP="006E78EF">
      <w:pPr>
        <w:pStyle w:val="ParaIndent"/>
        <w:spacing w:before="100" w:beforeAutospacing="1" w:after="100" w:afterAutospacing="1"/>
        <w:jc w:val="both"/>
      </w:pPr>
      <w:r w:rsidRPr="00F61F6E">
        <w:rPr>
          <w:i/>
        </w:rPr>
        <w:t>Territory 2030</w:t>
      </w:r>
      <w:r w:rsidRPr="00F61F6E">
        <w:t xml:space="preserve"> </w:t>
      </w:r>
      <w:r w:rsidR="00A20379" w:rsidRPr="00F61F6E">
        <w:t xml:space="preserve">is a </w:t>
      </w:r>
      <w:r w:rsidRPr="00F61F6E">
        <w:t>20-year</w:t>
      </w:r>
      <w:r w:rsidRPr="00D56C84">
        <w:t xml:space="preserve"> strategic plan for the Northern Territory</w:t>
      </w:r>
      <w:r w:rsidR="00A20379" w:rsidRPr="00D56C84">
        <w:t>, which</w:t>
      </w:r>
      <w:r w:rsidRPr="00D56C84">
        <w:t xml:space="preserve"> was developed by an independent Steering Committee and </w:t>
      </w:r>
      <w:hyperlink r:id="rId30" w:tgtFrame="_blank" w:history="1">
        <w:r w:rsidRPr="00D56C84">
          <w:t>launched</w:t>
        </w:r>
      </w:hyperlink>
      <w:r w:rsidRPr="00D56C84">
        <w:t xml:space="preserve"> </w:t>
      </w:r>
      <w:r w:rsidR="00A20379" w:rsidRPr="00D56C84">
        <w:t>in</w:t>
      </w:r>
      <w:r w:rsidRPr="00D56C84">
        <w:t xml:space="preserve"> December 2009. </w:t>
      </w:r>
      <w:r w:rsidR="00A20379" w:rsidRPr="00D56C84">
        <w:t xml:space="preserve">It </w:t>
      </w:r>
      <w:r w:rsidRPr="00D56C84">
        <w:t xml:space="preserve">contains 128 targets linked to six key priorities: </w:t>
      </w:r>
      <w:hyperlink r:id="rId31" w:history="1">
        <w:r w:rsidRPr="00D56C84">
          <w:t>education</w:t>
        </w:r>
      </w:hyperlink>
      <w:r w:rsidRPr="00D56C84">
        <w:t xml:space="preserve">, </w:t>
      </w:r>
      <w:hyperlink r:id="rId32" w:history="1">
        <w:r w:rsidRPr="00D56C84">
          <w:t>society</w:t>
        </w:r>
      </w:hyperlink>
      <w:r w:rsidRPr="00D56C84">
        <w:t xml:space="preserve">, </w:t>
      </w:r>
      <w:hyperlink r:id="rId33" w:history="1">
        <w:r w:rsidRPr="00D56C84">
          <w:t>economic sustainability</w:t>
        </w:r>
      </w:hyperlink>
      <w:r w:rsidRPr="00D56C84">
        <w:t xml:space="preserve">, </w:t>
      </w:r>
      <w:hyperlink r:id="rId34" w:history="1">
        <w:r w:rsidRPr="00D56C84">
          <w:t>health and wellbeing</w:t>
        </w:r>
      </w:hyperlink>
      <w:r w:rsidRPr="00D56C84">
        <w:t xml:space="preserve">, </w:t>
      </w:r>
      <w:hyperlink r:id="rId35" w:history="1">
        <w:r w:rsidRPr="00D56C84">
          <w:t>the environment</w:t>
        </w:r>
      </w:hyperlink>
      <w:r w:rsidRPr="00D56C84">
        <w:t xml:space="preserve">, and </w:t>
      </w:r>
      <w:hyperlink r:id="rId36" w:history="1">
        <w:r w:rsidRPr="00D56C84">
          <w:t>knowledge, creativity and innovation</w:t>
        </w:r>
      </w:hyperlink>
      <w:r w:rsidRPr="00D56C84">
        <w:t>.</w:t>
      </w:r>
    </w:p>
    <w:p w:rsidR="00A20379" w:rsidRPr="00D56C84" w:rsidRDefault="00A20379" w:rsidP="000126C8">
      <w:pPr>
        <w:pStyle w:val="ParaIndent"/>
        <w:spacing w:after="60"/>
        <w:jc w:val="both"/>
      </w:pPr>
      <w:r w:rsidRPr="00D56C84">
        <w:t xml:space="preserve">The key waste target outlined in </w:t>
      </w:r>
      <w:r w:rsidRPr="00D56C84">
        <w:rPr>
          <w:i/>
        </w:rPr>
        <w:t>Territory 2030</w:t>
      </w:r>
      <w:r w:rsidRPr="00D56C84">
        <w:t xml:space="preserve"> is to </w:t>
      </w:r>
      <w:r w:rsidR="00B30608">
        <w:t>‘</w:t>
      </w:r>
      <w:r w:rsidRPr="00D56C84">
        <w:t>Reduce the amount of waste being taken to our rubbish dumps by 50% by 2020</w:t>
      </w:r>
      <w:r w:rsidR="00B30608">
        <w:t>’</w:t>
      </w:r>
      <w:r w:rsidRPr="00D56C84">
        <w:t>. The actions identified to meet this target are:</w:t>
      </w:r>
    </w:p>
    <w:p w:rsidR="00A20379" w:rsidRPr="00D56C84" w:rsidRDefault="00A20379" w:rsidP="000126C8">
      <w:pPr>
        <w:pStyle w:val="PointsBullets"/>
        <w:jc w:val="both"/>
      </w:pPr>
      <w:r w:rsidRPr="00D56C84">
        <w:t>Measure and monitor aggregated landfill at licensed landfill locations</w:t>
      </w:r>
    </w:p>
    <w:p w:rsidR="00A20379" w:rsidRPr="00D56C84" w:rsidRDefault="00A20379" w:rsidP="000126C8">
      <w:pPr>
        <w:pStyle w:val="PointsBullets"/>
        <w:jc w:val="both"/>
      </w:pPr>
      <w:r w:rsidRPr="00D56C84">
        <w:t>Measure and monitor the volume of recycling</w:t>
      </w:r>
    </w:p>
    <w:p w:rsidR="00A20379" w:rsidRPr="00D56C84" w:rsidRDefault="00A20379" w:rsidP="000126C8">
      <w:pPr>
        <w:pStyle w:val="PointsBullets"/>
        <w:jc w:val="both"/>
      </w:pPr>
      <w:r w:rsidRPr="00D56C84">
        <w:t>Provide more apartment complexes and residential areas with the capacity to recycle</w:t>
      </w:r>
    </w:p>
    <w:p w:rsidR="00A20379" w:rsidRPr="00D56C84" w:rsidRDefault="00A20379" w:rsidP="000126C8">
      <w:pPr>
        <w:pStyle w:val="PointsBullets"/>
        <w:jc w:val="both"/>
      </w:pPr>
      <w:r w:rsidRPr="00D56C84">
        <w:t>Encourage better packaging of products by Territory manufacturers</w:t>
      </w:r>
    </w:p>
    <w:p w:rsidR="00A20379" w:rsidRPr="00D56C84" w:rsidRDefault="00A20379" w:rsidP="000126C8">
      <w:pPr>
        <w:pStyle w:val="PointsBullets"/>
        <w:jc w:val="both"/>
      </w:pPr>
      <w:r w:rsidRPr="00D56C84">
        <w:t>Establish a container deposit system</w:t>
      </w:r>
    </w:p>
    <w:p w:rsidR="00A20379" w:rsidRPr="00D56C84" w:rsidRDefault="00A20379" w:rsidP="000126C8">
      <w:pPr>
        <w:pStyle w:val="PointsBullets"/>
        <w:spacing w:after="100" w:afterAutospacing="1"/>
        <w:jc w:val="both"/>
      </w:pPr>
      <w:r w:rsidRPr="00D56C84">
        <w:t>Encourage a reduction of waste from Territory building and development sites.</w:t>
      </w:r>
    </w:p>
    <w:p w:rsidR="00AA187D" w:rsidRPr="00D56C84" w:rsidRDefault="00AA187D" w:rsidP="000126C8">
      <w:pPr>
        <w:pStyle w:val="Heading2"/>
        <w:spacing w:before="0" w:after="100" w:afterAutospacing="1"/>
        <w:jc w:val="both"/>
      </w:pPr>
      <w:bookmarkStart w:id="130" w:name="_Toc307470469"/>
      <w:r w:rsidRPr="00D56C84">
        <w:lastRenderedPageBreak/>
        <w:t>Information pathways</w:t>
      </w:r>
      <w:r w:rsidR="00085D2C">
        <w:t xml:space="preserve"> in the NT</w:t>
      </w:r>
      <w:bookmarkEnd w:id="130"/>
    </w:p>
    <w:p w:rsidR="00C10A36" w:rsidRPr="00D56C84" w:rsidRDefault="00C10A36" w:rsidP="000126C8">
      <w:pPr>
        <w:pStyle w:val="ParaIndent"/>
        <w:jc w:val="both"/>
        <w:rPr>
          <w:i/>
        </w:rPr>
      </w:pPr>
      <w:r w:rsidRPr="00D56C84">
        <w:t xml:space="preserve">Northern Territory landfill licences require annual reporting of total quantities of waste sent to landfill. Under the </w:t>
      </w:r>
      <w:r w:rsidRPr="00D56C84">
        <w:rPr>
          <w:i/>
        </w:rPr>
        <w:t>Northern Territory Waste Management and Pollution Control Act</w:t>
      </w:r>
      <w:r w:rsidRPr="00D56C84">
        <w:t>, communities with populations over 1,000 are required to have a licensed landfill and an Environmental Management Plan for the operation of the facility.</w:t>
      </w:r>
      <w:r w:rsidRPr="00D56C84">
        <w:rPr>
          <w:i/>
        </w:rPr>
        <w:t xml:space="preserve"> </w:t>
      </w:r>
      <w:r w:rsidRPr="00D56C84">
        <w:t>As such, there are no reporting requirements for</w:t>
      </w:r>
      <w:r w:rsidRPr="00D56C84">
        <w:rPr>
          <w:i/>
        </w:rPr>
        <w:t xml:space="preserve"> </w:t>
      </w:r>
      <w:r w:rsidRPr="00D56C84">
        <w:t>landfills servicing communities of less than 1,000 people. Given the low population density of the Northern Territory, this applies to a significant proportion of communities.</w:t>
      </w:r>
    </w:p>
    <w:p w:rsidR="00C10A36" w:rsidRPr="00D56C84" w:rsidRDefault="00C10A36" w:rsidP="000126C8">
      <w:pPr>
        <w:pStyle w:val="ParaIndent"/>
        <w:jc w:val="both"/>
      </w:pPr>
      <w:r w:rsidRPr="00D56C84">
        <w:t xml:space="preserve">In order to address this issue, the </w:t>
      </w:r>
      <w:r w:rsidRPr="00D56C84">
        <w:rPr>
          <w:i/>
        </w:rPr>
        <w:t>Waste Management Guidelines for Small Communities in the Northern Territory</w:t>
      </w:r>
      <w:r w:rsidRPr="00D56C84">
        <w:t xml:space="preserve"> was developed by the Local Government Association of the Northern Territory (LGANT) as part of the Northern Territory Government Program ‘Re-Thinking Waste Strategy’. The project was jointly funded by the Packaging Stewardship Forum (PSF) and the Northern Territory Government.</w:t>
      </w:r>
    </w:p>
    <w:p w:rsidR="00C10A36" w:rsidRPr="00D56C84" w:rsidRDefault="00C10A36" w:rsidP="00C10A36">
      <w:pPr>
        <w:pStyle w:val="Heading3"/>
      </w:pPr>
      <w:r w:rsidRPr="00D56C84">
        <w:t>Northern Territory Grants Commission</w:t>
      </w:r>
    </w:p>
    <w:p w:rsidR="00C10A36" w:rsidRPr="00D56C84" w:rsidRDefault="00C10A36" w:rsidP="000126C8">
      <w:pPr>
        <w:pStyle w:val="ParaIndent"/>
        <w:jc w:val="both"/>
      </w:pPr>
      <w:r w:rsidRPr="00D56C84">
        <w:t xml:space="preserve">The Northern Territory Grants Commission (NTGC) sits within the NT Government. As in all jurisdictions, councils are required to produce a full set of Audited Financial Statements, along with annual returns, which are to be submitted to the NTGC. </w:t>
      </w:r>
    </w:p>
    <w:p w:rsidR="00C10A36" w:rsidRPr="00D56C84" w:rsidRDefault="00C10A36" w:rsidP="000126C8">
      <w:pPr>
        <w:pStyle w:val="ParaIndent"/>
        <w:jc w:val="both"/>
      </w:pPr>
      <w:r w:rsidRPr="00D56C84">
        <w:t>Previously the NTGC used personal incomes and a hypothetical spread of expenditure across categories to determine general purpose grants. Data provided through the annual returns process is now used, and is believed to be more accurate. This data is also provided to the ABS for use in government finance statistics and national accounts</w:t>
      </w:r>
      <w:r w:rsidRPr="00D56C84">
        <w:rPr>
          <w:vertAlign w:val="superscript"/>
        </w:rPr>
        <w:footnoteReference w:id="27"/>
      </w:r>
      <w:r w:rsidRPr="00D56C84">
        <w:t>.</w:t>
      </w:r>
    </w:p>
    <w:p w:rsidR="00C10A36" w:rsidRPr="00D56C84" w:rsidRDefault="008819D9" w:rsidP="000126C8">
      <w:pPr>
        <w:pStyle w:val="ParaIndent"/>
        <w:jc w:val="both"/>
      </w:pPr>
      <w:r w:rsidRPr="00D56C84">
        <w:t>Waste services are addressed i</w:t>
      </w:r>
      <w:r w:rsidR="00C10A36" w:rsidRPr="00D56C84">
        <w:t>n the determina</w:t>
      </w:r>
      <w:r w:rsidRPr="00D56C84">
        <w:t>tion of expenditure and revenue</w:t>
      </w:r>
      <w:r w:rsidR="00C10A36" w:rsidRPr="00D56C84">
        <w:t>. Local government income for 2008</w:t>
      </w:r>
      <w:r w:rsidR="00A9017D">
        <w:rPr>
          <w:rFonts w:cs="Arial"/>
        </w:rPr>
        <w:t>–</w:t>
      </w:r>
      <w:r w:rsidR="00C10A36" w:rsidRPr="00D56C84">
        <w:t>09 is noted in the NTGC Annual Report 2009</w:t>
      </w:r>
      <w:r w:rsidR="00A9017D">
        <w:rPr>
          <w:rFonts w:cs="Arial"/>
        </w:rPr>
        <w:t>–</w:t>
      </w:r>
      <w:r w:rsidR="00C10A36" w:rsidRPr="00D56C84">
        <w:t>10 for each local government where there is income through domestic waste and / or garbage ‘other’ (Schedule 5). Similarly</w:t>
      </w:r>
      <w:r w:rsidRPr="00D56C84">
        <w:t>, where data is available, each c</w:t>
      </w:r>
      <w:r w:rsidR="00C10A36" w:rsidRPr="00D56C84">
        <w:t xml:space="preserve">ouncil reports on </w:t>
      </w:r>
      <w:r w:rsidRPr="00D56C84">
        <w:t>its</w:t>
      </w:r>
      <w:r w:rsidR="00C10A36" w:rsidRPr="00D56C84">
        <w:t xml:space="preserve"> assessed revenue for 2008</w:t>
      </w:r>
      <w:r w:rsidR="00A9017D">
        <w:rPr>
          <w:rFonts w:cs="Arial"/>
        </w:rPr>
        <w:t>–</w:t>
      </w:r>
      <w:r w:rsidR="00C10A36" w:rsidRPr="00D56C84">
        <w:t>09 for both domestic waste and / or garbage ‘other’ (Schedule 7).</w:t>
      </w:r>
    </w:p>
    <w:p w:rsidR="00C10A36" w:rsidRPr="00D56C84" w:rsidRDefault="00C10A36" w:rsidP="000126C8">
      <w:pPr>
        <w:pStyle w:val="ParaIndent"/>
        <w:jc w:val="both"/>
      </w:pPr>
      <w:r w:rsidRPr="00D56C84">
        <w:t xml:space="preserve">The </w:t>
      </w:r>
      <w:r w:rsidRPr="00DC7DBD">
        <w:rPr>
          <w:i/>
        </w:rPr>
        <w:t>Annual Report 2009</w:t>
      </w:r>
      <w:r w:rsidR="00A9017D" w:rsidRPr="00DC7DBD">
        <w:rPr>
          <w:rFonts w:cs="Arial"/>
          <w:i/>
        </w:rPr>
        <w:t>–</w:t>
      </w:r>
      <w:r w:rsidRPr="00DC7DBD">
        <w:rPr>
          <w:i/>
        </w:rPr>
        <w:t>10</w:t>
      </w:r>
      <w:r w:rsidRPr="00D56C84">
        <w:t xml:space="preserve"> outlines the formula for revenue calculation which for the waste related elements is outlined in </w:t>
      </w:r>
      <w:fldSimple w:instr=" REF _Ref299556598 \h  \* MERGEFORMAT ">
        <w:r w:rsidR="00166111" w:rsidRPr="00D56C84">
          <w:t xml:space="preserve">Table </w:t>
        </w:r>
        <w:r w:rsidR="00166111">
          <w:rPr>
            <w:noProof/>
          </w:rPr>
          <w:t>13</w:t>
        </w:r>
        <w:r w:rsidR="00166111" w:rsidRPr="00D56C84">
          <w:rPr>
            <w:noProof/>
          </w:rPr>
          <w:t>-</w:t>
        </w:r>
        <w:r w:rsidR="00166111">
          <w:rPr>
            <w:noProof/>
          </w:rPr>
          <w:t>35</w:t>
        </w:r>
      </w:fldSimple>
      <w:r w:rsidRPr="00D56C84">
        <w:t xml:space="preserve">. </w:t>
      </w:r>
    </w:p>
    <w:p w:rsidR="00C10A36" w:rsidRPr="00D56C84" w:rsidRDefault="00C10A36" w:rsidP="00C10A36">
      <w:pPr>
        <w:pStyle w:val="Caption"/>
      </w:pPr>
      <w:bookmarkStart w:id="131" w:name="_Ref299556598"/>
      <w:r w:rsidRPr="00D56C84">
        <w:t xml:space="preserve">Table </w:t>
      </w:r>
      <w:r w:rsidR="00ED6CA0">
        <w:fldChar w:fldCharType="begin"/>
      </w:r>
      <w:r w:rsidR="006D5406">
        <w:instrText xml:space="preserve"> STYLEREF "_Heading1" \n </w:instrText>
      </w:r>
      <w:r w:rsidR="00ED6CA0">
        <w:fldChar w:fldCharType="separate"/>
      </w:r>
      <w:r w:rsidR="00166111">
        <w:rPr>
          <w:noProof/>
        </w:rPr>
        <w:t>13</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35</w:t>
      </w:r>
      <w:r w:rsidR="00ED6CA0">
        <w:rPr>
          <w:noProof/>
        </w:rPr>
        <w:fldChar w:fldCharType="end"/>
      </w:r>
      <w:bookmarkEnd w:id="131"/>
      <w:r w:rsidRPr="00D56C84">
        <w:tab/>
        <w:t>Waste revenue categories and calculations</w:t>
      </w:r>
    </w:p>
    <w:tbl>
      <w:tblPr>
        <w:tblW w:w="8505" w:type="dxa"/>
        <w:tblInd w:w="1134" w:type="dxa"/>
        <w:tblBorders>
          <w:bottom w:val="single" w:sz="18" w:space="0" w:color="808080"/>
          <w:insideH w:val="single" w:sz="4" w:space="0" w:color="808080"/>
        </w:tblBorders>
        <w:tblLayout w:type="fixed"/>
        <w:tblCellMar>
          <w:left w:w="0" w:type="dxa"/>
          <w:right w:w="0" w:type="dxa"/>
        </w:tblCellMar>
        <w:tblLook w:val="04A0"/>
      </w:tblPr>
      <w:tblGrid>
        <w:gridCol w:w="2376"/>
        <w:gridCol w:w="6129"/>
      </w:tblGrid>
      <w:tr w:rsidR="00C10A36" w:rsidRPr="00D56C84" w:rsidTr="00C10A36">
        <w:tc>
          <w:tcPr>
            <w:tcW w:w="2376" w:type="dxa"/>
            <w:tcBorders>
              <w:bottom w:val="single" w:sz="4" w:space="0" w:color="808080"/>
            </w:tcBorders>
            <w:shd w:val="clear" w:color="auto" w:fill="auto"/>
            <w:vAlign w:val="center"/>
          </w:tcPr>
          <w:p w:rsidR="00C10A36" w:rsidRPr="00D56C84" w:rsidRDefault="00C10A36" w:rsidP="00C10A36">
            <w:pPr>
              <w:pStyle w:val="TableHeading"/>
              <w:rPr>
                <w:rFonts w:cs="Arial"/>
              </w:rPr>
            </w:pPr>
            <w:r w:rsidRPr="00D56C84">
              <w:rPr>
                <w:rFonts w:cs="Arial"/>
              </w:rPr>
              <w:t>Revenue category</w:t>
            </w:r>
          </w:p>
        </w:tc>
        <w:tc>
          <w:tcPr>
            <w:tcW w:w="6129" w:type="dxa"/>
            <w:tcBorders>
              <w:bottom w:val="single" w:sz="4" w:space="0" w:color="808080"/>
            </w:tcBorders>
            <w:shd w:val="clear" w:color="auto" w:fill="auto"/>
            <w:vAlign w:val="center"/>
          </w:tcPr>
          <w:p w:rsidR="00C10A36" w:rsidRPr="00D56C84" w:rsidRDefault="00C10A36" w:rsidP="00C10A36">
            <w:pPr>
              <w:pStyle w:val="TableHeading"/>
              <w:rPr>
                <w:rFonts w:cs="Arial"/>
              </w:rPr>
            </w:pPr>
            <w:r w:rsidRPr="00D56C84">
              <w:rPr>
                <w:rFonts w:ascii="FagoCoRegular-Roman" w:hAnsi="FagoCoRegular-Roman" w:cs="FagoCoRegular-Roman"/>
                <w:lang w:eastAsia="en-AU"/>
              </w:rPr>
              <w:t>Domestic waste, garbage, general rates, general rates other, special rates parking, special rates other, fines and interest</w:t>
            </w:r>
          </w:p>
        </w:tc>
      </w:tr>
      <w:tr w:rsidR="00C10A36" w:rsidRPr="00D56C84" w:rsidTr="00C10A36">
        <w:tc>
          <w:tcPr>
            <w:tcW w:w="2376" w:type="dxa"/>
            <w:tcBorders>
              <w:top w:val="single" w:sz="4" w:space="0" w:color="808080"/>
              <w:bottom w:val="single" w:sz="4" w:space="0" w:color="808080"/>
            </w:tcBorders>
            <w:shd w:val="clear" w:color="auto" w:fill="auto"/>
          </w:tcPr>
          <w:p w:rsidR="00C10A36" w:rsidRPr="00D56C84" w:rsidRDefault="00C10A36" w:rsidP="00C10A36">
            <w:pPr>
              <w:pStyle w:val="TableText"/>
              <w:rPr>
                <w:rFonts w:cs="Arial"/>
              </w:rPr>
            </w:pPr>
            <w:r w:rsidRPr="00D56C84">
              <w:rPr>
                <w:rFonts w:ascii="FagoCoRegular-Roman" w:hAnsi="FagoCoRegular-Roman" w:cs="FagoCoRegular-Roman"/>
                <w:lang w:eastAsia="en-AU"/>
              </w:rPr>
              <w:t>Domestic waste</w:t>
            </w:r>
          </w:p>
        </w:tc>
        <w:tc>
          <w:tcPr>
            <w:tcW w:w="6129" w:type="dxa"/>
            <w:tcBorders>
              <w:top w:val="single" w:sz="4" w:space="0" w:color="808080"/>
              <w:bottom w:val="single" w:sz="4" w:space="0" w:color="808080"/>
            </w:tcBorders>
            <w:shd w:val="clear" w:color="auto" w:fill="auto"/>
          </w:tcPr>
          <w:p w:rsidR="00C10A36" w:rsidRPr="00D56C84" w:rsidRDefault="00C10A36" w:rsidP="00C10A36">
            <w:pPr>
              <w:pStyle w:val="TableText"/>
              <w:rPr>
                <w:rFonts w:ascii="OptimaLTStd" w:hAnsi="OptimaLTStd" w:cs="OptimaLTStd"/>
                <w:sz w:val="22"/>
                <w:szCs w:val="22"/>
                <w:lang w:eastAsia="en-AU"/>
              </w:rPr>
            </w:pPr>
            <w:r w:rsidRPr="00D56C84">
              <w:rPr>
                <w:rFonts w:ascii="FagoCoRegular-Roman" w:hAnsi="FagoCoRegular-Roman" w:cs="FagoCoRegular-Roman"/>
                <w:lang w:eastAsia="en-AU"/>
              </w:rPr>
              <w:t>Per capita</w:t>
            </w:r>
          </w:p>
        </w:tc>
      </w:tr>
      <w:tr w:rsidR="00C10A36" w:rsidRPr="00D56C84" w:rsidTr="00C10A36">
        <w:tc>
          <w:tcPr>
            <w:tcW w:w="2376" w:type="dxa"/>
            <w:tcBorders>
              <w:top w:val="single" w:sz="4" w:space="0" w:color="808080"/>
              <w:bottom w:val="single" w:sz="4" w:space="0" w:color="808080"/>
            </w:tcBorders>
            <w:shd w:val="clear" w:color="auto" w:fill="auto"/>
          </w:tcPr>
          <w:p w:rsidR="00C10A36" w:rsidRPr="00D56C84" w:rsidRDefault="00C10A36" w:rsidP="00C10A36">
            <w:pPr>
              <w:pStyle w:val="TableText"/>
              <w:rPr>
                <w:rFonts w:cs="Arial"/>
              </w:rPr>
            </w:pPr>
            <w:r w:rsidRPr="00D56C84">
              <w:rPr>
                <w:rFonts w:ascii="FagoCoRegular-Roman" w:hAnsi="FagoCoRegular-Roman" w:cs="FagoCoRegular-Roman"/>
                <w:lang w:eastAsia="en-AU"/>
              </w:rPr>
              <w:t>Garbage other</w:t>
            </w:r>
          </w:p>
        </w:tc>
        <w:tc>
          <w:tcPr>
            <w:tcW w:w="6129" w:type="dxa"/>
            <w:tcBorders>
              <w:top w:val="single" w:sz="4" w:space="0" w:color="808080"/>
              <w:bottom w:val="single" w:sz="4" w:space="0" w:color="808080"/>
            </w:tcBorders>
            <w:shd w:val="clear" w:color="auto" w:fill="auto"/>
          </w:tcPr>
          <w:p w:rsidR="00C10A36" w:rsidRPr="00D56C84" w:rsidRDefault="00C10A36" w:rsidP="00C10A36">
            <w:pPr>
              <w:pStyle w:val="TableText"/>
              <w:rPr>
                <w:rFonts w:cs="Arial"/>
              </w:rPr>
            </w:pPr>
            <w:r w:rsidRPr="00D56C84">
              <w:rPr>
                <w:rFonts w:cs="Arial"/>
              </w:rPr>
              <w:t>Actual</w:t>
            </w:r>
          </w:p>
        </w:tc>
      </w:tr>
    </w:tbl>
    <w:p w:rsidR="00AA187D" w:rsidRPr="00D56C84" w:rsidRDefault="00AA187D" w:rsidP="006E78EF">
      <w:pPr>
        <w:pStyle w:val="Heading2"/>
        <w:spacing w:before="360"/>
      </w:pPr>
      <w:bookmarkStart w:id="132" w:name="_Toc307470470"/>
      <w:r w:rsidRPr="00D56C84">
        <w:t>Performance</w:t>
      </w:r>
      <w:r w:rsidR="00085D2C">
        <w:t xml:space="preserve"> in the NT</w:t>
      </w:r>
      <w:bookmarkEnd w:id="132"/>
    </w:p>
    <w:p w:rsidR="00AA187D" w:rsidRDefault="00B14346" w:rsidP="000126C8">
      <w:pPr>
        <w:pStyle w:val="ParaIndent"/>
        <w:spacing w:after="0"/>
        <w:jc w:val="both"/>
      </w:pPr>
      <w:r w:rsidRPr="00D56C84">
        <w:t xml:space="preserve">Based on information published in the </w:t>
      </w:r>
      <w:r w:rsidRPr="00D56C84">
        <w:rPr>
          <w:i/>
        </w:rPr>
        <w:t>Northern Territory Grants Commission Annual Report 2009</w:t>
      </w:r>
      <w:r w:rsidR="00A9017D">
        <w:rPr>
          <w:rFonts w:cs="Arial"/>
        </w:rPr>
        <w:t>–</w:t>
      </w:r>
      <w:r w:rsidRPr="00D56C84">
        <w:rPr>
          <w:i/>
        </w:rPr>
        <w:t>10</w:t>
      </w:r>
      <w:r w:rsidRPr="00D56C84">
        <w:t>, the total local government assessed revenue from domestic waste management in 2008</w:t>
      </w:r>
      <w:r w:rsidR="00A9017D">
        <w:rPr>
          <w:rFonts w:cs="Arial"/>
        </w:rPr>
        <w:t>–</w:t>
      </w:r>
      <w:r w:rsidRPr="00D56C84">
        <w:t>09 (i.e. rates income) was $11,111,354. The per capita income for each council was approximately $51.25.</w:t>
      </w:r>
    </w:p>
    <w:p w:rsidR="00E452F0" w:rsidRDefault="00E452F0" w:rsidP="000126C8">
      <w:pPr>
        <w:pStyle w:val="Heading2"/>
        <w:spacing w:before="240"/>
        <w:jc w:val="both"/>
      </w:pPr>
      <w:bookmarkStart w:id="133" w:name="_Toc307470471"/>
      <w:r>
        <w:lastRenderedPageBreak/>
        <w:t>Summary</w:t>
      </w:r>
      <w:r w:rsidR="00085D2C">
        <w:t xml:space="preserve"> - NT</w:t>
      </w:r>
      <w:bookmarkEnd w:id="133"/>
    </w:p>
    <w:p w:rsidR="009445BE" w:rsidRDefault="005C0725" w:rsidP="000126C8">
      <w:pPr>
        <w:pStyle w:val="ParaIndent"/>
        <w:jc w:val="both"/>
      </w:pPr>
      <w:r>
        <w:t xml:space="preserve">Based on research for this </w:t>
      </w:r>
      <w:r w:rsidRPr="00F61F6E">
        <w:t>report,</w:t>
      </w:r>
      <w:r w:rsidR="00DC7DBD" w:rsidRPr="00F61F6E">
        <w:t xml:space="preserve"> considering the availability of information only,</w:t>
      </w:r>
      <w:r w:rsidRPr="00F61F6E">
        <w:t xml:space="preserve"> the degree</w:t>
      </w:r>
      <w:r>
        <w:t xml:space="preserve"> to which information about municipal waste and recycling in the Northern Territory meets the needs of users is considered to be LOW. There is no information on tonnes of material disposed or recovered at the LGA level, or other information about service levels and performance.</w:t>
      </w:r>
    </w:p>
    <w:p w:rsidR="009445BE" w:rsidRPr="00A35187" w:rsidRDefault="00ED6CA0" w:rsidP="000126C8">
      <w:pPr>
        <w:pStyle w:val="ParaIndent"/>
        <w:jc w:val="both"/>
      </w:pPr>
      <w:fldSimple w:instr=" REF _Ref301859223 \h  \* MERGEFORMAT ">
        <w:r w:rsidR="00166111">
          <w:t xml:space="preserve">Table </w:t>
        </w:r>
        <w:r w:rsidR="00166111">
          <w:rPr>
            <w:noProof/>
          </w:rPr>
          <w:t>13</w:t>
        </w:r>
        <w:r w:rsidR="00166111" w:rsidRPr="00D56C84">
          <w:rPr>
            <w:noProof/>
          </w:rPr>
          <w:t>-</w:t>
        </w:r>
        <w:r w:rsidR="00166111">
          <w:rPr>
            <w:noProof/>
          </w:rPr>
          <w:t>36</w:t>
        </w:r>
      </w:fldSimple>
      <w:r w:rsidR="009445BE">
        <w:t xml:space="preserve"> provides a comparison of the waste and recycling data collected by government bodies in </w:t>
      </w:r>
      <w:r w:rsidR="00F54BAE">
        <w:t>the Northern Territory</w:t>
      </w:r>
      <w:r w:rsidR="009445BE">
        <w:t xml:space="preserve"> against the</w:t>
      </w:r>
      <w:r w:rsidR="00085D2C">
        <w:t xml:space="preserve"> LGA-specific</w:t>
      </w:r>
      <w:r w:rsidR="009445BE">
        <w:t xml:space="preserve"> data which is made available to the </w:t>
      </w:r>
      <w:r w:rsidR="009445BE" w:rsidRPr="00F61F6E">
        <w:t>public.</w:t>
      </w:r>
      <w:r w:rsidR="00DC7DBD" w:rsidRPr="00F61F6E">
        <w:t xml:space="preserve"> Note that the quality of available information has not been assessed</w:t>
      </w:r>
      <w:r w:rsidR="00F61F6E">
        <w:t>.</w:t>
      </w:r>
    </w:p>
    <w:p w:rsidR="009445BE" w:rsidRDefault="009445BE" w:rsidP="009445BE">
      <w:pPr>
        <w:pStyle w:val="TableHeading"/>
      </w:pPr>
      <w:bookmarkStart w:id="134" w:name="_Ref301859223"/>
      <w:r>
        <w:t xml:space="preserve">Table </w:t>
      </w:r>
      <w:r w:rsidR="00ED6CA0">
        <w:fldChar w:fldCharType="begin"/>
      </w:r>
      <w:r>
        <w:instrText xml:space="preserve"> STYLEREF "_Heading1" \n </w:instrText>
      </w:r>
      <w:r w:rsidR="00ED6CA0">
        <w:fldChar w:fldCharType="separate"/>
      </w:r>
      <w:r w:rsidR="00166111">
        <w:rPr>
          <w:noProof/>
        </w:rPr>
        <w:t>13</w:t>
      </w:r>
      <w:r w:rsidR="00ED6CA0">
        <w:rPr>
          <w:noProof/>
        </w:rPr>
        <w:fldChar w:fldCharType="end"/>
      </w:r>
      <w:r w:rsidRPr="00D56C84">
        <w:t>-</w:t>
      </w:r>
      <w:r w:rsidR="00ED6CA0">
        <w:fldChar w:fldCharType="begin"/>
      </w:r>
      <w:r>
        <w:instrText xml:space="preserve"> SEQ Table \* Arabic </w:instrText>
      </w:r>
      <w:r w:rsidR="00ED6CA0">
        <w:fldChar w:fldCharType="separate"/>
      </w:r>
      <w:r w:rsidR="00166111">
        <w:rPr>
          <w:noProof/>
        </w:rPr>
        <w:t>36</w:t>
      </w:r>
      <w:r w:rsidR="00ED6CA0">
        <w:rPr>
          <w:noProof/>
        </w:rPr>
        <w:fldChar w:fldCharType="end"/>
      </w:r>
      <w:bookmarkEnd w:id="134"/>
      <w:r>
        <w:rPr>
          <w:noProof/>
        </w:rPr>
        <w:tab/>
        <w:t xml:space="preserve">Summary of waste and recycling data collected in </w:t>
      </w:r>
      <w:r w:rsidR="00F54BAE">
        <w:rPr>
          <w:noProof/>
        </w:rPr>
        <w:t>the Northern Territory</w:t>
      </w:r>
      <w:r>
        <w:rPr>
          <w:noProof/>
        </w:rPr>
        <w:t xml:space="preserve"> versus data made available to the public.</w:t>
      </w:r>
    </w:p>
    <w:tbl>
      <w:tblPr>
        <w:tblW w:w="5000" w:type="pct"/>
        <w:tblBorders>
          <w:bottom w:val="single" w:sz="18" w:space="0" w:color="808080"/>
          <w:insideH w:val="single" w:sz="4" w:space="0" w:color="808080"/>
        </w:tblBorders>
        <w:tblCellMar>
          <w:left w:w="0" w:type="dxa"/>
          <w:right w:w="0" w:type="dxa"/>
        </w:tblCellMar>
        <w:tblLook w:val="04A0"/>
      </w:tblPr>
      <w:tblGrid>
        <w:gridCol w:w="5192"/>
        <w:gridCol w:w="1889"/>
        <w:gridCol w:w="2558"/>
      </w:tblGrid>
      <w:tr w:rsidR="009445BE" w:rsidRPr="00DC4F78" w:rsidTr="00085D2C">
        <w:trPr>
          <w:trHeight w:val="270"/>
          <w:tblHeader/>
        </w:trPr>
        <w:tc>
          <w:tcPr>
            <w:tcW w:w="2693" w:type="pct"/>
            <w:shd w:val="clear" w:color="auto" w:fill="auto"/>
            <w:noWrap/>
            <w:vAlign w:val="bottom"/>
            <w:hideMark/>
          </w:tcPr>
          <w:p w:rsidR="009445BE" w:rsidRPr="00A42A0E" w:rsidRDefault="009445BE" w:rsidP="006153BC">
            <w:pPr>
              <w:pStyle w:val="TableText"/>
              <w:rPr>
                <w:lang w:val="en-US"/>
              </w:rPr>
            </w:pPr>
            <w:r w:rsidRPr="00A42A0E">
              <w:rPr>
                <w:lang w:val="en-US"/>
              </w:rPr>
              <w:t> </w:t>
            </w:r>
          </w:p>
        </w:tc>
        <w:tc>
          <w:tcPr>
            <w:tcW w:w="980" w:type="pct"/>
          </w:tcPr>
          <w:p w:rsidR="009445BE" w:rsidRPr="00DC4F78" w:rsidRDefault="009445BE" w:rsidP="00085D2C">
            <w:pPr>
              <w:pStyle w:val="TableHeading"/>
              <w:jc w:val="center"/>
              <w:rPr>
                <w:lang w:val="en-US"/>
              </w:rPr>
            </w:pPr>
            <w:r w:rsidRPr="00A42A0E">
              <w:rPr>
                <w:lang w:val="en-US"/>
              </w:rPr>
              <w:t>Data collected</w:t>
            </w:r>
          </w:p>
        </w:tc>
        <w:tc>
          <w:tcPr>
            <w:tcW w:w="1327" w:type="pct"/>
            <w:shd w:val="clear" w:color="auto" w:fill="auto"/>
            <w:noWrap/>
            <w:vAlign w:val="bottom"/>
            <w:hideMark/>
          </w:tcPr>
          <w:p w:rsidR="009445BE" w:rsidRPr="00DC4F78" w:rsidRDefault="009445BE" w:rsidP="00085D2C">
            <w:pPr>
              <w:pStyle w:val="TableHeading"/>
              <w:jc w:val="center"/>
              <w:rPr>
                <w:lang w:val="en-US"/>
              </w:rPr>
            </w:pPr>
            <w:r w:rsidRPr="00A42A0E">
              <w:rPr>
                <w:lang w:val="en-US"/>
              </w:rPr>
              <w:t>Data available</w:t>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lang w:val="en-US"/>
              </w:rPr>
            </w:pPr>
            <w:r w:rsidRPr="00DC4F78">
              <w:rPr>
                <w:b/>
                <w:bCs/>
                <w:lang w:val="en-US"/>
              </w:rPr>
              <w:t>Collection services offered</w:t>
            </w:r>
            <w:r w:rsidRPr="00A42A0E">
              <w:rPr>
                <w:b/>
                <w:lang w:val="en-US"/>
              </w:rPr>
              <w:t xml:space="preserve"> </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1" name="Picture 72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2" name="Picture 72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Collection frequencies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3" name="Picture 72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4" name="Picture 72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Bin sizes/ types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5" name="Picture 72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6" name="Picture 72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generation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7" name="Picture 72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8" name="Picture 72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Recycling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29" name="Picture 72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0" name="Picture 73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Organics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1" name="Picture 73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2" name="Picture 73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to landfill (</w:t>
            </w:r>
            <w:proofErr w:type="spellStart"/>
            <w:r w:rsidRPr="00A42A0E">
              <w:rPr>
                <w:b/>
                <w:bCs/>
                <w:lang w:val="en-US"/>
              </w:rPr>
              <w:t>tonnes</w:t>
            </w:r>
            <w:proofErr w:type="spellEnd"/>
            <w:r w:rsidRPr="00A42A0E">
              <w:rPr>
                <w:b/>
                <w:bCs/>
                <w:lang w:val="en-US"/>
              </w:rPr>
              <w:t>)</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3" name="Picture 73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4" name="Picture 73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infrastructure</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5" name="Picture 73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6" name="Picture 73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costs/ expenditure</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7" name="Picture 75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8" name="Picture 75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Contractor information</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39" name="Picture 73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0" name="Picture 74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RPr="00A42A0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Waste management charges</w:t>
            </w:r>
          </w:p>
        </w:tc>
        <w:tc>
          <w:tcPr>
            <w:tcW w:w="980" w:type="pct"/>
            <w:vAlign w:val="center"/>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755" name="Picture 755"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c>
          <w:tcPr>
            <w:tcW w:w="1327" w:type="pct"/>
            <w:shd w:val="clear" w:color="auto" w:fill="auto"/>
            <w:noWrap/>
            <w:vAlign w:val="center"/>
            <w:hideMark/>
          </w:tcPr>
          <w:p w:rsidR="009445BE" w:rsidRPr="00A42A0E" w:rsidRDefault="009445BE" w:rsidP="00085D2C">
            <w:pPr>
              <w:pStyle w:val="TableHeading"/>
              <w:jc w:val="center"/>
              <w:rPr>
                <w:lang w:val="en-US"/>
              </w:rPr>
            </w:pPr>
            <w:r>
              <w:rPr>
                <w:noProof/>
                <w:lang w:eastAsia="en-AU"/>
              </w:rPr>
              <w:drawing>
                <wp:inline distT="0" distB="0" distL="0" distR="0">
                  <wp:extent cx="238125" cy="238125"/>
                  <wp:effectExtent l="0" t="0" r="9525" b="9525"/>
                  <wp:docPr id="756" name="Picture 756"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558" cy="239558"/>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Hard waste services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3" name="Picture 74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4" name="Picture 74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Litter/ illegal dumping</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5" name="Picture 745"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6" name="Picture 746"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320"/>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Public Place Collections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7" name="Picture 747"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8" name="Picture 748"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Commercial &amp; Industrial Services</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49" name="Picture 749"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0" name="Picture 75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vAlign w:val="center"/>
            <w:hideMark/>
          </w:tcPr>
          <w:p w:rsidR="009445BE" w:rsidRPr="00A42A0E" w:rsidRDefault="009445BE" w:rsidP="00085D2C">
            <w:pPr>
              <w:pStyle w:val="TableText"/>
              <w:rPr>
                <w:b/>
                <w:bCs/>
                <w:lang w:val="en-US"/>
              </w:rPr>
            </w:pPr>
            <w:r w:rsidRPr="00A42A0E">
              <w:rPr>
                <w:b/>
                <w:bCs/>
                <w:lang w:val="en-US"/>
              </w:rPr>
              <w:t>Other Waste data (</w:t>
            </w:r>
            <w:proofErr w:type="spellStart"/>
            <w:r w:rsidRPr="00A42A0E">
              <w:rPr>
                <w:b/>
                <w:bCs/>
                <w:lang w:val="en-US"/>
              </w:rPr>
              <w:t>ie</w:t>
            </w:r>
            <w:proofErr w:type="spellEnd"/>
            <w:r w:rsidRPr="00A42A0E">
              <w:rPr>
                <w:b/>
                <w:bCs/>
                <w:lang w:val="en-US"/>
              </w:rPr>
              <w:t xml:space="preserve">. </w:t>
            </w:r>
            <w:proofErr w:type="spellStart"/>
            <w:r w:rsidRPr="00A42A0E">
              <w:rPr>
                <w:b/>
                <w:bCs/>
                <w:lang w:val="en-US"/>
              </w:rPr>
              <w:t>Tyres</w:t>
            </w:r>
            <w:proofErr w:type="spellEnd"/>
            <w:r w:rsidRPr="00A42A0E">
              <w:rPr>
                <w:b/>
                <w:bCs/>
                <w:lang w:val="en-US"/>
              </w:rPr>
              <w:t>, Batteries, Electronic Waste etc)</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1" name="Picture 751"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2" name="Picture 752"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r w:rsidR="009445BE" w:rsidTr="00085D2C">
        <w:trPr>
          <w:trHeight w:val="255"/>
        </w:trPr>
        <w:tc>
          <w:tcPr>
            <w:tcW w:w="2693" w:type="pct"/>
            <w:shd w:val="clear" w:color="auto" w:fill="auto"/>
            <w:noWrap/>
            <w:vAlign w:val="center"/>
            <w:hideMark/>
          </w:tcPr>
          <w:p w:rsidR="009445BE" w:rsidRPr="00A42A0E" w:rsidRDefault="009445BE" w:rsidP="00085D2C">
            <w:pPr>
              <w:pStyle w:val="TableText"/>
              <w:rPr>
                <w:b/>
                <w:bCs/>
                <w:lang w:val="en-US"/>
              </w:rPr>
            </w:pPr>
            <w:r w:rsidRPr="00A42A0E">
              <w:rPr>
                <w:b/>
                <w:bCs/>
                <w:lang w:val="en-US"/>
              </w:rPr>
              <w:t>Waste Audit Data</w:t>
            </w:r>
          </w:p>
        </w:tc>
        <w:tc>
          <w:tcPr>
            <w:tcW w:w="980" w:type="pct"/>
            <w:vAlign w:val="center"/>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3" name="Picture 753"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c>
          <w:tcPr>
            <w:tcW w:w="1327" w:type="pct"/>
            <w:shd w:val="clear" w:color="auto" w:fill="auto"/>
            <w:noWrap/>
            <w:vAlign w:val="center"/>
            <w:hideMark/>
          </w:tcPr>
          <w:p w:rsidR="009445BE" w:rsidRDefault="009445BE" w:rsidP="00085D2C">
            <w:pPr>
              <w:pStyle w:val="TableHeading"/>
              <w:jc w:val="center"/>
            </w:pPr>
            <w:r w:rsidRPr="00BB7661">
              <w:rPr>
                <w:noProof/>
                <w:lang w:eastAsia="en-AU"/>
              </w:rPr>
              <w:drawing>
                <wp:inline distT="0" distB="0" distL="0" distR="0">
                  <wp:extent cx="200025" cy="200025"/>
                  <wp:effectExtent l="0" t="0" r="9525" b="9525"/>
                  <wp:docPr id="754" name="Picture 754"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p>
        </w:tc>
      </w:tr>
    </w:tbl>
    <w:p w:rsidR="00B30608" w:rsidRDefault="00B30608" w:rsidP="0064400C">
      <w:pPr>
        <w:pStyle w:val="ParaIndent"/>
      </w:pPr>
      <w:r w:rsidRPr="00A35187">
        <w:rPr>
          <w:sz w:val="14"/>
          <w:szCs w:val="14"/>
        </w:rPr>
        <w:t>Notes:</w:t>
      </w:r>
      <w:r w:rsidRPr="00A35187">
        <w:rPr>
          <w:sz w:val="14"/>
          <w:szCs w:val="14"/>
        </w:rPr>
        <w:tab/>
        <w:t>The data collected by government bodies in each jurisdiction was assessed against the amount of data which is made available to the public. For the purposes of this summary, the following assessment criteria were used</w:t>
      </w:r>
      <w:r w:rsidRPr="00A35187">
        <w:rPr>
          <w:sz w:val="14"/>
          <w:szCs w:val="14"/>
        </w:rPr>
        <w:br/>
      </w:r>
      <w:r w:rsidR="001A75C3" w:rsidRPr="001E0880">
        <w:rPr>
          <w:noProof/>
          <w:sz w:val="14"/>
          <w:szCs w:val="14"/>
          <w:lang w:eastAsia="en-AU"/>
        </w:rPr>
        <w:drawing>
          <wp:inline distT="0" distB="0" distL="0" distR="0">
            <wp:extent cx="209550" cy="209550"/>
            <wp:effectExtent l="0" t="0" r="0" b="0"/>
            <wp:docPr id="761" name="Picture 18" descr="C:\Users\emaz2208\AppData\Local\Microsoft\Windows\Temporary Internet Files\Content.IE5\IURUPRJ4\MC900441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az2208\AppData\Local\Microsoft\Windows\Temporary Internet Files\Content.IE5\IURUPRJ4\MC900441310[1].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813" cy="210813"/>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collected. / Data available for more than 85% of councils. </w:t>
      </w:r>
      <w:r w:rsidRPr="00A35187">
        <w:rPr>
          <w:sz w:val="14"/>
          <w:szCs w:val="14"/>
        </w:rPr>
        <w:br/>
      </w:r>
      <w:r w:rsidR="001A75C3" w:rsidRPr="001E0880">
        <w:rPr>
          <w:noProof/>
          <w:sz w:val="14"/>
          <w:szCs w:val="14"/>
          <w:lang w:eastAsia="en-AU"/>
        </w:rPr>
        <w:drawing>
          <wp:inline distT="0" distB="0" distL="0" distR="0">
            <wp:extent cx="200025" cy="200025"/>
            <wp:effectExtent l="0" t="0" r="0" b="0"/>
            <wp:docPr id="762" name="Picture 19" descr="C:\Users\emaz2208\AppData\Local\Microsoft\Windows\Temporary Internet Files\Content.IE5\9XBPCGCX\MC9004326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az2208\AppData\Local\Microsoft\Windows\Temporary Internet Files\Content.IE5\9XBPCGCX\MC900432601[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29" cy="201229"/>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Some</w:t>
      </w:r>
      <w:proofErr w:type="gramEnd"/>
      <w:r w:rsidRPr="00A35187">
        <w:rPr>
          <w:sz w:val="14"/>
          <w:szCs w:val="14"/>
        </w:rPr>
        <w:t xml:space="preserve"> data collected. / Data available for 50 – 85% of councils.</w:t>
      </w:r>
      <w:r w:rsidRPr="00A35187">
        <w:rPr>
          <w:sz w:val="14"/>
          <w:szCs w:val="14"/>
        </w:rPr>
        <w:br/>
      </w:r>
      <w:r w:rsidR="001A75C3" w:rsidRPr="001E0880">
        <w:rPr>
          <w:noProof/>
          <w:sz w:val="14"/>
          <w:szCs w:val="14"/>
          <w:lang w:eastAsia="en-AU"/>
        </w:rPr>
        <w:drawing>
          <wp:inline distT="0" distB="0" distL="0" distR="0">
            <wp:extent cx="200025" cy="200025"/>
            <wp:effectExtent l="0" t="0" r="0" b="0"/>
            <wp:docPr id="763" name="Picture 20" descr="C:\Users\emaz2208\AppData\Local\Microsoft\Windows\Temporary Internet Files\Content.IE5\IURUPRJ4\MC9004325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az2208\AppData\Local\Microsoft\Windows\Temporary Internet Files\Content.IE5\IURUPRJ4\MC900432546[1].pn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52" cy="201252"/>
                    </a:xfrm>
                    <a:prstGeom prst="rect">
                      <a:avLst/>
                    </a:prstGeom>
                    <a:noFill/>
                    <a:ln>
                      <a:noFill/>
                    </a:ln>
                  </pic:spPr>
                </pic:pic>
              </a:graphicData>
            </a:graphic>
          </wp:inline>
        </w:drawing>
      </w:r>
      <w:r w:rsidRPr="00A35187">
        <w:rPr>
          <w:sz w:val="14"/>
          <w:szCs w:val="14"/>
        </w:rPr>
        <w:t xml:space="preserve"> </w:t>
      </w:r>
      <w:proofErr w:type="gramStart"/>
      <w:r w:rsidRPr="00A35187">
        <w:rPr>
          <w:sz w:val="14"/>
          <w:szCs w:val="14"/>
        </w:rPr>
        <w:t>=  Data</w:t>
      </w:r>
      <w:proofErr w:type="gramEnd"/>
      <w:r w:rsidRPr="00A35187">
        <w:rPr>
          <w:sz w:val="14"/>
          <w:szCs w:val="14"/>
        </w:rPr>
        <w:t xml:space="preserve"> not collected. / Data available for less than 50% of councils.</w:t>
      </w:r>
    </w:p>
    <w:p w:rsidR="00F155B6" w:rsidRPr="00D56C84" w:rsidRDefault="007C6281" w:rsidP="0064400C">
      <w:pPr>
        <w:pStyle w:val="ParaIndent"/>
      </w:pPr>
      <w:r w:rsidRPr="00D56C84">
        <w:br w:type="page"/>
      </w:r>
    </w:p>
    <w:p w:rsidR="0094587B" w:rsidRPr="00D56C84" w:rsidRDefault="00D647B0" w:rsidP="00D647B0">
      <w:pPr>
        <w:pStyle w:val="Heading1"/>
      </w:pPr>
      <w:bookmarkStart w:id="135" w:name="_Ref299523868"/>
      <w:bookmarkStart w:id="136" w:name="_Ref299523893"/>
      <w:bookmarkStart w:id="137" w:name="_Toc307470472"/>
      <w:r w:rsidRPr="00D56C84">
        <w:lastRenderedPageBreak/>
        <w:t>I</w:t>
      </w:r>
      <w:r w:rsidR="008C6DBF">
        <w:t>nfrastructure and costs</w:t>
      </w:r>
      <w:bookmarkEnd w:id="135"/>
      <w:bookmarkEnd w:id="136"/>
      <w:bookmarkEnd w:id="137"/>
    </w:p>
    <w:p w:rsidR="0094587B" w:rsidRPr="00D56C84" w:rsidRDefault="00DA69C1" w:rsidP="001E0880">
      <w:pPr>
        <w:pStyle w:val="ParaIndent"/>
        <w:jc w:val="both"/>
      </w:pPr>
      <w:r w:rsidRPr="00D56C84">
        <w:t>Information relating to the cost to local government of providing waste and recycling services</w:t>
      </w:r>
      <w:r w:rsidR="002B010C" w:rsidRPr="00D56C84">
        <w:t xml:space="preserve">, obtained </w:t>
      </w:r>
      <w:r w:rsidRPr="00D56C84">
        <w:t>through various grant commissions</w:t>
      </w:r>
      <w:r w:rsidR="002B010C" w:rsidRPr="00D56C84">
        <w:t>,</w:t>
      </w:r>
      <w:r w:rsidRPr="00D56C84">
        <w:t xml:space="preserve"> is detailed in the </w:t>
      </w:r>
      <w:r w:rsidRPr="00D56C84">
        <w:rPr>
          <w:i/>
        </w:rPr>
        <w:t>LGA Waste and Recycling Data</w:t>
      </w:r>
      <w:r w:rsidRPr="00D56C84">
        <w:t xml:space="preserve"> Excel Workbook provided with this report</w:t>
      </w:r>
      <w:r w:rsidR="00A01211" w:rsidRPr="00D56C84">
        <w:t xml:space="preserve">, and </w:t>
      </w:r>
      <w:r w:rsidR="005238BF">
        <w:t>summarised</w:t>
      </w:r>
      <w:r w:rsidR="00A01211" w:rsidRPr="00D56C84">
        <w:t xml:space="preserve"> within the jurisdictional summary sections</w:t>
      </w:r>
      <w:r w:rsidR="005238BF">
        <w:t>,</w:t>
      </w:r>
      <w:r w:rsidR="00A01211" w:rsidRPr="00D56C84">
        <w:t xml:space="preserve"> where possible</w:t>
      </w:r>
      <w:r w:rsidRPr="00D56C84">
        <w:t>.</w:t>
      </w:r>
    </w:p>
    <w:p w:rsidR="001267CE" w:rsidRPr="00D56C84" w:rsidRDefault="00DA69C1" w:rsidP="001E0880">
      <w:pPr>
        <w:pStyle w:val="ParaIndent"/>
        <w:jc w:val="both"/>
      </w:pPr>
      <w:proofErr w:type="spellStart"/>
      <w:r w:rsidRPr="00D56C84">
        <w:t>Hyder</w:t>
      </w:r>
      <w:proofErr w:type="spellEnd"/>
      <w:r w:rsidRPr="00D56C84">
        <w:t xml:space="preserve"> also directly approached</w:t>
      </w:r>
      <w:r w:rsidR="00E50E2D" w:rsidRPr="00D56C84">
        <w:t xml:space="preserve"> industry operators with</w:t>
      </w:r>
      <w:r w:rsidRPr="00D56C84">
        <w:t xml:space="preserve"> </w:t>
      </w:r>
      <w:r w:rsidR="00E50E2D" w:rsidRPr="00D56C84">
        <w:t xml:space="preserve">knowledge of landfill and recycling facilities </w:t>
      </w:r>
      <w:r w:rsidRPr="00D56C84">
        <w:t xml:space="preserve">in order to gather an indicative cost of service provision </w:t>
      </w:r>
      <w:r w:rsidR="00E50E2D" w:rsidRPr="00D56C84">
        <w:t xml:space="preserve">for local governments </w:t>
      </w:r>
      <w:r w:rsidRPr="00D56C84">
        <w:t xml:space="preserve">within </w:t>
      </w:r>
      <w:r w:rsidR="00E50E2D" w:rsidRPr="00D56C84">
        <w:t>some</w:t>
      </w:r>
      <w:r w:rsidRPr="00D56C84">
        <w:t xml:space="preserve"> jurisdictions. </w:t>
      </w:r>
      <w:r w:rsidR="00E50E2D" w:rsidRPr="00D56C84">
        <w:t xml:space="preserve">It should be noted the results shown in </w:t>
      </w:r>
      <w:fldSimple w:instr=" REF _Ref297117740 \h  \* MERGEFORMAT ">
        <w:r w:rsidR="00166111" w:rsidRPr="00D56C84">
          <w:t xml:space="preserve">Table </w:t>
        </w:r>
        <w:r w:rsidR="00166111">
          <w:rPr>
            <w:noProof/>
          </w:rPr>
          <w:t>14</w:t>
        </w:r>
        <w:r w:rsidR="00166111" w:rsidRPr="00D56C84">
          <w:rPr>
            <w:noProof/>
          </w:rPr>
          <w:t>-</w:t>
        </w:r>
        <w:r w:rsidR="00166111">
          <w:rPr>
            <w:noProof/>
          </w:rPr>
          <w:t>37</w:t>
        </w:r>
      </w:fldSimple>
      <w:r w:rsidR="0025235E" w:rsidRPr="00D56C84">
        <w:t xml:space="preserve"> </w:t>
      </w:r>
      <w:r w:rsidR="00E50E2D" w:rsidRPr="00D56C84">
        <w:t>are estimated ranges of commercially sensitive information, based on the personal opinion of a limited number of stakeholders.</w:t>
      </w:r>
    </w:p>
    <w:p w:rsidR="0025235E" w:rsidRPr="00D56C84" w:rsidRDefault="0025235E" w:rsidP="0025235E">
      <w:pPr>
        <w:pStyle w:val="Caption"/>
      </w:pPr>
      <w:bookmarkStart w:id="138" w:name="_Ref297117740"/>
      <w:r w:rsidRPr="00D56C84">
        <w:t xml:space="preserve">Table </w:t>
      </w:r>
      <w:r w:rsidR="00ED6CA0">
        <w:fldChar w:fldCharType="begin"/>
      </w:r>
      <w:r w:rsidR="006D5406">
        <w:instrText xml:space="preserve"> STYLEREF "_Heading1" \n </w:instrText>
      </w:r>
      <w:r w:rsidR="00ED6CA0">
        <w:fldChar w:fldCharType="separate"/>
      </w:r>
      <w:r w:rsidR="00166111">
        <w:rPr>
          <w:noProof/>
        </w:rPr>
        <w:t>14</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37</w:t>
      </w:r>
      <w:r w:rsidR="00ED6CA0">
        <w:rPr>
          <w:noProof/>
        </w:rPr>
        <w:fldChar w:fldCharType="end"/>
      </w:r>
      <w:bookmarkEnd w:id="138"/>
      <w:r w:rsidRPr="00D56C84">
        <w:tab/>
      </w:r>
      <w:proofErr w:type="gramStart"/>
      <w:r w:rsidRPr="00D56C84">
        <w:t>Estimated</w:t>
      </w:r>
      <w:proofErr w:type="gramEnd"/>
      <w:r w:rsidRPr="00D56C84">
        <w:t xml:space="preserve"> cost of waste and recycling services provided to local government</w:t>
      </w:r>
    </w:p>
    <w:tbl>
      <w:tblPr>
        <w:tblW w:w="5000" w:type="pct"/>
        <w:tblBorders>
          <w:bottom w:val="single" w:sz="18" w:space="0" w:color="808080"/>
          <w:insideH w:val="single" w:sz="4" w:space="0" w:color="808080"/>
        </w:tblBorders>
        <w:tblCellMar>
          <w:left w:w="0" w:type="dxa"/>
          <w:right w:w="0" w:type="dxa"/>
        </w:tblCellMar>
        <w:tblLook w:val="04A0"/>
      </w:tblPr>
      <w:tblGrid>
        <w:gridCol w:w="1461"/>
        <w:gridCol w:w="1363"/>
        <w:gridCol w:w="1363"/>
        <w:gridCol w:w="1363"/>
        <w:gridCol w:w="1363"/>
        <w:gridCol w:w="1309"/>
        <w:gridCol w:w="1417"/>
      </w:tblGrid>
      <w:tr w:rsidR="00E50E2D" w:rsidRPr="00D56C84" w:rsidTr="00CE666F">
        <w:trPr>
          <w:trHeight w:val="900"/>
        </w:trPr>
        <w:tc>
          <w:tcPr>
            <w:tcW w:w="758" w:type="pct"/>
            <w:shd w:val="clear" w:color="auto" w:fill="auto"/>
            <w:noWrap/>
            <w:vAlign w:val="bottom"/>
            <w:hideMark/>
          </w:tcPr>
          <w:p w:rsidR="00E50E2D" w:rsidRPr="00D56C84" w:rsidRDefault="00E50E2D" w:rsidP="00E50E2D">
            <w:pPr>
              <w:pStyle w:val="TableHeading"/>
              <w:rPr>
                <w:lang w:eastAsia="en-AU"/>
              </w:rPr>
            </w:pPr>
            <w:r w:rsidRPr="00D56C84">
              <w:rPr>
                <w:lang w:eastAsia="en-AU"/>
              </w:rPr>
              <w:t>Jurisdiction</w:t>
            </w:r>
          </w:p>
        </w:tc>
        <w:tc>
          <w:tcPr>
            <w:tcW w:w="707" w:type="pct"/>
            <w:shd w:val="clear" w:color="auto" w:fill="auto"/>
            <w:vAlign w:val="bottom"/>
            <w:hideMark/>
          </w:tcPr>
          <w:p w:rsidR="00E50E2D" w:rsidRPr="00D56C84" w:rsidRDefault="00E50E2D" w:rsidP="00E50E2D">
            <w:pPr>
              <w:pStyle w:val="TableHeading"/>
              <w:rPr>
                <w:lang w:eastAsia="en-AU"/>
              </w:rPr>
            </w:pPr>
            <w:r w:rsidRPr="00D56C84">
              <w:rPr>
                <w:lang w:eastAsia="en-AU"/>
              </w:rPr>
              <w:t>Metro landfill gate-fees ($/t)</w:t>
            </w:r>
          </w:p>
        </w:tc>
        <w:tc>
          <w:tcPr>
            <w:tcW w:w="707" w:type="pct"/>
            <w:shd w:val="clear" w:color="auto" w:fill="auto"/>
            <w:vAlign w:val="bottom"/>
            <w:hideMark/>
          </w:tcPr>
          <w:p w:rsidR="00E50E2D" w:rsidRPr="00D56C84" w:rsidRDefault="00E50E2D" w:rsidP="00E50E2D">
            <w:pPr>
              <w:pStyle w:val="TableHeading"/>
              <w:rPr>
                <w:lang w:eastAsia="en-AU"/>
              </w:rPr>
            </w:pPr>
            <w:r w:rsidRPr="00D56C84">
              <w:rPr>
                <w:lang w:eastAsia="en-AU"/>
              </w:rPr>
              <w:t>Regional landfill gate-fees ($/t)</w:t>
            </w:r>
          </w:p>
        </w:tc>
        <w:tc>
          <w:tcPr>
            <w:tcW w:w="707" w:type="pct"/>
            <w:shd w:val="clear" w:color="auto" w:fill="auto"/>
            <w:vAlign w:val="bottom"/>
            <w:hideMark/>
          </w:tcPr>
          <w:p w:rsidR="00E50E2D" w:rsidRPr="00D56C84" w:rsidRDefault="00E50E2D" w:rsidP="00E50E2D">
            <w:pPr>
              <w:pStyle w:val="TableHeading"/>
              <w:rPr>
                <w:lang w:eastAsia="en-AU"/>
              </w:rPr>
            </w:pPr>
            <w:r w:rsidRPr="00D56C84">
              <w:rPr>
                <w:lang w:eastAsia="en-AU"/>
              </w:rPr>
              <w:t xml:space="preserve">AWT </w:t>
            </w:r>
            <w:r w:rsidR="00CE666F" w:rsidRPr="00D56C84">
              <w:rPr>
                <w:lang w:eastAsia="en-AU"/>
              </w:rPr>
              <w:t xml:space="preserve">processing </w:t>
            </w:r>
            <w:r w:rsidRPr="00D56C84">
              <w:rPr>
                <w:lang w:eastAsia="en-AU"/>
              </w:rPr>
              <w:t>gate-fees ($/t)</w:t>
            </w:r>
          </w:p>
        </w:tc>
        <w:tc>
          <w:tcPr>
            <w:tcW w:w="707" w:type="pct"/>
            <w:shd w:val="clear" w:color="auto" w:fill="auto"/>
            <w:vAlign w:val="bottom"/>
            <w:hideMark/>
          </w:tcPr>
          <w:p w:rsidR="00E50E2D" w:rsidRPr="00D56C84" w:rsidRDefault="00E50E2D" w:rsidP="00E50E2D">
            <w:pPr>
              <w:pStyle w:val="TableHeading"/>
              <w:rPr>
                <w:lang w:eastAsia="en-AU"/>
              </w:rPr>
            </w:pPr>
            <w:r w:rsidRPr="00D56C84">
              <w:rPr>
                <w:lang w:eastAsia="en-AU"/>
              </w:rPr>
              <w:t>MRF</w:t>
            </w:r>
            <w:r w:rsidR="00CE666F" w:rsidRPr="00D56C84">
              <w:rPr>
                <w:lang w:eastAsia="en-AU"/>
              </w:rPr>
              <w:t xml:space="preserve"> processing</w:t>
            </w:r>
            <w:r w:rsidRPr="00D56C84">
              <w:rPr>
                <w:lang w:eastAsia="en-AU"/>
              </w:rPr>
              <w:t xml:space="preserve"> gate-fees ($/t)</w:t>
            </w:r>
          </w:p>
        </w:tc>
        <w:tc>
          <w:tcPr>
            <w:tcW w:w="679" w:type="pct"/>
            <w:shd w:val="clear" w:color="auto" w:fill="auto"/>
            <w:vAlign w:val="bottom"/>
            <w:hideMark/>
          </w:tcPr>
          <w:p w:rsidR="00E50E2D" w:rsidRPr="00D56C84" w:rsidRDefault="00E50E2D" w:rsidP="002B010C">
            <w:pPr>
              <w:pStyle w:val="TableHeading"/>
              <w:rPr>
                <w:lang w:eastAsia="en-AU"/>
              </w:rPr>
            </w:pPr>
            <w:r w:rsidRPr="00D56C84">
              <w:rPr>
                <w:lang w:eastAsia="en-AU"/>
              </w:rPr>
              <w:t>Green</w:t>
            </w:r>
            <w:r w:rsidR="0025235E" w:rsidRPr="00D56C84">
              <w:rPr>
                <w:lang w:eastAsia="en-AU"/>
              </w:rPr>
              <w:t xml:space="preserve"> </w:t>
            </w:r>
            <w:r w:rsidRPr="00D56C84">
              <w:rPr>
                <w:lang w:eastAsia="en-AU"/>
              </w:rPr>
              <w:t>waste</w:t>
            </w:r>
            <w:r w:rsidR="00CE666F" w:rsidRPr="00D56C84">
              <w:rPr>
                <w:lang w:eastAsia="en-AU"/>
              </w:rPr>
              <w:t xml:space="preserve"> processing</w:t>
            </w:r>
            <w:r w:rsidRPr="00D56C84">
              <w:rPr>
                <w:lang w:eastAsia="en-AU"/>
              </w:rPr>
              <w:t xml:space="preserve"> gate-fees ($/t)</w:t>
            </w:r>
          </w:p>
        </w:tc>
        <w:tc>
          <w:tcPr>
            <w:tcW w:w="735" w:type="pct"/>
            <w:shd w:val="clear" w:color="auto" w:fill="auto"/>
            <w:vAlign w:val="bottom"/>
            <w:hideMark/>
          </w:tcPr>
          <w:p w:rsidR="00E50E2D" w:rsidRPr="00D56C84" w:rsidRDefault="00E50E2D" w:rsidP="00E50E2D">
            <w:pPr>
              <w:pStyle w:val="TableHeading"/>
              <w:rPr>
                <w:lang w:eastAsia="en-AU"/>
              </w:rPr>
            </w:pPr>
            <w:r w:rsidRPr="00D56C84">
              <w:rPr>
                <w:lang w:eastAsia="en-AU"/>
              </w:rPr>
              <w:t>Collection costs ($/t or $/lift)</w:t>
            </w:r>
          </w:p>
        </w:tc>
      </w:tr>
      <w:tr w:rsidR="00E50E2D" w:rsidRPr="00D56C84" w:rsidTr="00CE666F">
        <w:trPr>
          <w:trHeight w:val="300"/>
        </w:trPr>
        <w:tc>
          <w:tcPr>
            <w:tcW w:w="758" w:type="pct"/>
            <w:shd w:val="clear" w:color="auto" w:fill="auto"/>
            <w:noWrap/>
            <w:vAlign w:val="bottom"/>
            <w:hideMark/>
          </w:tcPr>
          <w:p w:rsidR="00E50E2D" w:rsidRPr="00D56C84" w:rsidRDefault="00E50E2D" w:rsidP="00E50E2D">
            <w:pPr>
              <w:pStyle w:val="TableText"/>
              <w:rPr>
                <w:lang w:eastAsia="en-AU"/>
              </w:rPr>
            </w:pPr>
            <w:r w:rsidRPr="00D56C84">
              <w:rPr>
                <w:lang w:eastAsia="en-AU"/>
              </w:rPr>
              <w:t>NSW</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$150 to &gt;$200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$100-240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≈$200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≈$30</w:t>
            </w:r>
          </w:p>
        </w:tc>
        <w:tc>
          <w:tcPr>
            <w:tcW w:w="679"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c>
          <w:tcPr>
            <w:tcW w:w="735" w:type="pct"/>
            <w:shd w:val="clear" w:color="auto" w:fill="auto"/>
            <w:noWrap/>
            <w:vAlign w:val="bottom"/>
            <w:hideMark/>
          </w:tcPr>
          <w:p w:rsidR="00E50E2D" w:rsidRPr="00D56C84" w:rsidRDefault="00E50E2D" w:rsidP="00E50E2D">
            <w:pPr>
              <w:pStyle w:val="TableText"/>
              <w:rPr>
                <w:lang w:eastAsia="en-AU"/>
              </w:rPr>
            </w:pPr>
            <w:r w:rsidRPr="00D56C84">
              <w:rPr>
                <w:lang w:eastAsia="en-AU"/>
              </w:rPr>
              <w:t>≈$60-100/t</w:t>
            </w:r>
          </w:p>
        </w:tc>
      </w:tr>
      <w:tr w:rsidR="00E50E2D" w:rsidRPr="00D56C84" w:rsidTr="00CE666F">
        <w:trPr>
          <w:trHeight w:val="300"/>
        </w:trPr>
        <w:tc>
          <w:tcPr>
            <w:tcW w:w="758" w:type="pct"/>
            <w:shd w:val="clear" w:color="auto" w:fill="auto"/>
            <w:noWrap/>
            <w:vAlign w:val="bottom"/>
            <w:hideMark/>
          </w:tcPr>
          <w:p w:rsidR="00E50E2D" w:rsidRPr="00D56C84" w:rsidRDefault="00E50E2D" w:rsidP="00E50E2D">
            <w:pPr>
              <w:pStyle w:val="TableText"/>
              <w:rPr>
                <w:lang w:eastAsia="en-AU"/>
              </w:rPr>
            </w:pPr>
            <w:r w:rsidRPr="00D56C84">
              <w:rPr>
                <w:lang w:eastAsia="en-AU"/>
              </w:rPr>
              <w:t>Victoria</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≈$80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≈$70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$-10 to $40</w:t>
            </w:r>
          </w:p>
        </w:tc>
        <w:tc>
          <w:tcPr>
            <w:tcW w:w="679" w:type="pct"/>
            <w:shd w:val="clear" w:color="auto" w:fill="auto"/>
            <w:noWrap/>
            <w:vAlign w:val="bottom"/>
            <w:hideMark/>
          </w:tcPr>
          <w:p w:rsidR="00E50E2D" w:rsidRPr="00D56C84" w:rsidRDefault="00E50E2D" w:rsidP="00E50E2D">
            <w:pPr>
              <w:pStyle w:val="TableText"/>
              <w:rPr>
                <w:lang w:eastAsia="en-AU"/>
              </w:rPr>
            </w:pPr>
            <w:r w:rsidRPr="00D56C84">
              <w:rPr>
                <w:lang w:eastAsia="en-AU"/>
              </w:rPr>
              <w:t>$45-85</w:t>
            </w:r>
          </w:p>
        </w:tc>
        <w:tc>
          <w:tcPr>
            <w:tcW w:w="735"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r>
      <w:tr w:rsidR="00E50E2D" w:rsidRPr="00D56C84" w:rsidTr="00CE666F">
        <w:trPr>
          <w:trHeight w:val="300"/>
        </w:trPr>
        <w:tc>
          <w:tcPr>
            <w:tcW w:w="758" w:type="pct"/>
            <w:shd w:val="clear" w:color="auto" w:fill="auto"/>
            <w:noWrap/>
            <w:vAlign w:val="bottom"/>
            <w:hideMark/>
          </w:tcPr>
          <w:p w:rsidR="00E50E2D" w:rsidRPr="00D56C84" w:rsidRDefault="00E50E2D" w:rsidP="00E50E2D">
            <w:pPr>
              <w:pStyle w:val="TableText"/>
              <w:rPr>
                <w:lang w:eastAsia="en-AU"/>
              </w:rPr>
            </w:pPr>
            <w:r w:rsidRPr="00D56C84">
              <w:rPr>
                <w:lang w:eastAsia="en-AU"/>
              </w:rPr>
              <w:t>South Australia</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$75-110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≈$30</w:t>
            </w:r>
          </w:p>
        </w:tc>
        <w:tc>
          <w:tcPr>
            <w:tcW w:w="679" w:type="pct"/>
            <w:shd w:val="clear" w:color="auto" w:fill="auto"/>
            <w:noWrap/>
            <w:vAlign w:val="bottom"/>
            <w:hideMark/>
          </w:tcPr>
          <w:p w:rsidR="00E50E2D" w:rsidRPr="00D56C84" w:rsidRDefault="00E50E2D" w:rsidP="00E50E2D">
            <w:pPr>
              <w:pStyle w:val="TableText"/>
              <w:rPr>
                <w:lang w:eastAsia="en-AU"/>
              </w:rPr>
            </w:pPr>
            <w:r w:rsidRPr="00D56C84">
              <w:rPr>
                <w:lang w:eastAsia="en-AU"/>
              </w:rPr>
              <w:t>$30-35</w:t>
            </w:r>
          </w:p>
        </w:tc>
        <w:tc>
          <w:tcPr>
            <w:tcW w:w="735" w:type="pct"/>
            <w:shd w:val="clear" w:color="auto" w:fill="auto"/>
            <w:noWrap/>
            <w:vAlign w:val="bottom"/>
            <w:hideMark/>
          </w:tcPr>
          <w:p w:rsidR="00E50E2D" w:rsidRPr="00D56C84" w:rsidRDefault="00E50E2D" w:rsidP="00E50E2D">
            <w:pPr>
              <w:pStyle w:val="TableText"/>
              <w:rPr>
                <w:lang w:eastAsia="en-AU"/>
              </w:rPr>
            </w:pPr>
            <w:r w:rsidRPr="00D56C84">
              <w:rPr>
                <w:lang w:eastAsia="en-AU"/>
              </w:rPr>
              <w:t>-</w:t>
            </w:r>
          </w:p>
        </w:tc>
      </w:tr>
      <w:tr w:rsidR="00E50E2D" w:rsidRPr="00D56C84" w:rsidTr="00CE666F">
        <w:trPr>
          <w:trHeight w:val="300"/>
        </w:trPr>
        <w:tc>
          <w:tcPr>
            <w:tcW w:w="758" w:type="pct"/>
            <w:shd w:val="clear" w:color="auto" w:fill="auto"/>
            <w:noWrap/>
            <w:vAlign w:val="bottom"/>
            <w:hideMark/>
          </w:tcPr>
          <w:p w:rsidR="00E50E2D" w:rsidRPr="00D56C84" w:rsidRDefault="00E50E2D" w:rsidP="00E50E2D">
            <w:pPr>
              <w:pStyle w:val="TableText"/>
              <w:rPr>
                <w:lang w:eastAsia="en-AU"/>
              </w:rPr>
            </w:pPr>
            <w:r w:rsidRPr="00D56C84">
              <w:rPr>
                <w:lang w:eastAsia="en-AU"/>
              </w:rPr>
              <w:t>Western Australia</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≈$70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$40-50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$130-190</w:t>
            </w:r>
          </w:p>
        </w:tc>
        <w:tc>
          <w:tcPr>
            <w:tcW w:w="707" w:type="pct"/>
            <w:shd w:val="clear" w:color="auto" w:fill="auto"/>
            <w:noWrap/>
            <w:vAlign w:val="bottom"/>
            <w:hideMark/>
          </w:tcPr>
          <w:p w:rsidR="00E50E2D" w:rsidRPr="00D56C84" w:rsidRDefault="00E50E2D" w:rsidP="00E50E2D">
            <w:pPr>
              <w:pStyle w:val="TableText"/>
              <w:rPr>
                <w:lang w:eastAsia="en-AU"/>
              </w:rPr>
            </w:pPr>
            <w:r w:rsidRPr="00D56C84">
              <w:rPr>
                <w:lang w:eastAsia="en-AU"/>
              </w:rPr>
              <w:t>&lt;$0 to $80</w:t>
            </w:r>
          </w:p>
        </w:tc>
        <w:tc>
          <w:tcPr>
            <w:tcW w:w="679" w:type="pct"/>
            <w:shd w:val="clear" w:color="auto" w:fill="auto"/>
            <w:noWrap/>
            <w:vAlign w:val="bottom"/>
            <w:hideMark/>
          </w:tcPr>
          <w:p w:rsidR="00E50E2D" w:rsidRPr="00D56C84" w:rsidRDefault="00E50E2D" w:rsidP="00E50E2D">
            <w:pPr>
              <w:pStyle w:val="TableText"/>
              <w:rPr>
                <w:lang w:eastAsia="en-AU"/>
              </w:rPr>
            </w:pPr>
            <w:r w:rsidRPr="00D56C84">
              <w:rPr>
                <w:lang w:eastAsia="en-AU"/>
              </w:rPr>
              <w:t>≈$40</w:t>
            </w:r>
          </w:p>
        </w:tc>
        <w:tc>
          <w:tcPr>
            <w:tcW w:w="735" w:type="pct"/>
            <w:shd w:val="clear" w:color="auto" w:fill="auto"/>
            <w:noWrap/>
            <w:vAlign w:val="bottom"/>
            <w:hideMark/>
          </w:tcPr>
          <w:p w:rsidR="00E50E2D" w:rsidRPr="00D56C84" w:rsidRDefault="00E50E2D" w:rsidP="00E50E2D">
            <w:pPr>
              <w:pStyle w:val="TableText"/>
              <w:rPr>
                <w:lang w:eastAsia="en-AU"/>
              </w:rPr>
            </w:pPr>
            <w:r w:rsidRPr="00D56C84">
              <w:rPr>
                <w:lang w:eastAsia="en-AU"/>
              </w:rPr>
              <w:t>$0.70-1.05/lift</w:t>
            </w:r>
          </w:p>
        </w:tc>
      </w:tr>
    </w:tbl>
    <w:p w:rsidR="00247CA5" w:rsidRDefault="001267CE" w:rsidP="00B5378F">
      <w:pPr>
        <w:pStyle w:val="ParaIndent"/>
        <w:spacing w:before="120"/>
        <w:jc w:val="both"/>
      </w:pPr>
      <w:r>
        <w:t xml:space="preserve">‘Gate-fees’ </w:t>
      </w:r>
      <w:r w:rsidR="00247CA5">
        <w:t>represent</w:t>
      </w:r>
      <w:r>
        <w:t xml:space="preserve"> the total cost charged to customers per tonne of material delivered to a facility</w:t>
      </w:r>
      <w:r w:rsidR="00247CA5">
        <w:t>. This includes a component to cover operational costs of the facility, and often also a component to cover the capital costs of the facility (including post-closure management) as well as any relevant jurisdictional levies or charges.</w:t>
      </w:r>
    </w:p>
    <w:p w:rsidR="00837031" w:rsidRDefault="00837031" w:rsidP="001E0880">
      <w:pPr>
        <w:pStyle w:val="ParaIndent"/>
        <w:jc w:val="both"/>
      </w:pPr>
      <w:r>
        <w:t>Most Australian jurisdictions have introduced landfill levies in order to discour</w:t>
      </w:r>
      <w:r w:rsidR="00757C08">
        <w:t xml:space="preserve">age waste disposal to landfill. Levy amounts, the </w:t>
      </w:r>
      <w:r w:rsidR="000A7FFA">
        <w:t xml:space="preserve">specific waste streams and </w:t>
      </w:r>
      <w:r w:rsidR="00757C08">
        <w:t xml:space="preserve">materials </w:t>
      </w:r>
      <w:r w:rsidR="000A7FFA">
        <w:t xml:space="preserve">that </w:t>
      </w:r>
      <w:r w:rsidR="00757C08">
        <w:t>levies are applied to</w:t>
      </w:r>
      <w:r w:rsidR="008C1C84">
        <w:t>,</w:t>
      </w:r>
      <w:r w:rsidR="00757C08">
        <w:t xml:space="preserve"> the scheduled rate of increase in those levies</w:t>
      </w:r>
      <w:r w:rsidR="008C1C84">
        <w:t>, and the degree to which the funds raised are returned to support waste reduction activities</w:t>
      </w:r>
      <w:r w:rsidR="000A7FFA">
        <w:t>,</w:t>
      </w:r>
      <w:r w:rsidR="00757C08">
        <w:t xml:space="preserve"> varies </w:t>
      </w:r>
      <w:r w:rsidR="000A7FFA">
        <w:t xml:space="preserve">considerably </w:t>
      </w:r>
      <w:r w:rsidR="00757C08">
        <w:t xml:space="preserve">between jurisdictions. Published landfill levies in each Australian jurisdiction for the 2010 financial year are summarised below. </w:t>
      </w:r>
      <w:r w:rsidR="00B37E46">
        <w:t>It should be noted Queensland plans to introduce a $35/tonne levy on disposal of industrial wastes</w:t>
      </w:r>
      <w:r w:rsidR="008C1C84">
        <w:t xml:space="preserve"> in December 2011.</w:t>
      </w:r>
      <w:r w:rsidR="000A7FFA">
        <w:t xml:space="preserve"> This levy will not apply to municipal wastes.</w:t>
      </w:r>
    </w:p>
    <w:p w:rsidR="00B37E46" w:rsidRPr="00D56C84" w:rsidRDefault="00B37E46" w:rsidP="00B37E46">
      <w:pPr>
        <w:pStyle w:val="Caption"/>
      </w:pPr>
      <w:r w:rsidRPr="006226B1">
        <w:t xml:space="preserve">Table </w:t>
      </w:r>
      <w:r w:rsidR="00ED6CA0">
        <w:fldChar w:fldCharType="begin"/>
      </w:r>
      <w:r w:rsidR="00EF2F97">
        <w:instrText xml:space="preserve"> STYLEREF "_Heading1" \n </w:instrText>
      </w:r>
      <w:r w:rsidR="00ED6CA0">
        <w:fldChar w:fldCharType="separate"/>
      </w:r>
      <w:r w:rsidR="00166111">
        <w:rPr>
          <w:noProof/>
        </w:rPr>
        <w:t>14</w:t>
      </w:r>
      <w:r w:rsidR="00ED6CA0">
        <w:rPr>
          <w:noProof/>
        </w:rPr>
        <w:fldChar w:fldCharType="end"/>
      </w:r>
      <w:r w:rsidRPr="006226B1">
        <w:t>-</w:t>
      </w:r>
      <w:r w:rsidR="00ED6CA0">
        <w:fldChar w:fldCharType="begin"/>
      </w:r>
      <w:r w:rsidR="00EF2F97">
        <w:instrText xml:space="preserve"> SEQ Table \* Arabic </w:instrText>
      </w:r>
      <w:r w:rsidR="00ED6CA0">
        <w:fldChar w:fldCharType="separate"/>
      </w:r>
      <w:r w:rsidR="00166111">
        <w:rPr>
          <w:noProof/>
        </w:rPr>
        <w:t>38</w:t>
      </w:r>
      <w:r w:rsidR="00ED6CA0">
        <w:rPr>
          <w:noProof/>
        </w:rPr>
        <w:fldChar w:fldCharType="end"/>
      </w:r>
      <w:r w:rsidRPr="006226B1">
        <w:tab/>
      </w:r>
      <w:r>
        <w:t>Published landfill levies in various jurisdictions for 2010</w:t>
      </w:r>
    </w:p>
    <w:tbl>
      <w:tblPr>
        <w:tblStyle w:val="TableGrid"/>
        <w:tblW w:w="5000" w:type="pct"/>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CellMar>
          <w:left w:w="0" w:type="dxa"/>
          <w:right w:w="0" w:type="dxa"/>
        </w:tblCellMar>
        <w:tblLook w:val="04A0"/>
      </w:tblPr>
      <w:tblGrid>
        <w:gridCol w:w="3211"/>
        <w:gridCol w:w="3214"/>
        <w:gridCol w:w="3214"/>
      </w:tblGrid>
      <w:tr w:rsidR="00B37E46" w:rsidTr="00B37E46">
        <w:tc>
          <w:tcPr>
            <w:tcW w:w="1666" w:type="pct"/>
            <w:shd w:val="clear" w:color="auto" w:fill="auto"/>
          </w:tcPr>
          <w:p w:rsidR="00B37E46" w:rsidRDefault="00B37E46" w:rsidP="00B37E46">
            <w:pPr>
              <w:pStyle w:val="TableHeading"/>
            </w:pPr>
            <w:r>
              <w:t>Jurisdiction</w:t>
            </w:r>
          </w:p>
        </w:tc>
        <w:tc>
          <w:tcPr>
            <w:tcW w:w="1667" w:type="pct"/>
            <w:shd w:val="clear" w:color="auto" w:fill="auto"/>
          </w:tcPr>
          <w:p w:rsidR="00B37E46" w:rsidRDefault="00B37E46" w:rsidP="00B37E46">
            <w:pPr>
              <w:pStyle w:val="TableHeading"/>
            </w:pPr>
            <w:r>
              <w:t>Region or waste stream</w:t>
            </w:r>
          </w:p>
        </w:tc>
        <w:tc>
          <w:tcPr>
            <w:tcW w:w="1667" w:type="pct"/>
            <w:shd w:val="clear" w:color="auto" w:fill="auto"/>
          </w:tcPr>
          <w:p w:rsidR="00B37E46" w:rsidRDefault="00B37E46" w:rsidP="00B37E46">
            <w:pPr>
              <w:pStyle w:val="TableHeading"/>
            </w:pPr>
            <w:r>
              <w:t>Landfill levy (2010)</w:t>
            </w:r>
          </w:p>
        </w:tc>
      </w:tr>
      <w:tr w:rsidR="00B37E46" w:rsidTr="00B37E46">
        <w:tc>
          <w:tcPr>
            <w:tcW w:w="1666" w:type="pct"/>
            <w:vMerge w:val="restart"/>
            <w:shd w:val="clear" w:color="auto" w:fill="auto"/>
            <w:vAlign w:val="center"/>
          </w:tcPr>
          <w:p w:rsidR="00B37E46" w:rsidRPr="00B5378F" w:rsidRDefault="00B37E46" w:rsidP="00B37E46">
            <w:pPr>
              <w:pStyle w:val="TableText"/>
            </w:pPr>
            <w:r w:rsidRPr="00B5378F">
              <w:t>NSW</w:t>
            </w:r>
          </w:p>
        </w:tc>
        <w:tc>
          <w:tcPr>
            <w:tcW w:w="1667" w:type="pct"/>
            <w:shd w:val="clear" w:color="auto" w:fill="auto"/>
          </w:tcPr>
          <w:p w:rsidR="00B37E46" w:rsidRDefault="00B37E46" w:rsidP="00B37E46">
            <w:pPr>
              <w:pStyle w:val="TableText"/>
            </w:pPr>
            <w:r>
              <w:t>Sydney metropolitan area</w:t>
            </w:r>
          </w:p>
        </w:tc>
        <w:tc>
          <w:tcPr>
            <w:tcW w:w="1667" w:type="pct"/>
            <w:shd w:val="clear" w:color="auto" w:fill="auto"/>
          </w:tcPr>
          <w:p w:rsidR="00B37E46" w:rsidRDefault="00B37E46" w:rsidP="00B37E46">
            <w:pPr>
              <w:pStyle w:val="TableText"/>
            </w:pPr>
            <w:r>
              <w:t>$70.30/t</w:t>
            </w:r>
          </w:p>
        </w:tc>
      </w:tr>
      <w:tr w:rsidR="00B37E46" w:rsidTr="00B37E46">
        <w:tc>
          <w:tcPr>
            <w:tcW w:w="1666" w:type="pct"/>
            <w:vMerge/>
            <w:shd w:val="clear" w:color="auto" w:fill="auto"/>
            <w:vAlign w:val="center"/>
          </w:tcPr>
          <w:p w:rsidR="000C56AF" w:rsidRPr="00B5378F" w:rsidRDefault="000C56AF">
            <w:pPr>
              <w:pStyle w:val="TableText"/>
            </w:pPr>
          </w:p>
        </w:tc>
        <w:tc>
          <w:tcPr>
            <w:tcW w:w="1667" w:type="pct"/>
            <w:shd w:val="clear" w:color="auto" w:fill="auto"/>
          </w:tcPr>
          <w:p w:rsidR="00B37E46" w:rsidRDefault="00B37E46" w:rsidP="00B37E46">
            <w:pPr>
              <w:pStyle w:val="TableText"/>
            </w:pPr>
            <w:r>
              <w:t>Extended regulated area</w:t>
            </w:r>
          </w:p>
        </w:tc>
        <w:tc>
          <w:tcPr>
            <w:tcW w:w="1667" w:type="pct"/>
            <w:shd w:val="clear" w:color="auto" w:fill="auto"/>
          </w:tcPr>
          <w:p w:rsidR="00B37E46" w:rsidRDefault="00B37E46" w:rsidP="00B37E46">
            <w:pPr>
              <w:pStyle w:val="TableText"/>
            </w:pPr>
            <w:r>
              <w:t>$65.30/t</w:t>
            </w:r>
          </w:p>
        </w:tc>
      </w:tr>
      <w:tr w:rsidR="00B37E46" w:rsidTr="00B37E46">
        <w:tc>
          <w:tcPr>
            <w:tcW w:w="1666" w:type="pct"/>
            <w:vMerge/>
            <w:shd w:val="clear" w:color="auto" w:fill="auto"/>
            <w:vAlign w:val="center"/>
          </w:tcPr>
          <w:p w:rsidR="000C56AF" w:rsidRPr="00B5378F" w:rsidRDefault="000C56AF">
            <w:pPr>
              <w:pStyle w:val="TableText"/>
            </w:pPr>
          </w:p>
        </w:tc>
        <w:tc>
          <w:tcPr>
            <w:tcW w:w="1667" w:type="pct"/>
            <w:shd w:val="clear" w:color="auto" w:fill="auto"/>
          </w:tcPr>
          <w:p w:rsidR="00B37E46" w:rsidRDefault="00B37E46" w:rsidP="00B37E46">
            <w:pPr>
              <w:pStyle w:val="TableText"/>
            </w:pPr>
            <w:r>
              <w:t>Regional regulated area</w:t>
            </w:r>
          </w:p>
        </w:tc>
        <w:tc>
          <w:tcPr>
            <w:tcW w:w="1667" w:type="pct"/>
            <w:shd w:val="clear" w:color="auto" w:fill="auto"/>
          </w:tcPr>
          <w:p w:rsidR="00B37E46" w:rsidRDefault="00B37E46" w:rsidP="00B37E46">
            <w:pPr>
              <w:pStyle w:val="TableText"/>
            </w:pPr>
            <w:r>
              <w:t>$20.40/t</w:t>
            </w:r>
          </w:p>
        </w:tc>
      </w:tr>
      <w:tr w:rsidR="00B37E46" w:rsidTr="00B37E46">
        <w:tc>
          <w:tcPr>
            <w:tcW w:w="1666" w:type="pct"/>
            <w:vMerge w:val="restart"/>
            <w:shd w:val="clear" w:color="auto" w:fill="auto"/>
            <w:vAlign w:val="center"/>
          </w:tcPr>
          <w:p w:rsidR="00B37E46" w:rsidRPr="00B5378F" w:rsidRDefault="00B37E46" w:rsidP="00B37E46">
            <w:pPr>
              <w:pStyle w:val="TableText"/>
            </w:pPr>
            <w:r w:rsidRPr="00B5378F">
              <w:t>Victoria</w:t>
            </w:r>
          </w:p>
        </w:tc>
        <w:tc>
          <w:tcPr>
            <w:tcW w:w="1667" w:type="pct"/>
            <w:shd w:val="clear" w:color="auto" w:fill="auto"/>
          </w:tcPr>
          <w:p w:rsidR="00B37E46" w:rsidRDefault="00B37E46" w:rsidP="00B37E46">
            <w:pPr>
              <w:pStyle w:val="TableText"/>
            </w:pPr>
            <w:r>
              <w:t xml:space="preserve">Rural </w:t>
            </w:r>
          </w:p>
        </w:tc>
        <w:tc>
          <w:tcPr>
            <w:tcW w:w="1667" w:type="pct"/>
            <w:shd w:val="clear" w:color="auto" w:fill="auto"/>
          </w:tcPr>
          <w:p w:rsidR="00B37E46" w:rsidRDefault="00B37E46" w:rsidP="00B37E46">
            <w:pPr>
              <w:pStyle w:val="TableText"/>
            </w:pPr>
            <w:r>
              <w:t>$15/t</w:t>
            </w:r>
          </w:p>
        </w:tc>
      </w:tr>
      <w:tr w:rsidR="00B37E46" w:rsidTr="00B37E46">
        <w:tc>
          <w:tcPr>
            <w:tcW w:w="1666" w:type="pct"/>
            <w:vMerge/>
            <w:shd w:val="clear" w:color="auto" w:fill="auto"/>
            <w:vAlign w:val="center"/>
          </w:tcPr>
          <w:p w:rsidR="000C56AF" w:rsidRPr="00B5378F" w:rsidRDefault="000C56AF">
            <w:pPr>
              <w:pStyle w:val="TableText"/>
            </w:pPr>
          </w:p>
        </w:tc>
        <w:tc>
          <w:tcPr>
            <w:tcW w:w="1667" w:type="pct"/>
            <w:shd w:val="clear" w:color="auto" w:fill="auto"/>
          </w:tcPr>
          <w:p w:rsidR="00B37E46" w:rsidRDefault="00B37E46" w:rsidP="00B37E46">
            <w:pPr>
              <w:pStyle w:val="TableText"/>
            </w:pPr>
            <w:r>
              <w:t>Metro &amp; provincial</w:t>
            </w:r>
          </w:p>
        </w:tc>
        <w:tc>
          <w:tcPr>
            <w:tcW w:w="1667" w:type="pct"/>
            <w:shd w:val="clear" w:color="auto" w:fill="auto"/>
          </w:tcPr>
          <w:p w:rsidR="00B37E46" w:rsidRDefault="00B37E46" w:rsidP="00B37E46">
            <w:pPr>
              <w:pStyle w:val="TableText"/>
            </w:pPr>
            <w:r>
              <w:t>$30/t</w:t>
            </w:r>
          </w:p>
        </w:tc>
      </w:tr>
      <w:tr w:rsidR="00B37E46" w:rsidTr="00B37E46">
        <w:tc>
          <w:tcPr>
            <w:tcW w:w="1666" w:type="pct"/>
            <w:vMerge w:val="restart"/>
            <w:shd w:val="clear" w:color="auto" w:fill="auto"/>
            <w:vAlign w:val="center"/>
          </w:tcPr>
          <w:p w:rsidR="00B37E46" w:rsidRPr="00B5378F" w:rsidRDefault="00B37E46" w:rsidP="00B37E46">
            <w:pPr>
              <w:pStyle w:val="TableText"/>
            </w:pPr>
            <w:r w:rsidRPr="00B5378F">
              <w:t>South Australia</w:t>
            </w:r>
          </w:p>
        </w:tc>
        <w:tc>
          <w:tcPr>
            <w:tcW w:w="1667" w:type="pct"/>
            <w:shd w:val="clear" w:color="auto" w:fill="auto"/>
          </w:tcPr>
          <w:p w:rsidR="00B37E46" w:rsidRDefault="00B37E46" w:rsidP="00B37E46">
            <w:pPr>
              <w:pStyle w:val="TableText"/>
            </w:pPr>
            <w:r>
              <w:t>Adelaide Metropolitan Area</w:t>
            </w:r>
          </w:p>
        </w:tc>
        <w:tc>
          <w:tcPr>
            <w:tcW w:w="1667" w:type="pct"/>
            <w:shd w:val="clear" w:color="auto" w:fill="auto"/>
          </w:tcPr>
          <w:p w:rsidR="00B37E46" w:rsidRDefault="00B37E46" w:rsidP="00B37E46">
            <w:pPr>
              <w:pStyle w:val="TableText"/>
            </w:pPr>
            <w:r>
              <w:t>$26/t</w:t>
            </w:r>
          </w:p>
        </w:tc>
      </w:tr>
      <w:tr w:rsidR="00B37E46" w:rsidTr="00B37E46">
        <w:tc>
          <w:tcPr>
            <w:tcW w:w="1666" w:type="pct"/>
            <w:vMerge/>
            <w:shd w:val="clear" w:color="auto" w:fill="auto"/>
            <w:vAlign w:val="center"/>
          </w:tcPr>
          <w:p w:rsidR="000C56AF" w:rsidRDefault="000C56AF">
            <w:pPr>
              <w:pStyle w:val="TableText"/>
            </w:pPr>
          </w:p>
        </w:tc>
        <w:tc>
          <w:tcPr>
            <w:tcW w:w="1667" w:type="pct"/>
            <w:shd w:val="clear" w:color="auto" w:fill="auto"/>
          </w:tcPr>
          <w:p w:rsidR="00B37E46" w:rsidRDefault="00B37E46" w:rsidP="00B37E46">
            <w:pPr>
              <w:pStyle w:val="TableText"/>
            </w:pPr>
            <w:r>
              <w:t>SA Non Metro</w:t>
            </w:r>
          </w:p>
        </w:tc>
        <w:tc>
          <w:tcPr>
            <w:tcW w:w="1667" w:type="pct"/>
            <w:shd w:val="clear" w:color="auto" w:fill="auto"/>
          </w:tcPr>
          <w:p w:rsidR="00B37E46" w:rsidRDefault="00B37E46" w:rsidP="00B37E46">
            <w:pPr>
              <w:pStyle w:val="TableText"/>
            </w:pPr>
            <w:r>
              <w:t>$13/t</w:t>
            </w:r>
          </w:p>
        </w:tc>
      </w:tr>
      <w:tr w:rsidR="00B37E46" w:rsidTr="00B37E46">
        <w:tc>
          <w:tcPr>
            <w:tcW w:w="1666" w:type="pct"/>
            <w:shd w:val="clear" w:color="auto" w:fill="auto"/>
            <w:vAlign w:val="center"/>
          </w:tcPr>
          <w:p w:rsidR="00B37E46" w:rsidRDefault="00B37E46" w:rsidP="00B37E46">
            <w:pPr>
              <w:pStyle w:val="TableText"/>
            </w:pPr>
            <w:r>
              <w:t>Western Australia</w:t>
            </w:r>
          </w:p>
        </w:tc>
        <w:tc>
          <w:tcPr>
            <w:tcW w:w="1667" w:type="pct"/>
            <w:shd w:val="clear" w:color="auto" w:fill="auto"/>
          </w:tcPr>
          <w:p w:rsidR="00B37E46" w:rsidRDefault="00B37E46" w:rsidP="00B37E46">
            <w:pPr>
              <w:pStyle w:val="TableText"/>
            </w:pPr>
            <w:r>
              <w:t>MSW in Perth</w:t>
            </w:r>
          </w:p>
        </w:tc>
        <w:tc>
          <w:tcPr>
            <w:tcW w:w="1667" w:type="pct"/>
            <w:shd w:val="clear" w:color="auto" w:fill="auto"/>
          </w:tcPr>
          <w:p w:rsidR="00B37E46" w:rsidRDefault="00B37E46" w:rsidP="00B37E46">
            <w:pPr>
              <w:pStyle w:val="TableText"/>
            </w:pPr>
            <w:r>
              <w:t>$28/m</w:t>
            </w:r>
            <w:r w:rsidRPr="00B37E46">
              <w:rPr>
                <w:vertAlign w:val="superscript"/>
              </w:rPr>
              <w:t>3</w:t>
            </w:r>
          </w:p>
        </w:tc>
      </w:tr>
      <w:tr w:rsidR="008C1C84" w:rsidTr="00B37E46">
        <w:tc>
          <w:tcPr>
            <w:tcW w:w="1666" w:type="pct"/>
            <w:shd w:val="clear" w:color="auto" w:fill="auto"/>
            <w:vAlign w:val="center"/>
          </w:tcPr>
          <w:p w:rsidR="008C1C84" w:rsidRDefault="008C1C84" w:rsidP="00B37E46">
            <w:pPr>
              <w:pStyle w:val="TableText"/>
            </w:pPr>
            <w:r>
              <w:t>Tasmania</w:t>
            </w:r>
          </w:p>
        </w:tc>
        <w:tc>
          <w:tcPr>
            <w:tcW w:w="1667" w:type="pct"/>
            <w:shd w:val="clear" w:color="auto" w:fill="auto"/>
          </w:tcPr>
          <w:p w:rsidR="008C1C84" w:rsidRDefault="008C1C84" w:rsidP="00B37E46">
            <w:pPr>
              <w:pStyle w:val="TableText"/>
            </w:pPr>
            <w:r>
              <w:t>Voluntary levy</w:t>
            </w:r>
          </w:p>
        </w:tc>
        <w:tc>
          <w:tcPr>
            <w:tcW w:w="1667" w:type="pct"/>
            <w:shd w:val="clear" w:color="auto" w:fill="auto"/>
          </w:tcPr>
          <w:p w:rsidR="008C1C84" w:rsidRDefault="008C1C84" w:rsidP="00B37E46">
            <w:pPr>
              <w:pStyle w:val="TableText"/>
            </w:pPr>
            <w:r>
              <w:t>$2/t</w:t>
            </w:r>
          </w:p>
        </w:tc>
      </w:tr>
    </w:tbl>
    <w:p w:rsidR="0094587B" w:rsidRPr="00D56C84" w:rsidRDefault="00E50E2D" w:rsidP="00CE666F">
      <w:pPr>
        <w:pStyle w:val="Heading2"/>
      </w:pPr>
      <w:bookmarkStart w:id="139" w:name="_Toc307470473"/>
      <w:r w:rsidRPr="00D56C84">
        <w:lastRenderedPageBreak/>
        <w:t xml:space="preserve">Local Government </w:t>
      </w:r>
      <w:r w:rsidR="00CE666F" w:rsidRPr="00D56C84">
        <w:t>Infrastructure</w:t>
      </w:r>
      <w:bookmarkEnd w:id="139"/>
    </w:p>
    <w:p w:rsidR="007E4AE4" w:rsidRPr="00D56C84" w:rsidRDefault="009B1924" w:rsidP="00B5378F">
      <w:pPr>
        <w:pStyle w:val="ParaIndent"/>
        <w:jc w:val="both"/>
      </w:pPr>
      <w:r w:rsidRPr="00D56C84">
        <w:t xml:space="preserve">In </w:t>
      </w:r>
      <w:r w:rsidR="001F64E7" w:rsidRPr="00D56C84">
        <w:t xml:space="preserve">considering </w:t>
      </w:r>
      <w:r w:rsidR="008F5FB7" w:rsidRPr="00D56C84">
        <w:t>the</w:t>
      </w:r>
      <w:r w:rsidR="00D159EE" w:rsidRPr="00D56C84">
        <w:t xml:space="preserve"> type of</w:t>
      </w:r>
      <w:r w:rsidR="008F5FB7" w:rsidRPr="00D56C84">
        <w:t xml:space="preserve"> infrastructure and services provided by</w:t>
      </w:r>
      <w:r w:rsidR="00462E12" w:rsidRPr="00D56C84">
        <w:t xml:space="preserve"> Australian</w:t>
      </w:r>
      <w:r w:rsidR="008F5FB7" w:rsidRPr="00D56C84">
        <w:t xml:space="preserve"> </w:t>
      </w:r>
      <w:r w:rsidR="00462E12" w:rsidRPr="00D56C84">
        <w:t>councils</w:t>
      </w:r>
      <w:r w:rsidRPr="00D56C84">
        <w:t>,</w:t>
      </w:r>
      <w:r w:rsidR="007E4AE4" w:rsidRPr="00D56C84">
        <w:t xml:space="preserve"> the most </w:t>
      </w:r>
      <w:r w:rsidR="008F5FB7" w:rsidRPr="00D56C84">
        <w:t xml:space="preserve">logical </w:t>
      </w:r>
      <w:r w:rsidR="007E4AE4" w:rsidRPr="00D56C84">
        <w:t>grouping</w:t>
      </w:r>
      <w:r w:rsidR="00D159EE" w:rsidRPr="00D56C84">
        <w:t>s</w:t>
      </w:r>
      <w:r w:rsidR="008F5FB7" w:rsidRPr="00D56C84">
        <w:t xml:space="preserve"> </w:t>
      </w:r>
      <w:r w:rsidR="001F64E7" w:rsidRPr="00D56C84">
        <w:t>may</w:t>
      </w:r>
      <w:r w:rsidRPr="00D56C84">
        <w:t xml:space="preserve"> be </w:t>
      </w:r>
      <w:r w:rsidR="007E4AE4" w:rsidRPr="00D56C84">
        <w:t xml:space="preserve">based on </w:t>
      </w:r>
      <w:r w:rsidRPr="00D56C84">
        <w:t xml:space="preserve">the remoteness of the LGA, rather than </w:t>
      </w:r>
      <w:r w:rsidR="007E4AE4" w:rsidRPr="00D56C84">
        <w:t xml:space="preserve">the </w:t>
      </w:r>
      <w:r w:rsidRPr="00D56C84">
        <w:t>jurisdiction</w:t>
      </w:r>
      <w:r w:rsidR="001F64E7" w:rsidRPr="00D56C84">
        <w:t xml:space="preserve"> it </w:t>
      </w:r>
      <w:r w:rsidR="007E4AE4" w:rsidRPr="00D56C84">
        <w:t xml:space="preserve">is located </w:t>
      </w:r>
      <w:r w:rsidR="001F64E7" w:rsidRPr="00D56C84">
        <w:t xml:space="preserve">in. </w:t>
      </w:r>
      <w:r w:rsidR="007E4AE4" w:rsidRPr="00D56C84">
        <w:t xml:space="preserve">In terms of the challenges of providing services to its community, for example, a </w:t>
      </w:r>
      <w:r w:rsidR="001F64E7" w:rsidRPr="00D56C84">
        <w:t xml:space="preserve">remote NSW </w:t>
      </w:r>
      <w:r w:rsidR="007E4AE4" w:rsidRPr="00D56C84">
        <w:t xml:space="preserve">council </w:t>
      </w:r>
      <w:r w:rsidR="001F64E7" w:rsidRPr="00D56C84">
        <w:t>will likely have more in common with a rem</w:t>
      </w:r>
      <w:r w:rsidR="007E4AE4" w:rsidRPr="00D56C84">
        <w:t xml:space="preserve">ote Western Australian council </w:t>
      </w:r>
      <w:r w:rsidR="001F64E7" w:rsidRPr="00D56C84">
        <w:t xml:space="preserve">than it would a Sydney </w:t>
      </w:r>
      <w:r w:rsidR="007E4AE4" w:rsidRPr="00D56C84">
        <w:t xml:space="preserve">metropolitan </w:t>
      </w:r>
      <w:r w:rsidR="001F64E7" w:rsidRPr="00D56C84">
        <w:t>council.</w:t>
      </w:r>
    </w:p>
    <w:p w:rsidR="007E4AE4" w:rsidRDefault="00462E12" w:rsidP="00B5378F">
      <w:pPr>
        <w:pStyle w:val="ParaIndent"/>
        <w:jc w:val="both"/>
      </w:pPr>
      <w:r w:rsidRPr="00D56C84">
        <w:t xml:space="preserve">Council websites often provide </w:t>
      </w:r>
      <w:r w:rsidR="007E4AE4" w:rsidRPr="00D56C84">
        <w:t xml:space="preserve">information about </w:t>
      </w:r>
      <w:r w:rsidRPr="00D56C84">
        <w:t>key</w:t>
      </w:r>
      <w:r w:rsidR="007E4AE4" w:rsidRPr="00D56C84">
        <w:t xml:space="preserve"> waste management </w:t>
      </w:r>
      <w:r w:rsidR="000E26CD" w:rsidRPr="00D56C84">
        <w:t xml:space="preserve">services, such as kerbside collection frequencies and bin configurations, as well as on </w:t>
      </w:r>
      <w:r w:rsidR="007E4AE4" w:rsidRPr="00D56C84">
        <w:t xml:space="preserve">infrastructure </w:t>
      </w:r>
      <w:r w:rsidRPr="00D56C84">
        <w:t>located within an LGA</w:t>
      </w:r>
      <w:r w:rsidR="000E26CD" w:rsidRPr="00D56C84">
        <w:t>. I</w:t>
      </w:r>
      <w:r w:rsidRPr="00D56C84">
        <w:t xml:space="preserve">t is not always immediately clear whether the various facilities are </w:t>
      </w:r>
      <w:r w:rsidR="007E4AE4" w:rsidRPr="00D56C84">
        <w:t>owned and operated by, or on behalf of,</w:t>
      </w:r>
      <w:r w:rsidRPr="00D56C84">
        <w:t xml:space="preserve"> the </w:t>
      </w:r>
      <w:r w:rsidR="007E4AE4" w:rsidRPr="00D56C84">
        <w:t>local government</w:t>
      </w:r>
      <w:r w:rsidR="000E26CD" w:rsidRPr="00D56C84">
        <w:t xml:space="preserve">, and there </w:t>
      </w:r>
      <w:r w:rsidR="0025235E" w:rsidRPr="00D56C84">
        <w:t xml:space="preserve">are </w:t>
      </w:r>
      <w:r w:rsidR="000E26CD" w:rsidRPr="00D56C84">
        <w:t>no centralised databases of council owned infrastructure publicly available for any jurisdiction.</w:t>
      </w:r>
    </w:p>
    <w:p w:rsidR="00F95EAD" w:rsidRDefault="002A7C59" w:rsidP="00B5378F">
      <w:pPr>
        <w:pStyle w:val="ParaIndent"/>
        <w:jc w:val="both"/>
      </w:pPr>
      <w:r>
        <w:t>There are several examples of multiple councils undertaking joint infrastructure projects. The trend toward regional or multi-council collaboration is, in part, a response to the increasing complexity of waste management operations - including increasing capital costs involved in establishing facilities, more advanced technology use and the requirements for more skilled labour in providing services – which increases the incentives to</w:t>
      </w:r>
      <w:r w:rsidR="00B30608">
        <w:t xml:space="preserve"> establish fewer, higher volume, centralised </w:t>
      </w:r>
      <w:r>
        <w:t>facilities.</w:t>
      </w:r>
      <w:r w:rsidR="00F95EAD">
        <w:t xml:space="preserve"> </w:t>
      </w:r>
    </w:p>
    <w:p w:rsidR="002A7C59" w:rsidRDefault="00F95EAD" w:rsidP="00B5378F">
      <w:pPr>
        <w:pStyle w:val="ParaIndent"/>
        <w:jc w:val="both"/>
      </w:pPr>
      <w:r>
        <w:t>There are several potential models for delivering multi-council infrastructure projects. The key element will generally involve each party guaranteeing a minimum volume of material for processing, often at an agreed processing cost (which may be subject to change, such as through rise and fall arrangements in the contract).</w:t>
      </w:r>
    </w:p>
    <w:p w:rsidR="000A7FFA" w:rsidRDefault="000A7FFA" w:rsidP="000A7FFA">
      <w:pPr>
        <w:pStyle w:val="Heading3"/>
      </w:pPr>
      <w:r>
        <w:t>National Landfill Survey</w:t>
      </w:r>
    </w:p>
    <w:p w:rsidR="004874E7" w:rsidRDefault="000A7FFA" w:rsidP="00B5378F">
      <w:pPr>
        <w:pStyle w:val="ParaIndent"/>
        <w:jc w:val="both"/>
      </w:pPr>
      <w:r>
        <w:t xml:space="preserve">In 2005 the Waste Management Association of Australia (WMAA) undertook the first </w:t>
      </w:r>
      <w:r w:rsidRPr="004874E7">
        <w:t>National Landfill Survey, which attempted to contact every operating landfill in Australia and ask a series of simple questions about size, siting, annual tonnage, waste types and typical features of a modern landfill site.</w:t>
      </w:r>
    </w:p>
    <w:p w:rsidR="004874E7" w:rsidRDefault="004874E7" w:rsidP="00B5378F">
      <w:pPr>
        <w:pStyle w:val="ParaIndent"/>
        <w:jc w:val="both"/>
      </w:pPr>
      <w:r>
        <w:t xml:space="preserve">The survey reached over 650 landfills sites, </w:t>
      </w:r>
      <w:r w:rsidRPr="004874E7">
        <w:t>ranging from the smallest rural sites to the largest metropolitan landfill</w:t>
      </w:r>
      <w:r>
        <w:t>. An expanded National Landfill Survey was underway at the time of publication, a joint initiative of WMAA, DSEWPaC, the ABS, the Department of Climate Change and Energy Efficiency, and Geosciences Australia.</w:t>
      </w:r>
    </w:p>
    <w:p w:rsidR="001D2351" w:rsidRDefault="004874E7" w:rsidP="00B5378F">
      <w:pPr>
        <w:pStyle w:val="ParaIndent"/>
        <w:jc w:val="both"/>
      </w:pPr>
      <w:r>
        <w:t xml:space="preserve">This broader landfill survey indirectly gathers information about landfill ownership through collection of the Australian Business Number (ABN) associated with each facility. </w:t>
      </w:r>
      <w:r w:rsidR="00C003CC">
        <w:t xml:space="preserve">The results available at the time of publication are summarised in </w:t>
      </w:r>
      <w:r w:rsidR="00ED6CA0">
        <w:fldChar w:fldCharType="begin"/>
      </w:r>
      <w:r w:rsidR="00C003CC">
        <w:instrText xml:space="preserve"> REF _Ref303178762 \h </w:instrText>
      </w:r>
      <w:r w:rsidR="00ED6CA0">
        <w:fldChar w:fldCharType="separate"/>
      </w:r>
      <w:r w:rsidR="00166111" w:rsidRPr="006226B1">
        <w:t xml:space="preserve">Table </w:t>
      </w:r>
      <w:r w:rsidR="00166111">
        <w:rPr>
          <w:noProof/>
        </w:rPr>
        <w:t>14</w:t>
      </w:r>
      <w:r w:rsidR="00166111" w:rsidRPr="006226B1">
        <w:t>-</w:t>
      </w:r>
      <w:r w:rsidR="00166111">
        <w:rPr>
          <w:noProof/>
        </w:rPr>
        <w:t>39</w:t>
      </w:r>
      <w:r w:rsidR="00ED6CA0">
        <w:fldChar w:fldCharType="end"/>
      </w:r>
      <w:r w:rsidR="00C003CC">
        <w:t xml:space="preserve">. Of 583 landfills where the owner has been identified, 86% are council owned. </w:t>
      </w:r>
      <w:r w:rsidR="00C003CC" w:rsidRPr="00C003CC">
        <w:t xml:space="preserve">For the larger landfills </w:t>
      </w:r>
      <w:r w:rsidR="00C003CC">
        <w:t xml:space="preserve">(greater than 30,000tpa) </w:t>
      </w:r>
      <w:r w:rsidR="00C003CC" w:rsidRPr="00C003CC">
        <w:t xml:space="preserve">private ownership is quite high (24%) but there are </w:t>
      </w:r>
      <w:r w:rsidR="00C003CC">
        <w:t xml:space="preserve">very </w:t>
      </w:r>
      <w:r w:rsidR="00C003CC" w:rsidRPr="00C003CC">
        <w:t>few privately owned landfills</w:t>
      </w:r>
      <w:r w:rsidR="00C003CC">
        <w:t xml:space="preserve"> in the smaller annual throughput range (less than 30,000tpa).</w:t>
      </w:r>
    </w:p>
    <w:p w:rsidR="001D2351" w:rsidRDefault="00C003CC" w:rsidP="00C003CC">
      <w:pPr>
        <w:pStyle w:val="Caption"/>
      </w:pPr>
      <w:bookmarkStart w:id="140" w:name="_Ref303178762"/>
      <w:r w:rsidRPr="006226B1">
        <w:t xml:space="preserve">Table </w:t>
      </w:r>
      <w:r w:rsidR="00ED6CA0">
        <w:fldChar w:fldCharType="begin"/>
      </w:r>
      <w:r w:rsidR="00EF2F97">
        <w:instrText xml:space="preserve"> STYLEREF "_Heading1" \n </w:instrText>
      </w:r>
      <w:r w:rsidR="00ED6CA0">
        <w:fldChar w:fldCharType="separate"/>
      </w:r>
      <w:r w:rsidR="00166111">
        <w:rPr>
          <w:noProof/>
        </w:rPr>
        <w:t>14</w:t>
      </w:r>
      <w:r w:rsidR="00ED6CA0">
        <w:rPr>
          <w:noProof/>
        </w:rPr>
        <w:fldChar w:fldCharType="end"/>
      </w:r>
      <w:r w:rsidRPr="006226B1">
        <w:t>-</w:t>
      </w:r>
      <w:r w:rsidR="00ED6CA0">
        <w:fldChar w:fldCharType="begin"/>
      </w:r>
      <w:r w:rsidR="00EF2F97">
        <w:instrText xml:space="preserve"> SEQ Table \* Arabic </w:instrText>
      </w:r>
      <w:r w:rsidR="00ED6CA0">
        <w:fldChar w:fldCharType="separate"/>
      </w:r>
      <w:r w:rsidR="00166111">
        <w:rPr>
          <w:noProof/>
        </w:rPr>
        <w:t>39</w:t>
      </w:r>
      <w:r w:rsidR="00ED6CA0">
        <w:rPr>
          <w:noProof/>
        </w:rPr>
        <w:fldChar w:fldCharType="end"/>
      </w:r>
      <w:bookmarkEnd w:id="140"/>
      <w:r w:rsidRPr="006226B1">
        <w:tab/>
      </w:r>
      <w:r>
        <w:t xml:space="preserve">Australian landfill ownership, based on the </w:t>
      </w:r>
      <w:r w:rsidR="000C3056">
        <w:t xml:space="preserve">2011 </w:t>
      </w:r>
      <w:r>
        <w:t>WMAA National Landfill Survey</w:t>
      </w:r>
      <w:r w:rsidR="000C3056">
        <w:t xml:space="preserve"> (preliminary data)</w:t>
      </w:r>
    </w:p>
    <w:tbl>
      <w:tblPr>
        <w:tblW w:w="9770" w:type="dxa"/>
        <w:tblInd w:w="-23" w:type="dxa"/>
        <w:tblBorders>
          <w:bottom w:val="single" w:sz="18" w:space="0" w:color="808080"/>
          <w:insideH w:val="single" w:sz="4" w:space="0" w:color="808080"/>
        </w:tblBorders>
        <w:tblLayout w:type="fixed"/>
        <w:tblCellMar>
          <w:left w:w="0" w:type="dxa"/>
          <w:right w:w="0" w:type="dxa"/>
        </w:tblCellMar>
        <w:tblLook w:val="04A0"/>
      </w:tblPr>
      <w:tblGrid>
        <w:gridCol w:w="1860"/>
        <w:gridCol w:w="539"/>
        <w:gridCol w:w="1276"/>
        <w:gridCol w:w="567"/>
        <w:gridCol w:w="1418"/>
        <w:gridCol w:w="567"/>
        <w:gridCol w:w="1559"/>
        <w:gridCol w:w="567"/>
        <w:gridCol w:w="1417"/>
      </w:tblGrid>
      <w:tr w:rsidR="001D2351" w:rsidTr="00C003CC">
        <w:trPr>
          <w:trHeight w:val="300"/>
        </w:trPr>
        <w:tc>
          <w:tcPr>
            <w:tcW w:w="1860" w:type="dxa"/>
            <w:shd w:val="clear" w:color="auto" w:fill="auto"/>
            <w:noWrap/>
            <w:tcMar>
              <w:top w:w="0" w:type="dxa"/>
              <w:left w:w="108" w:type="dxa"/>
              <w:bottom w:w="0" w:type="dxa"/>
              <w:right w:w="108" w:type="dxa"/>
            </w:tcMar>
            <w:vAlign w:val="bottom"/>
            <w:hideMark/>
          </w:tcPr>
          <w:p w:rsidR="001D2351" w:rsidRDefault="001D2351" w:rsidP="001D2351">
            <w:pPr>
              <w:pStyle w:val="TableHeading"/>
              <w:rPr>
                <w:rFonts w:eastAsiaTheme="minorHAnsi"/>
                <w:sz w:val="24"/>
                <w:szCs w:val="24"/>
              </w:rPr>
            </w:pPr>
          </w:p>
        </w:tc>
        <w:tc>
          <w:tcPr>
            <w:tcW w:w="1815" w:type="dxa"/>
            <w:gridSpan w:val="2"/>
            <w:shd w:val="clear" w:color="auto" w:fill="auto"/>
            <w:noWrap/>
            <w:tcMar>
              <w:top w:w="0" w:type="dxa"/>
              <w:left w:w="108" w:type="dxa"/>
              <w:bottom w:w="0" w:type="dxa"/>
              <w:right w:w="108" w:type="dxa"/>
            </w:tcMar>
            <w:vAlign w:val="bottom"/>
            <w:hideMark/>
          </w:tcPr>
          <w:p w:rsidR="001D2351" w:rsidRDefault="00C003CC" w:rsidP="001D2351">
            <w:pPr>
              <w:pStyle w:val="TableHeading"/>
              <w:rPr>
                <w:rFonts w:eastAsiaTheme="minorHAnsi"/>
                <w:sz w:val="24"/>
                <w:szCs w:val="24"/>
              </w:rPr>
            </w:pPr>
            <w:r>
              <w:rPr>
                <w:bCs/>
              </w:rPr>
              <w:t>All l</w:t>
            </w:r>
            <w:r w:rsidR="001D2351">
              <w:rPr>
                <w:bCs/>
              </w:rPr>
              <w:t>andfills </w:t>
            </w:r>
          </w:p>
        </w:tc>
        <w:tc>
          <w:tcPr>
            <w:tcW w:w="1985" w:type="dxa"/>
            <w:gridSpan w:val="2"/>
            <w:shd w:val="clear" w:color="auto" w:fill="auto"/>
            <w:noWrap/>
            <w:tcMar>
              <w:top w:w="0" w:type="dxa"/>
              <w:left w:w="108" w:type="dxa"/>
              <w:bottom w:w="0" w:type="dxa"/>
              <w:right w:w="108" w:type="dxa"/>
            </w:tcMar>
            <w:vAlign w:val="bottom"/>
            <w:hideMark/>
          </w:tcPr>
          <w:p w:rsidR="001D2351" w:rsidRDefault="00C003CC" w:rsidP="000D562F">
            <w:pPr>
              <w:pStyle w:val="TableHeading"/>
              <w:rPr>
                <w:rFonts w:eastAsiaTheme="minorHAnsi"/>
                <w:sz w:val="24"/>
                <w:szCs w:val="24"/>
              </w:rPr>
            </w:pPr>
            <w:r>
              <w:rPr>
                <w:bCs/>
              </w:rPr>
              <w:t>Operating l</w:t>
            </w:r>
            <w:r w:rsidR="001D2351">
              <w:rPr>
                <w:bCs/>
              </w:rPr>
              <w:t>andfills</w:t>
            </w:r>
          </w:p>
        </w:tc>
        <w:tc>
          <w:tcPr>
            <w:tcW w:w="2126" w:type="dxa"/>
            <w:gridSpan w:val="2"/>
            <w:shd w:val="clear" w:color="auto" w:fill="auto"/>
            <w:noWrap/>
            <w:tcMar>
              <w:top w:w="0" w:type="dxa"/>
              <w:left w:w="108" w:type="dxa"/>
              <w:bottom w:w="0" w:type="dxa"/>
              <w:right w:w="108" w:type="dxa"/>
            </w:tcMar>
            <w:vAlign w:val="bottom"/>
            <w:hideMark/>
          </w:tcPr>
          <w:p w:rsidR="001D2351" w:rsidRDefault="000D562F" w:rsidP="000D562F">
            <w:pPr>
              <w:pStyle w:val="TableHeading"/>
              <w:rPr>
                <w:rFonts w:eastAsiaTheme="minorHAnsi"/>
                <w:sz w:val="24"/>
                <w:szCs w:val="24"/>
              </w:rPr>
            </w:pPr>
            <w:r>
              <w:rPr>
                <w:bCs/>
              </w:rPr>
              <w:t>Large l</w:t>
            </w:r>
            <w:r w:rsidR="001D2351">
              <w:rPr>
                <w:bCs/>
              </w:rPr>
              <w:t xml:space="preserve">andfills </w:t>
            </w:r>
            <w:r>
              <w:rPr>
                <w:bCs/>
              </w:rPr>
              <w:t>(</w:t>
            </w:r>
            <w:r w:rsidR="001D2351">
              <w:rPr>
                <w:bCs/>
              </w:rPr>
              <w:t xml:space="preserve">&gt;30,000 </w:t>
            </w:r>
            <w:proofErr w:type="spellStart"/>
            <w:r w:rsidR="001D2351">
              <w:rPr>
                <w:bCs/>
              </w:rPr>
              <w:t>tpa</w:t>
            </w:r>
            <w:proofErr w:type="spellEnd"/>
            <w:r>
              <w:rPr>
                <w:bCs/>
              </w:rPr>
              <w:t>)</w:t>
            </w:r>
          </w:p>
        </w:tc>
        <w:tc>
          <w:tcPr>
            <w:tcW w:w="1984" w:type="dxa"/>
            <w:gridSpan w:val="2"/>
            <w:shd w:val="clear" w:color="auto" w:fill="auto"/>
            <w:noWrap/>
            <w:tcMar>
              <w:top w:w="0" w:type="dxa"/>
              <w:left w:w="108" w:type="dxa"/>
              <w:bottom w:w="0" w:type="dxa"/>
              <w:right w:w="108" w:type="dxa"/>
            </w:tcMar>
            <w:vAlign w:val="bottom"/>
            <w:hideMark/>
          </w:tcPr>
          <w:p w:rsidR="001D2351" w:rsidRDefault="000D562F" w:rsidP="000D562F">
            <w:pPr>
              <w:pStyle w:val="TableHeading"/>
              <w:rPr>
                <w:rFonts w:eastAsiaTheme="minorHAnsi"/>
                <w:sz w:val="24"/>
                <w:szCs w:val="24"/>
              </w:rPr>
            </w:pPr>
            <w:r>
              <w:rPr>
                <w:bCs/>
              </w:rPr>
              <w:t>Small l</w:t>
            </w:r>
            <w:r w:rsidR="001D2351">
              <w:rPr>
                <w:bCs/>
              </w:rPr>
              <w:t xml:space="preserve">andfills </w:t>
            </w:r>
            <w:r>
              <w:rPr>
                <w:bCs/>
              </w:rPr>
              <w:t>(</w:t>
            </w:r>
            <w:r w:rsidR="001D2351">
              <w:rPr>
                <w:bCs/>
              </w:rPr>
              <w:t xml:space="preserve">&lt;30,000 </w:t>
            </w:r>
            <w:proofErr w:type="spellStart"/>
            <w:r w:rsidR="001D2351">
              <w:rPr>
                <w:bCs/>
              </w:rPr>
              <w:t>tpa</w:t>
            </w:r>
            <w:proofErr w:type="spellEnd"/>
            <w:r>
              <w:rPr>
                <w:bCs/>
              </w:rPr>
              <w:t>)</w:t>
            </w:r>
          </w:p>
        </w:tc>
      </w:tr>
      <w:tr w:rsidR="001D2351" w:rsidTr="000D562F">
        <w:trPr>
          <w:trHeight w:val="300"/>
        </w:trPr>
        <w:tc>
          <w:tcPr>
            <w:tcW w:w="1860" w:type="dxa"/>
            <w:shd w:val="clear" w:color="auto" w:fill="auto"/>
            <w:noWrap/>
            <w:tcMar>
              <w:top w:w="0" w:type="dxa"/>
              <w:left w:w="108" w:type="dxa"/>
              <w:bottom w:w="0" w:type="dxa"/>
              <w:right w:w="108" w:type="dxa"/>
            </w:tcMar>
            <w:vAlign w:val="bottom"/>
            <w:hideMark/>
          </w:tcPr>
          <w:p w:rsidR="001D2351" w:rsidRPr="00C003CC" w:rsidRDefault="001D2351" w:rsidP="001D2351">
            <w:pPr>
              <w:pStyle w:val="TableText"/>
              <w:rPr>
                <w:rFonts w:eastAsiaTheme="minorHAnsi"/>
                <w:sz w:val="24"/>
                <w:szCs w:val="24"/>
              </w:rPr>
            </w:pPr>
            <w:r w:rsidRPr="00C003CC">
              <w:rPr>
                <w:bCs/>
              </w:rPr>
              <w:t>Council owned</w:t>
            </w:r>
          </w:p>
        </w:tc>
        <w:tc>
          <w:tcPr>
            <w:tcW w:w="53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575</w:t>
            </w:r>
          </w:p>
        </w:tc>
        <w:tc>
          <w:tcPr>
            <w:tcW w:w="1276"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86%</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451</w:t>
            </w:r>
          </w:p>
        </w:tc>
        <w:tc>
          <w:tcPr>
            <w:tcW w:w="1418"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88%</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39</w:t>
            </w:r>
          </w:p>
        </w:tc>
        <w:tc>
          <w:tcPr>
            <w:tcW w:w="1559" w:type="dxa"/>
            <w:shd w:val="clear" w:color="auto" w:fill="auto"/>
            <w:noWrap/>
            <w:tcMar>
              <w:top w:w="0" w:type="dxa"/>
              <w:left w:w="108" w:type="dxa"/>
              <w:bottom w:w="0" w:type="dxa"/>
              <w:right w:w="108" w:type="dxa"/>
            </w:tcMar>
            <w:vAlign w:val="bottom"/>
            <w:hideMark/>
          </w:tcPr>
          <w:p w:rsidR="001D2351" w:rsidRDefault="000D562F" w:rsidP="00C003CC">
            <w:pPr>
              <w:pStyle w:val="TableText"/>
              <w:rPr>
                <w:rFonts w:eastAsiaTheme="minorHAnsi"/>
                <w:sz w:val="24"/>
                <w:szCs w:val="24"/>
              </w:rPr>
            </w:pPr>
            <w:r>
              <w:t>(</w:t>
            </w:r>
            <w:r w:rsidR="001D2351">
              <w:t>76%</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64</w:t>
            </w:r>
          </w:p>
        </w:tc>
        <w:tc>
          <w:tcPr>
            <w:tcW w:w="1417"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97%</w:t>
            </w:r>
            <w:r>
              <w:t>)</w:t>
            </w:r>
          </w:p>
        </w:tc>
      </w:tr>
      <w:tr w:rsidR="001D2351" w:rsidTr="000D562F">
        <w:trPr>
          <w:trHeight w:val="300"/>
        </w:trPr>
        <w:tc>
          <w:tcPr>
            <w:tcW w:w="1860" w:type="dxa"/>
            <w:shd w:val="clear" w:color="auto" w:fill="auto"/>
            <w:noWrap/>
            <w:tcMar>
              <w:top w:w="0" w:type="dxa"/>
              <w:left w:w="108" w:type="dxa"/>
              <w:bottom w:w="0" w:type="dxa"/>
              <w:right w:w="108" w:type="dxa"/>
            </w:tcMar>
            <w:vAlign w:val="bottom"/>
            <w:hideMark/>
          </w:tcPr>
          <w:p w:rsidR="001D2351" w:rsidRPr="00C003CC" w:rsidRDefault="001D2351" w:rsidP="001D2351">
            <w:pPr>
              <w:pStyle w:val="TableText"/>
              <w:rPr>
                <w:rFonts w:eastAsiaTheme="minorHAnsi"/>
                <w:sz w:val="24"/>
                <w:szCs w:val="24"/>
              </w:rPr>
            </w:pPr>
            <w:r w:rsidRPr="00C003CC">
              <w:rPr>
                <w:bCs/>
              </w:rPr>
              <w:t>Private owned</w:t>
            </w:r>
          </w:p>
        </w:tc>
        <w:tc>
          <w:tcPr>
            <w:tcW w:w="53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94</w:t>
            </w:r>
          </w:p>
        </w:tc>
        <w:tc>
          <w:tcPr>
            <w:tcW w:w="1276"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14%</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61</w:t>
            </w:r>
          </w:p>
        </w:tc>
        <w:tc>
          <w:tcPr>
            <w:tcW w:w="1418"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12%</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12</w:t>
            </w:r>
          </w:p>
        </w:tc>
        <w:tc>
          <w:tcPr>
            <w:tcW w:w="1559" w:type="dxa"/>
            <w:shd w:val="clear" w:color="auto" w:fill="auto"/>
            <w:noWrap/>
            <w:tcMar>
              <w:top w:w="0" w:type="dxa"/>
              <w:left w:w="108" w:type="dxa"/>
              <w:bottom w:w="0" w:type="dxa"/>
              <w:right w:w="108" w:type="dxa"/>
            </w:tcMar>
            <w:vAlign w:val="bottom"/>
            <w:hideMark/>
          </w:tcPr>
          <w:p w:rsidR="001D2351" w:rsidRDefault="000D562F" w:rsidP="00C003CC">
            <w:pPr>
              <w:pStyle w:val="TableText"/>
              <w:rPr>
                <w:rFonts w:eastAsiaTheme="minorHAnsi"/>
                <w:sz w:val="24"/>
                <w:szCs w:val="24"/>
              </w:rPr>
            </w:pPr>
            <w:r>
              <w:t>(</w:t>
            </w:r>
            <w:r w:rsidR="001D2351">
              <w:t>2</w:t>
            </w:r>
            <w:r w:rsidR="00C003CC">
              <w:t>4</w:t>
            </w:r>
            <w:r w:rsidR="001D2351">
              <w:t>%</w:t>
            </w:r>
            <w:r>
              <w:t>)</w:t>
            </w: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2</w:t>
            </w:r>
          </w:p>
        </w:tc>
        <w:tc>
          <w:tcPr>
            <w:tcW w:w="1417" w:type="dxa"/>
            <w:shd w:val="clear" w:color="auto" w:fill="auto"/>
            <w:noWrap/>
            <w:tcMar>
              <w:top w:w="0" w:type="dxa"/>
              <w:left w:w="108" w:type="dxa"/>
              <w:bottom w:w="0" w:type="dxa"/>
              <w:right w:w="108" w:type="dxa"/>
            </w:tcMar>
            <w:vAlign w:val="bottom"/>
            <w:hideMark/>
          </w:tcPr>
          <w:p w:rsidR="001D2351" w:rsidRDefault="000D562F" w:rsidP="001D2351">
            <w:pPr>
              <w:pStyle w:val="TableText"/>
              <w:rPr>
                <w:rFonts w:eastAsiaTheme="minorHAnsi"/>
                <w:sz w:val="24"/>
                <w:szCs w:val="24"/>
              </w:rPr>
            </w:pPr>
            <w:r>
              <w:t>(</w:t>
            </w:r>
            <w:r w:rsidR="001D2351">
              <w:t>3%</w:t>
            </w:r>
            <w:r>
              <w:t>)</w:t>
            </w:r>
          </w:p>
        </w:tc>
      </w:tr>
      <w:tr w:rsidR="001D2351" w:rsidTr="000D562F">
        <w:trPr>
          <w:trHeight w:val="300"/>
        </w:trPr>
        <w:tc>
          <w:tcPr>
            <w:tcW w:w="1860" w:type="dxa"/>
            <w:shd w:val="clear" w:color="auto" w:fill="auto"/>
            <w:noWrap/>
            <w:tcMar>
              <w:top w:w="0" w:type="dxa"/>
              <w:left w:w="108" w:type="dxa"/>
              <w:bottom w:w="0" w:type="dxa"/>
              <w:right w:w="108" w:type="dxa"/>
            </w:tcMar>
            <w:vAlign w:val="bottom"/>
            <w:hideMark/>
          </w:tcPr>
          <w:p w:rsidR="001D2351" w:rsidRPr="00C003CC" w:rsidRDefault="001D2351" w:rsidP="001D2351">
            <w:pPr>
              <w:pStyle w:val="TableText"/>
              <w:rPr>
                <w:rFonts w:eastAsiaTheme="minorHAnsi"/>
                <w:sz w:val="24"/>
                <w:szCs w:val="24"/>
              </w:rPr>
            </w:pPr>
            <w:r w:rsidRPr="00C003CC">
              <w:rPr>
                <w:bCs/>
              </w:rPr>
              <w:t>Unknown owner</w:t>
            </w:r>
          </w:p>
        </w:tc>
        <w:tc>
          <w:tcPr>
            <w:tcW w:w="53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86</w:t>
            </w:r>
          </w:p>
        </w:tc>
        <w:tc>
          <w:tcPr>
            <w:tcW w:w="1276"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NA</w:t>
            </w:r>
          </w:p>
        </w:tc>
        <w:tc>
          <w:tcPr>
            <w:tcW w:w="1418"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NA</w:t>
            </w:r>
          </w:p>
        </w:tc>
        <w:tc>
          <w:tcPr>
            <w:tcW w:w="155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NA</w:t>
            </w:r>
          </w:p>
        </w:tc>
        <w:tc>
          <w:tcPr>
            <w:tcW w:w="141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r>
      <w:tr w:rsidR="001D2351" w:rsidTr="000D562F">
        <w:trPr>
          <w:trHeight w:val="300"/>
        </w:trPr>
        <w:tc>
          <w:tcPr>
            <w:tcW w:w="1860" w:type="dxa"/>
            <w:shd w:val="clear" w:color="auto" w:fill="auto"/>
            <w:noWrap/>
            <w:tcMar>
              <w:top w:w="0" w:type="dxa"/>
              <w:left w:w="108" w:type="dxa"/>
              <w:bottom w:w="0" w:type="dxa"/>
              <w:right w:w="108" w:type="dxa"/>
            </w:tcMar>
            <w:vAlign w:val="bottom"/>
            <w:hideMark/>
          </w:tcPr>
          <w:p w:rsidR="001D2351" w:rsidRPr="00C003CC" w:rsidRDefault="001D2351" w:rsidP="001D2351">
            <w:pPr>
              <w:pStyle w:val="TableText"/>
              <w:rPr>
                <w:rFonts w:eastAsiaTheme="minorHAnsi"/>
                <w:sz w:val="24"/>
                <w:szCs w:val="24"/>
              </w:rPr>
            </w:pPr>
            <w:r w:rsidRPr="00C003CC">
              <w:rPr>
                <w:bCs/>
              </w:rPr>
              <w:t>Total with owner</w:t>
            </w:r>
          </w:p>
        </w:tc>
        <w:tc>
          <w:tcPr>
            <w:tcW w:w="53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669</w:t>
            </w:r>
          </w:p>
        </w:tc>
        <w:tc>
          <w:tcPr>
            <w:tcW w:w="1276"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512</w:t>
            </w:r>
          </w:p>
        </w:tc>
        <w:tc>
          <w:tcPr>
            <w:tcW w:w="1418"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51</w:t>
            </w:r>
          </w:p>
        </w:tc>
        <w:tc>
          <w:tcPr>
            <w:tcW w:w="1559"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c>
          <w:tcPr>
            <w:tcW w:w="56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r>
              <w:t>66</w:t>
            </w:r>
          </w:p>
        </w:tc>
        <w:tc>
          <w:tcPr>
            <w:tcW w:w="1417" w:type="dxa"/>
            <w:shd w:val="clear" w:color="auto" w:fill="auto"/>
            <w:noWrap/>
            <w:tcMar>
              <w:top w:w="0" w:type="dxa"/>
              <w:left w:w="108" w:type="dxa"/>
              <w:bottom w:w="0" w:type="dxa"/>
              <w:right w:w="108" w:type="dxa"/>
            </w:tcMar>
            <w:vAlign w:val="bottom"/>
            <w:hideMark/>
          </w:tcPr>
          <w:p w:rsidR="001D2351" w:rsidRDefault="001D2351" w:rsidP="001D2351">
            <w:pPr>
              <w:pStyle w:val="TableText"/>
              <w:rPr>
                <w:rFonts w:eastAsiaTheme="minorHAnsi"/>
                <w:sz w:val="24"/>
                <w:szCs w:val="24"/>
              </w:rPr>
            </w:pPr>
          </w:p>
        </w:tc>
      </w:tr>
    </w:tbl>
    <w:p w:rsidR="00D80FEC" w:rsidRDefault="000D562F" w:rsidP="00B5378F">
      <w:pPr>
        <w:pStyle w:val="ParaIndent"/>
        <w:jc w:val="both"/>
      </w:pPr>
      <w:r>
        <w:lastRenderedPageBreak/>
        <w:t>While some non-operational landfills have been identified in the National Landfill Survey, t</w:t>
      </w:r>
      <w:r w:rsidR="00C91319" w:rsidRPr="000908CA">
        <w:t xml:space="preserve">he </w:t>
      </w:r>
      <w:r>
        <w:t xml:space="preserve">actual </w:t>
      </w:r>
      <w:r w:rsidR="00C91319" w:rsidRPr="000908CA">
        <w:t>number of council-owned landfills that are no longer operational (and may be in various states of closure, which could still require ongoing work in terms of managing legacy landfill gas emissions, leachate and settlement)</w:t>
      </w:r>
      <w:r w:rsidR="000908CA" w:rsidRPr="000908CA">
        <w:t xml:space="preserve"> is not curr</w:t>
      </w:r>
      <w:r>
        <w:t>ently known. I</w:t>
      </w:r>
      <w:r w:rsidR="000908CA" w:rsidRPr="000908CA">
        <w:t xml:space="preserve">t </w:t>
      </w:r>
      <w:r>
        <w:t>is understood</w:t>
      </w:r>
      <w:r w:rsidR="000908CA" w:rsidRPr="000908CA">
        <w:t xml:space="preserve"> that Geosciences Australia does intend to identify and map the location of closed landfills</w:t>
      </w:r>
      <w:r>
        <w:t>, if possible</w:t>
      </w:r>
      <w:r w:rsidR="00C91319" w:rsidRPr="000908CA">
        <w:t>.</w:t>
      </w:r>
    </w:p>
    <w:p w:rsidR="00C225B5" w:rsidRDefault="00C225B5" w:rsidP="00B5378F">
      <w:pPr>
        <w:pStyle w:val="ParaIndent"/>
        <w:jc w:val="both"/>
      </w:pPr>
      <w:r>
        <w:t>It should</w:t>
      </w:r>
      <w:r w:rsidR="000908CA">
        <w:t xml:space="preserve"> also</w:t>
      </w:r>
      <w:r>
        <w:t xml:space="preserve"> be noted that, based on </w:t>
      </w:r>
      <w:proofErr w:type="spellStart"/>
      <w:r>
        <w:t>Hyder’s</w:t>
      </w:r>
      <w:proofErr w:type="spellEnd"/>
      <w:r>
        <w:t xml:space="preserve"> experience developing Greenhouse Gas Inventories for numerous Australian councils, emissions from landfills will commonly contribute around 60% of the total Scope 1 and Scope 2 emissions attributed to a council, and will commonly be the potential ‘trigger’ point for a carbon price liability (set as facilities emitting more than 25,000t of CO</w:t>
      </w:r>
      <w:r w:rsidRPr="00C225B5">
        <w:rPr>
          <w:vertAlign w:val="subscript"/>
        </w:rPr>
        <w:t>2</w:t>
      </w:r>
      <w:r w:rsidR="000D562F">
        <w:t>e per annum or 10,000t CO</w:t>
      </w:r>
      <w:r w:rsidR="000D562F" w:rsidRPr="00C225B5">
        <w:rPr>
          <w:vertAlign w:val="subscript"/>
        </w:rPr>
        <w:t>2</w:t>
      </w:r>
      <w:r w:rsidR="000D562F">
        <w:t xml:space="preserve">e </w:t>
      </w:r>
      <w:r>
        <w:t>in the case of landfills within a prescribed distance of landfills</w:t>
      </w:r>
      <w:r w:rsidR="000D562F">
        <w:t xml:space="preserve"> that are liable under the scheme</w:t>
      </w:r>
      <w:r>
        <w:t xml:space="preserve">). </w:t>
      </w:r>
    </w:p>
    <w:p w:rsidR="000A7FFA" w:rsidRPr="00D56C84" w:rsidRDefault="000A7FFA" w:rsidP="000A7FFA">
      <w:pPr>
        <w:pStyle w:val="Heading3"/>
      </w:pPr>
      <w:r>
        <w:t xml:space="preserve">Inside Waste </w:t>
      </w:r>
      <w:r w:rsidRPr="000C3056">
        <w:rPr>
          <w:i/>
        </w:rPr>
        <w:t>Industry Report 2011</w:t>
      </w:r>
      <w:r w:rsidR="00A9017D">
        <w:t>–</w:t>
      </w:r>
      <w:r w:rsidRPr="000C3056">
        <w:rPr>
          <w:i/>
        </w:rPr>
        <w:t>12</w:t>
      </w:r>
    </w:p>
    <w:p w:rsidR="00462E12" w:rsidRPr="00D56C84" w:rsidRDefault="00462E12" w:rsidP="00B5378F">
      <w:pPr>
        <w:pStyle w:val="ParaIndent"/>
        <w:jc w:val="both"/>
      </w:pPr>
      <w:r w:rsidRPr="00D56C84">
        <w:t xml:space="preserve">In March-April 2011, WME Media attempted to quantify the services and infrastructure provided by Australian councils through the </w:t>
      </w:r>
      <w:r w:rsidR="000E26CD" w:rsidRPr="00D56C84">
        <w:t>inaugural</w:t>
      </w:r>
      <w:r w:rsidRPr="00D56C84">
        <w:t xml:space="preserve"> </w:t>
      </w:r>
      <w:r w:rsidRPr="005238BF">
        <w:t>Inside Waste</w:t>
      </w:r>
      <w:r w:rsidRPr="00D56C84">
        <w:t xml:space="preserve"> </w:t>
      </w:r>
      <w:r w:rsidR="0029434D" w:rsidRPr="00D56C84">
        <w:t>Local Government</w:t>
      </w:r>
      <w:r w:rsidRPr="00D56C84">
        <w:t xml:space="preserve"> Survey, which represents a unique attempt to gather information about the role of local government in waste management and recycling. The overall response rate to the survey was</w:t>
      </w:r>
      <w:r w:rsidR="000E26CD" w:rsidRPr="00D56C84">
        <w:t xml:space="preserve"> low (58 respondents in total</w:t>
      </w:r>
      <w:r w:rsidR="000A7FFA">
        <w:t>, around 10% of Australian LGAs</w:t>
      </w:r>
      <w:r w:rsidR="000E26CD" w:rsidRPr="00D56C84">
        <w:t>) but covered a relatively even mixture of metropolitan, regional and remote councils across the various Australian jurisdictions.</w:t>
      </w:r>
    </w:p>
    <w:p w:rsidR="0094587B" w:rsidRPr="00D56C84" w:rsidRDefault="00462E12" w:rsidP="00B5378F">
      <w:pPr>
        <w:pStyle w:val="ParaIndent"/>
        <w:jc w:val="both"/>
      </w:pPr>
      <w:r w:rsidRPr="00D56C84">
        <w:t xml:space="preserve">Results from the survey are detailed in the </w:t>
      </w:r>
      <w:r w:rsidR="009B1924" w:rsidRPr="00D56C84">
        <w:rPr>
          <w:i/>
        </w:rPr>
        <w:t>Inside Waste Industry Report 2011-12</w:t>
      </w:r>
      <w:r w:rsidRPr="00D56C84">
        <w:t xml:space="preserve">, with key information about </w:t>
      </w:r>
      <w:r w:rsidR="00D159EE" w:rsidRPr="00D56C84">
        <w:t>the waste facilities owned or managed by or on behalf of surveyed councils reproduced in</w:t>
      </w:r>
      <w:r w:rsidR="00FE3A14" w:rsidRPr="00D56C84">
        <w:t xml:space="preserve"> </w:t>
      </w:r>
      <w:fldSimple w:instr=" REF _Ref297118253 \h  \* MERGEFORMAT ">
        <w:r w:rsidR="00166111" w:rsidRPr="00D56C84">
          <w:t xml:space="preserve">Table </w:t>
        </w:r>
        <w:r w:rsidR="00166111">
          <w:rPr>
            <w:noProof/>
          </w:rPr>
          <w:t>14</w:t>
        </w:r>
        <w:r w:rsidR="00166111" w:rsidRPr="00D56C84">
          <w:rPr>
            <w:noProof/>
          </w:rPr>
          <w:t>-</w:t>
        </w:r>
        <w:r w:rsidR="00166111">
          <w:rPr>
            <w:noProof/>
          </w:rPr>
          <w:t>40</w:t>
        </w:r>
      </w:fldSimple>
      <w:r w:rsidR="00D159EE" w:rsidRPr="00D56C84">
        <w:t>.</w:t>
      </w:r>
    </w:p>
    <w:p w:rsidR="00FE3A14" w:rsidRPr="00D56C84" w:rsidRDefault="00FE3A14" w:rsidP="00FE3A14">
      <w:pPr>
        <w:pStyle w:val="Caption"/>
      </w:pPr>
      <w:bookmarkStart w:id="141" w:name="_Ref297118253"/>
      <w:r w:rsidRPr="00D56C84">
        <w:t xml:space="preserve">Table </w:t>
      </w:r>
      <w:r w:rsidR="00ED6CA0">
        <w:fldChar w:fldCharType="begin"/>
      </w:r>
      <w:r w:rsidR="006D5406">
        <w:instrText xml:space="preserve"> STYLEREF "_Heading1" \n </w:instrText>
      </w:r>
      <w:r w:rsidR="00ED6CA0">
        <w:fldChar w:fldCharType="separate"/>
      </w:r>
      <w:r w:rsidR="00166111">
        <w:rPr>
          <w:noProof/>
        </w:rPr>
        <w:t>14</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40</w:t>
      </w:r>
      <w:r w:rsidR="00ED6CA0">
        <w:rPr>
          <w:noProof/>
        </w:rPr>
        <w:fldChar w:fldCharType="end"/>
      </w:r>
      <w:bookmarkEnd w:id="141"/>
      <w:r w:rsidRPr="00D56C84">
        <w:tab/>
        <w:t xml:space="preserve">Summary of waste management facilities owned/managed by or on behalf of surveyed councils, based on survey results published in the </w:t>
      </w:r>
      <w:r w:rsidRPr="00D56C84">
        <w:rPr>
          <w:i/>
        </w:rPr>
        <w:t>Inside Waste Industry Report 2011-12</w:t>
      </w:r>
    </w:p>
    <w:tbl>
      <w:tblPr>
        <w:tblW w:w="4999" w:type="pct"/>
        <w:tblBorders>
          <w:bottom w:val="single" w:sz="18" w:space="0" w:color="808080"/>
          <w:insideH w:val="single" w:sz="4" w:space="0" w:color="808080"/>
        </w:tblBorders>
        <w:tblLayout w:type="fixed"/>
        <w:tblCellMar>
          <w:left w:w="0" w:type="dxa"/>
          <w:right w:w="0" w:type="dxa"/>
        </w:tblCellMar>
        <w:tblLook w:val="04A0"/>
      </w:tblPr>
      <w:tblGrid>
        <w:gridCol w:w="1133"/>
        <w:gridCol w:w="1419"/>
        <w:gridCol w:w="1303"/>
        <w:gridCol w:w="1446"/>
        <w:gridCol w:w="1446"/>
        <w:gridCol w:w="1446"/>
        <w:gridCol w:w="1444"/>
      </w:tblGrid>
      <w:tr w:rsidR="00D159EE" w:rsidRPr="00D56C84" w:rsidTr="00BF6787">
        <w:trPr>
          <w:trHeight w:val="1084"/>
        </w:trPr>
        <w:tc>
          <w:tcPr>
            <w:tcW w:w="588" w:type="pct"/>
            <w:shd w:val="clear" w:color="auto" w:fill="auto"/>
            <w:noWrap/>
            <w:vAlign w:val="center"/>
            <w:hideMark/>
          </w:tcPr>
          <w:p w:rsidR="00D159EE" w:rsidRPr="00D56C84" w:rsidRDefault="00D159EE" w:rsidP="00BF6787">
            <w:pPr>
              <w:pStyle w:val="TableHeading"/>
              <w:rPr>
                <w:lang w:eastAsia="en-AU"/>
              </w:rPr>
            </w:pPr>
            <w:r w:rsidRPr="00D56C84">
              <w:rPr>
                <w:lang w:eastAsia="en-AU"/>
              </w:rPr>
              <w:t>Remoteness of the</w:t>
            </w:r>
            <w:r w:rsidR="00BF6787" w:rsidRPr="00D56C84">
              <w:rPr>
                <w:lang w:eastAsia="en-AU"/>
              </w:rPr>
              <w:t xml:space="preserve"> </w:t>
            </w:r>
            <w:r w:rsidRPr="00D56C84">
              <w:rPr>
                <w:lang w:eastAsia="en-AU"/>
              </w:rPr>
              <w:t>LGA</w:t>
            </w:r>
          </w:p>
        </w:tc>
        <w:tc>
          <w:tcPr>
            <w:tcW w:w="736" w:type="pct"/>
            <w:shd w:val="clear" w:color="auto" w:fill="auto"/>
            <w:vAlign w:val="center"/>
          </w:tcPr>
          <w:p w:rsidR="00D159EE" w:rsidRPr="00D56C84" w:rsidRDefault="00D159EE" w:rsidP="00BF6787">
            <w:pPr>
              <w:pStyle w:val="TableHeading"/>
              <w:rPr>
                <w:lang w:eastAsia="en-AU"/>
              </w:rPr>
            </w:pPr>
            <w:r w:rsidRPr="00D56C84">
              <w:rPr>
                <w:lang w:eastAsia="en-AU"/>
              </w:rPr>
              <w:t>% of councils that own one or more landfill</w:t>
            </w:r>
          </w:p>
        </w:tc>
        <w:tc>
          <w:tcPr>
            <w:tcW w:w="676" w:type="pct"/>
            <w:shd w:val="clear" w:color="auto" w:fill="auto"/>
            <w:vAlign w:val="center"/>
          </w:tcPr>
          <w:p w:rsidR="00D159EE" w:rsidRPr="00D56C84" w:rsidRDefault="00D159EE" w:rsidP="00BF6787">
            <w:pPr>
              <w:pStyle w:val="TableHeading"/>
              <w:rPr>
                <w:lang w:eastAsia="en-AU"/>
              </w:rPr>
            </w:pPr>
            <w:r w:rsidRPr="00D56C84">
              <w:rPr>
                <w:lang w:eastAsia="en-AU"/>
              </w:rPr>
              <w:t>Average no. of landfills per council</w:t>
            </w:r>
          </w:p>
        </w:tc>
        <w:tc>
          <w:tcPr>
            <w:tcW w:w="750" w:type="pct"/>
            <w:shd w:val="clear" w:color="auto" w:fill="auto"/>
            <w:vAlign w:val="center"/>
            <w:hideMark/>
          </w:tcPr>
          <w:p w:rsidR="00D159EE" w:rsidRPr="00D56C84" w:rsidRDefault="00D159EE" w:rsidP="00BF6787">
            <w:pPr>
              <w:pStyle w:val="TableHeading"/>
              <w:rPr>
                <w:lang w:eastAsia="en-AU"/>
              </w:rPr>
            </w:pPr>
            <w:r w:rsidRPr="00D56C84">
              <w:rPr>
                <w:lang w:eastAsia="en-AU"/>
              </w:rPr>
              <w:t>% of councils that own one or more transfer station</w:t>
            </w:r>
          </w:p>
        </w:tc>
        <w:tc>
          <w:tcPr>
            <w:tcW w:w="750" w:type="pct"/>
            <w:shd w:val="clear" w:color="auto" w:fill="auto"/>
            <w:vAlign w:val="center"/>
            <w:hideMark/>
          </w:tcPr>
          <w:p w:rsidR="00D159EE" w:rsidRPr="00D56C84" w:rsidRDefault="00D159EE" w:rsidP="00BF6787">
            <w:pPr>
              <w:pStyle w:val="TableHeading"/>
              <w:rPr>
                <w:lang w:eastAsia="en-AU"/>
              </w:rPr>
            </w:pPr>
            <w:r w:rsidRPr="00D56C84">
              <w:rPr>
                <w:lang w:eastAsia="en-AU"/>
              </w:rPr>
              <w:t>Average no. of transfer stations per council</w:t>
            </w:r>
          </w:p>
        </w:tc>
        <w:tc>
          <w:tcPr>
            <w:tcW w:w="750" w:type="pct"/>
            <w:shd w:val="clear" w:color="auto" w:fill="auto"/>
            <w:vAlign w:val="center"/>
            <w:hideMark/>
          </w:tcPr>
          <w:p w:rsidR="00D159EE" w:rsidRPr="00D56C84" w:rsidRDefault="00D159EE" w:rsidP="00BF6787">
            <w:pPr>
              <w:pStyle w:val="TableHeading"/>
              <w:rPr>
                <w:lang w:eastAsia="en-AU"/>
              </w:rPr>
            </w:pPr>
            <w:r w:rsidRPr="00D56C84">
              <w:rPr>
                <w:lang w:eastAsia="en-AU"/>
              </w:rPr>
              <w:t>% of councils that own one or more MRF</w:t>
            </w:r>
          </w:p>
        </w:tc>
        <w:tc>
          <w:tcPr>
            <w:tcW w:w="749" w:type="pct"/>
            <w:shd w:val="clear" w:color="auto" w:fill="auto"/>
            <w:vAlign w:val="center"/>
            <w:hideMark/>
          </w:tcPr>
          <w:p w:rsidR="00D159EE" w:rsidRPr="00D56C84" w:rsidRDefault="00D159EE" w:rsidP="00BF6787">
            <w:pPr>
              <w:pStyle w:val="TableHeading"/>
              <w:rPr>
                <w:lang w:eastAsia="en-AU"/>
              </w:rPr>
            </w:pPr>
            <w:r w:rsidRPr="00D56C84">
              <w:rPr>
                <w:lang w:eastAsia="en-AU"/>
              </w:rPr>
              <w:t>Average no. of MRFs per council</w:t>
            </w:r>
          </w:p>
        </w:tc>
      </w:tr>
      <w:tr w:rsidR="00D159EE" w:rsidRPr="00D56C84" w:rsidTr="00BF6787">
        <w:trPr>
          <w:trHeight w:val="300"/>
        </w:trPr>
        <w:tc>
          <w:tcPr>
            <w:tcW w:w="588" w:type="pct"/>
            <w:shd w:val="clear" w:color="auto" w:fill="auto"/>
            <w:noWrap/>
            <w:vAlign w:val="center"/>
            <w:hideMark/>
          </w:tcPr>
          <w:p w:rsidR="00D159EE" w:rsidRPr="00D56C84" w:rsidRDefault="00D159EE" w:rsidP="00BF6787">
            <w:pPr>
              <w:pStyle w:val="TableText"/>
              <w:rPr>
                <w:lang w:eastAsia="en-AU"/>
              </w:rPr>
            </w:pPr>
            <w:r w:rsidRPr="00D56C84">
              <w:rPr>
                <w:lang w:eastAsia="en-AU"/>
              </w:rPr>
              <w:t>Metropolitan</w:t>
            </w:r>
          </w:p>
        </w:tc>
        <w:tc>
          <w:tcPr>
            <w:tcW w:w="736" w:type="pct"/>
            <w:shd w:val="clear" w:color="auto" w:fill="auto"/>
            <w:vAlign w:val="center"/>
          </w:tcPr>
          <w:p w:rsidR="00D159EE" w:rsidRPr="00D56C84" w:rsidRDefault="00D159EE" w:rsidP="00BF6787">
            <w:pPr>
              <w:pStyle w:val="TableText"/>
              <w:rPr>
                <w:lang w:eastAsia="en-AU"/>
              </w:rPr>
            </w:pPr>
            <w:r w:rsidRPr="00D56C84">
              <w:rPr>
                <w:lang w:eastAsia="en-AU"/>
              </w:rPr>
              <w:t>36%</w:t>
            </w:r>
          </w:p>
        </w:tc>
        <w:tc>
          <w:tcPr>
            <w:tcW w:w="676" w:type="pct"/>
            <w:shd w:val="clear" w:color="auto" w:fill="auto"/>
            <w:vAlign w:val="center"/>
          </w:tcPr>
          <w:p w:rsidR="00D159EE" w:rsidRPr="00D56C84" w:rsidRDefault="00D159EE" w:rsidP="00BF6787">
            <w:pPr>
              <w:pStyle w:val="TableText"/>
              <w:rPr>
                <w:lang w:eastAsia="en-AU"/>
              </w:rPr>
            </w:pPr>
            <w:r w:rsidRPr="00D56C84">
              <w:rPr>
                <w:lang w:eastAsia="en-AU"/>
              </w:rPr>
              <w:t>1.5</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23%</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3.8</w:t>
            </w:r>
            <w:r w:rsidRPr="00D56C84">
              <w:rPr>
                <w:rStyle w:val="FootnoteReference"/>
                <w:lang w:eastAsia="en-AU"/>
              </w:rPr>
              <w:footnoteReference w:id="28"/>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0%</w:t>
            </w:r>
          </w:p>
        </w:tc>
        <w:tc>
          <w:tcPr>
            <w:tcW w:w="749" w:type="pct"/>
            <w:shd w:val="clear" w:color="auto" w:fill="auto"/>
            <w:noWrap/>
            <w:vAlign w:val="center"/>
            <w:hideMark/>
          </w:tcPr>
          <w:p w:rsidR="00D159EE" w:rsidRPr="00D56C84" w:rsidRDefault="00D159EE" w:rsidP="00BF6787">
            <w:pPr>
              <w:pStyle w:val="TableText"/>
              <w:rPr>
                <w:lang w:eastAsia="en-AU"/>
              </w:rPr>
            </w:pPr>
            <w:r w:rsidRPr="00D56C84">
              <w:rPr>
                <w:lang w:eastAsia="en-AU"/>
              </w:rPr>
              <w:t>N/A</w:t>
            </w:r>
          </w:p>
        </w:tc>
      </w:tr>
      <w:tr w:rsidR="00D159EE" w:rsidRPr="00D56C84" w:rsidTr="00BF6787">
        <w:trPr>
          <w:trHeight w:val="300"/>
        </w:trPr>
        <w:tc>
          <w:tcPr>
            <w:tcW w:w="588" w:type="pct"/>
            <w:shd w:val="clear" w:color="auto" w:fill="auto"/>
            <w:noWrap/>
            <w:vAlign w:val="center"/>
            <w:hideMark/>
          </w:tcPr>
          <w:p w:rsidR="00D159EE" w:rsidRPr="00D56C84" w:rsidRDefault="00D159EE" w:rsidP="00BF6787">
            <w:pPr>
              <w:pStyle w:val="TableText"/>
              <w:rPr>
                <w:lang w:eastAsia="en-AU"/>
              </w:rPr>
            </w:pPr>
            <w:r w:rsidRPr="00D56C84">
              <w:rPr>
                <w:lang w:eastAsia="en-AU"/>
              </w:rPr>
              <w:t>Regional</w:t>
            </w:r>
          </w:p>
        </w:tc>
        <w:tc>
          <w:tcPr>
            <w:tcW w:w="736" w:type="pct"/>
            <w:shd w:val="clear" w:color="auto" w:fill="auto"/>
            <w:vAlign w:val="center"/>
          </w:tcPr>
          <w:p w:rsidR="00D159EE" w:rsidRPr="00D56C84" w:rsidRDefault="00D159EE" w:rsidP="00BF6787">
            <w:pPr>
              <w:pStyle w:val="TableText"/>
              <w:rPr>
                <w:lang w:eastAsia="en-AU"/>
              </w:rPr>
            </w:pPr>
            <w:r w:rsidRPr="00D56C84">
              <w:rPr>
                <w:lang w:eastAsia="en-AU"/>
              </w:rPr>
              <w:t>90%</w:t>
            </w:r>
          </w:p>
        </w:tc>
        <w:tc>
          <w:tcPr>
            <w:tcW w:w="676" w:type="pct"/>
            <w:shd w:val="clear" w:color="auto" w:fill="auto"/>
            <w:vAlign w:val="center"/>
          </w:tcPr>
          <w:p w:rsidR="00D159EE" w:rsidRPr="00D56C84" w:rsidRDefault="00D159EE" w:rsidP="00BF6787">
            <w:pPr>
              <w:pStyle w:val="TableText"/>
              <w:rPr>
                <w:lang w:eastAsia="en-AU"/>
              </w:rPr>
            </w:pPr>
            <w:r w:rsidRPr="00D56C84">
              <w:rPr>
                <w:lang w:eastAsia="en-AU"/>
              </w:rPr>
              <w:t>1.6</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43%</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2.9</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10%</w:t>
            </w:r>
          </w:p>
        </w:tc>
        <w:tc>
          <w:tcPr>
            <w:tcW w:w="749" w:type="pct"/>
            <w:shd w:val="clear" w:color="auto" w:fill="auto"/>
            <w:noWrap/>
            <w:vAlign w:val="center"/>
            <w:hideMark/>
          </w:tcPr>
          <w:p w:rsidR="00D159EE" w:rsidRPr="00D56C84" w:rsidRDefault="00D159EE" w:rsidP="00BF6787">
            <w:pPr>
              <w:pStyle w:val="TableText"/>
              <w:rPr>
                <w:lang w:eastAsia="en-AU"/>
              </w:rPr>
            </w:pPr>
            <w:r w:rsidRPr="00D56C84">
              <w:rPr>
                <w:lang w:eastAsia="en-AU"/>
              </w:rPr>
              <w:t>1.5</w:t>
            </w:r>
          </w:p>
        </w:tc>
      </w:tr>
      <w:tr w:rsidR="00D159EE" w:rsidRPr="00D56C84" w:rsidTr="00BF6787">
        <w:trPr>
          <w:trHeight w:val="300"/>
        </w:trPr>
        <w:tc>
          <w:tcPr>
            <w:tcW w:w="588" w:type="pct"/>
            <w:shd w:val="clear" w:color="auto" w:fill="auto"/>
            <w:noWrap/>
            <w:vAlign w:val="center"/>
            <w:hideMark/>
          </w:tcPr>
          <w:p w:rsidR="00D159EE" w:rsidRPr="00D56C84" w:rsidRDefault="00D159EE" w:rsidP="00BF6787">
            <w:pPr>
              <w:pStyle w:val="TableText"/>
              <w:rPr>
                <w:lang w:eastAsia="en-AU"/>
              </w:rPr>
            </w:pPr>
            <w:r w:rsidRPr="00D56C84">
              <w:rPr>
                <w:lang w:eastAsia="en-AU"/>
              </w:rPr>
              <w:t>Remote</w:t>
            </w:r>
          </w:p>
        </w:tc>
        <w:tc>
          <w:tcPr>
            <w:tcW w:w="736" w:type="pct"/>
            <w:shd w:val="clear" w:color="auto" w:fill="auto"/>
            <w:vAlign w:val="center"/>
          </w:tcPr>
          <w:p w:rsidR="00D159EE" w:rsidRPr="00D56C84" w:rsidRDefault="00D159EE" w:rsidP="00BF6787">
            <w:pPr>
              <w:pStyle w:val="TableText"/>
              <w:rPr>
                <w:lang w:eastAsia="en-AU"/>
              </w:rPr>
            </w:pPr>
            <w:r w:rsidRPr="00D56C84">
              <w:rPr>
                <w:lang w:eastAsia="en-AU"/>
              </w:rPr>
              <w:t>87%</w:t>
            </w:r>
          </w:p>
        </w:tc>
        <w:tc>
          <w:tcPr>
            <w:tcW w:w="676" w:type="pct"/>
            <w:shd w:val="clear" w:color="auto" w:fill="auto"/>
            <w:vAlign w:val="center"/>
          </w:tcPr>
          <w:p w:rsidR="00D159EE" w:rsidRPr="00D56C84" w:rsidRDefault="00D159EE" w:rsidP="00BF6787">
            <w:pPr>
              <w:pStyle w:val="TableText"/>
              <w:rPr>
                <w:lang w:eastAsia="en-AU"/>
              </w:rPr>
            </w:pPr>
            <w:r w:rsidRPr="00D56C84">
              <w:rPr>
                <w:lang w:eastAsia="en-AU"/>
              </w:rPr>
              <w:t>2.2</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33%</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2.6</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13%</w:t>
            </w:r>
          </w:p>
        </w:tc>
        <w:tc>
          <w:tcPr>
            <w:tcW w:w="749" w:type="pct"/>
            <w:shd w:val="clear" w:color="auto" w:fill="auto"/>
            <w:noWrap/>
            <w:vAlign w:val="center"/>
            <w:hideMark/>
          </w:tcPr>
          <w:p w:rsidR="00D159EE" w:rsidRPr="00D56C84" w:rsidRDefault="00D159EE" w:rsidP="00BF6787">
            <w:pPr>
              <w:pStyle w:val="TableText"/>
              <w:rPr>
                <w:lang w:eastAsia="en-AU"/>
              </w:rPr>
            </w:pPr>
            <w:r w:rsidRPr="00D56C84">
              <w:rPr>
                <w:lang w:eastAsia="en-AU"/>
              </w:rPr>
              <w:t>1.0</w:t>
            </w:r>
          </w:p>
        </w:tc>
      </w:tr>
      <w:tr w:rsidR="00D159EE" w:rsidRPr="00D56C84" w:rsidTr="00BF6787">
        <w:trPr>
          <w:trHeight w:val="315"/>
        </w:trPr>
        <w:tc>
          <w:tcPr>
            <w:tcW w:w="588" w:type="pct"/>
            <w:shd w:val="clear" w:color="auto" w:fill="auto"/>
            <w:noWrap/>
            <w:vAlign w:val="center"/>
            <w:hideMark/>
          </w:tcPr>
          <w:p w:rsidR="00D159EE" w:rsidRPr="00D56C84" w:rsidRDefault="00825668" w:rsidP="00BF6787">
            <w:pPr>
              <w:pStyle w:val="TableText"/>
              <w:rPr>
                <w:lang w:eastAsia="en-AU"/>
              </w:rPr>
            </w:pPr>
            <w:r w:rsidRPr="00D56C84">
              <w:rPr>
                <w:lang w:eastAsia="en-AU"/>
              </w:rPr>
              <w:t>Overall</w:t>
            </w:r>
          </w:p>
        </w:tc>
        <w:tc>
          <w:tcPr>
            <w:tcW w:w="736" w:type="pct"/>
            <w:shd w:val="clear" w:color="auto" w:fill="auto"/>
            <w:vAlign w:val="center"/>
          </w:tcPr>
          <w:p w:rsidR="00D159EE" w:rsidRPr="00D56C84" w:rsidRDefault="00D159EE" w:rsidP="00BF6787">
            <w:pPr>
              <w:pStyle w:val="TableText"/>
              <w:rPr>
                <w:lang w:eastAsia="en-AU"/>
              </w:rPr>
            </w:pPr>
            <w:r w:rsidRPr="00D56C84">
              <w:rPr>
                <w:lang w:eastAsia="en-AU"/>
              </w:rPr>
              <w:t>69%</w:t>
            </w:r>
          </w:p>
        </w:tc>
        <w:tc>
          <w:tcPr>
            <w:tcW w:w="676" w:type="pct"/>
            <w:shd w:val="clear" w:color="auto" w:fill="auto"/>
            <w:vAlign w:val="center"/>
          </w:tcPr>
          <w:p w:rsidR="00D159EE" w:rsidRPr="00D56C84" w:rsidRDefault="00D159EE" w:rsidP="00BF6787">
            <w:pPr>
              <w:pStyle w:val="TableText"/>
              <w:rPr>
                <w:lang w:eastAsia="en-AU"/>
              </w:rPr>
            </w:pPr>
            <w:r w:rsidRPr="00D56C84">
              <w:rPr>
                <w:lang w:eastAsia="en-AU"/>
              </w:rPr>
              <w:t>1.8</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33%</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3.1</w:t>
            </w:r>
          </w:p>
        </w:tc>
        <w:tc>
          <w:tcPr>
            <w:tcW w:w="750" w:type="pct"/>
            <w:shd w:val="clear" w:color="auto" w:fill="auto"/>
            <w:noWrap/>
            <w:vAlign w:val="center"/>
            <w:hideMark/>
          </w:tcPr>
          <w:p w:rsidR="00D159EE" w:rsidRPr="00D56C84" w:rsidRDefault="00D159EE" w:rsidP="00BF6787">
            <w:pPr>
              <w:pStyle w:val="TableText"/>
              <w:rPr>
                <w:lang w:eastAsia="en-AU"/>
              </w:rPr>
            </w:pPr>
            <w:r w:rsidRPr="00D56C84">
              <w:rPr>
                <w:lang w:eastAsia="en-AU"/>
              </w:rPr>
              <w:t>7%</w:t>
            </w:r>
          </w:p>
        </w:tc>
        <w:tc>
          <w:tcPr>
            <w:tcW w:w="749" w:type="pct"/>
            <w:shd w:val="clear" w:color="auto" w:fill="auto"/>
            <w:noWrap/>
            <w:vAlign w:val="center"/>
            <w:hideMark/>
          </w:tcPr>
          <w:p w:rsidR="00D159EE" w:rsidRPr="00D56C84" w:rsidRDefault="00D159EE" w:rsidP="00BF6787">
            <w:pPr>
              <w:pStyle w:val="TableText"/>
              <w:rPr>
                <w:lang w:eastAsia="en-AU"/>
              </w:rPr>
            </w:pPr>
            <w:r w:rsidRPr="00D56C84">
              <w:rPr>
                <w:lang w:eastAsia="en-AU"/>
              </w:rPr>
              <w:t>1.3</w:t>
            </w:r>
          </w:p>
        </w:tc>
      </w:tr>
    </w:tbl>
    <w:p w:rsidR="00B30608" w:rsidRDefault="00B30608" w:rsidP="002E44C3">
      <w:pPr>
        <w:pStyle w:val="ParaIndent"/>
        <w:spacing w:before="120"/>
        <w:jc w:val="both"/>
      </w:pPr>
      <w:r>
        <w:t xml:space="preserve">Extrapolating from the average number of landfills per </w:t>
      </w:r>
      <w:proofErr w:type="gramStart"/>
      <w:r>
        <w:t>councils</w:t>
      </w:r>
      <w:proofErr w:type="gramEnd"/>
      <w:r w:rsidR="002E44C3">
        <w:t xml:space="preserve"> information</w:t>
      </w:r>
      <w:r>
        <w:t xml:space="preserve"> as shown above, it could be estimated that there are some 1,070 council-owned landfills in Australia, of which almost two-thirds are located in remote areas. While the thin data set behind the figures should be noted, this estimate is</w:t>
      </w:r>
      <w:r w:rsidR="00187524">
        <w:t xml:space="preserve"> higher than, but</w:t>
      </w:r>
      <w:r>
        <w:t xml:space="preserve"> </w:t>
      </w:r>
      <w:r w:rsidR="00187524">
        <w:t xml:space="preserve">within the same order of magnitude as, the number of landfills identified through the 2005 WMAA National Landfill Survey. </w:t>
      </w:r>
    </w:p>
    <w:p w:rsidR="00BF6787" w:rsidRPr="00D56C84" w:rsidRDefault="00BF6787" w:rsidP="00B5378F">
      <w:pPr>
        <w:pStyle w:val="ParaIndent"/>
        <w:jc w:val="both"/>
      </w:pPr>
      <w:r w:rsidRPr="00D56C84">
        <w:t>A high proportion of respond</w:t>
      </w:r>
      <w:r w:rsidR="000E26CD" w:rsidRPr="00D56C84">
        <w:t>ents</w:t>
      </w:r>
      <w:r w:rsidRPr="00D56C84">
        <w:t xml:space="preserve"> to the Inside Waste </w:t>
      </w:r>
      <w:r w:rsidR="0029434D" w:rsidRPr="00D56C84">
        <w:t>Local Government</w:t>
      </w:r>
      <w:r w:rsidRPr="00D56C84">
        <w:t xml:space="preserve"> Survey (69%) reported owning at least one landfill, with a significantly higher incidence reported in regional and remote areas (90% and 87% respectively) in comparison to metropolitan areas (36%).</w:t>
      </w:r>
    </w:p>
    <w:p w:rsidR="00BF6787" w:rsidRDefault="00BF6787" w:rsidP="00B5378F">
      <w:pPr>
        <w:pStyle w:val="ParaIndent"/>
        <w:jc w:val="both"/>
      </w:pPr>
      <w:r w:rsidRPr="00D56C84">
        <w:lastRenderedPageBreak/>
        <w:t xml:space="preserve">A similar trend was noted in the number of transfer stations and </w:t>
      </w:r>
      <w:r w:rsidR="00815C43" w:rsidRPr="00D56C84">
        <w:t>M</w:t>
      </w:r>
      <w:r w:rsidR="00815C43">
        <w:t xml:space="preserve">aterial </w:t>
      </w:r>
      <w:r w:rsidRPr="00D56C84">
        <w:t>R</w:t>
      </w:r>
      <w:r w:rsidR="00815C43">
        <w:t xml:space="preserve">ecovery </w:t>
      </w:r>
      <w:r w:rsidRPr="00D56C84">
        <w:t>F</w:t>
      </w:r>
      <w:r w:rsidR="00815C43">
        <w:t>acilitie</w:t>
      </w:r>
      <w:r w:rsidRPr="00D56C84">
        <w:t>s</w:t>
      </w:r>
      <w:r w:rsidR="00815C43">
        <w:t xml:space="preserve"> (MRFs)</w:t>
      </w:r>
      <w:r w:rsidRPr="00D56C84">
        <w:t xml:space="preserve"> owned by councils, with </w:t>
      </w:r>
      <w:r w:rsidR="000E26CD" w:rsidRPr="00D56C84">
        <w:t xml:space="preserve">the survey results suggesting </w:t>
      </w:r>
      <w:r w:rsidRPr="00D56C84">
        <w:t xml:space="preserve">regional and remote councils </w:t>
      </w:r>
      <w:r w:rsidR="000E26CD" w:rsidRPr="00D56C84">
        <w:t xml:space="preserve">are </w:t>
      </w:r>
      <w:r w:rsidRPr="00D56C84">
        <w:t xml:space="preserve">more likely to own their own waste management infrastructure than metropolitan councils. </w:t>
      </w:r>
      <w:r w:rsidR="000E26CD" w:rsidRPr="00D56C84">
        <w:t xml:space="preserve">The most likely explanation is that metropolitan councils are </w:t>
      </w:r>
      <w:r w:rsidRPr="00D56C84">
        <w:t>more likely to attract private sector operators due to the concentrated population and higher</w:t>
      </w:r>
      <w:r w:rsidR="000E26CD" w:rsidRPr="00D56C84">
        <w:t xml:space="preserve"> waste volumes being managed.</w:t>
      </w:r>
    </w:p>
    <w:p w:rsidR="00187524" w:rsidRDefault="00187524" w:rsidP="002E44C3">
      <w:pPr>
        <w:pStyle w:val="ParaIndent"/>
        <w:jc w:val="both"/>
      </w:pPr>
      <w:r>
        <w:t xml:space="preserve">It should be noted that, based on the information above, councils are much less likely to own a MRF than a landfill, or transfer station. This </w:t>
      </w:r>
      <w:r w:rsidR="00C225B5">
        <w:t xml:space="preserve">highlights </w:t>
      </w:r>
      <w:r>
        <w:t xml:space="preserve">the </w:t>
      </w:r>
      <w:r w:rsidR="00C225B5">
        <w:t xml:space="preserve">tendency for councils to outsource ownership and operation of facilities with a higher </w:t>
      </w:r>
      <w:r w:rsidR="002E44C3">
        <w:t>set-up</w:t>
      </w:r>
      <w:r w:rsidR="00C225B5">
        <w:t xml:space="preserve"> cost and more complex operating requirements. </w:t>
      </w:r>
      <w:r w:rsidR="002E44C3">
        <w:t>Numerous council owned landfills were</w:t>
      </w:r>
      <w:r w:rsidR="00B8099D">
        <w:t xml:space="preserve"> established many years ago; although they may still have a long service life into the future, it is likely that more </w:t>
      </w:r>
      <w:proofErr w:type="gramStart"/>
      <w:r w:rsidR="00B8099D">
        <w:t>councils</w:t>
      </w:r>
      <w:proofErr w:type="gramEnd"/>
      <w:r w:rsidR="00B8099D">
        <w:t xml:space="preserve"> will seek private sector assistance in </w:t>
      </w:r>
      <w:r w:rsidR="002E44C3">
        <w:t>procuring</w:t>
      </w:r>
      <w:r w:rsidR="00B8099D">
        <w:t xml:space="preserve"> disposal facilities, due to the increasing complexity of </w:t>
      </w:r>
      <w:r w:rsidR="002E44C3">
        <w:t xml:space="preserve">their </w:t>
      </w:r>
      <w:r w:rsidR="00B8099D">
        <w:t>establish</w:t>
      </w:r>
      <w:r w:rsidR="002E44C3">
        <w:t>ment</w:t>
      </w:r>
      <w:r w:rsidR="00B8099D">
        <w:t xml:space="preserve"> (this is further discussed in Section </w:t>
      </w:r>
      <w:fldSimple w:instr=" REF _Ref302126959 \w \h  \* MERGEFORMAT ">
        <w:r w:rsidR="00166111">
          <w:t>15.6</w:t>
        </w:r>
      </w:fldSimple>
      <w:r w:rsidR="00B8099D">
        <w:t xml:space="preserve">). </w:t>
      </w:r>
    </w:p>
    <w:p w:rsidR="00D80FEC" w:rsidRDefault="0040632C" w:rsidP="002E44C3">
      <w:pPr>
        <w:pStyle w:val="ParaIndent"/>
        <w:jc w:val="both"/>
      </w:pPr>
      <w:r w:rsidRPr="00D56C84">
        <w:t xml:space="preserve">The </w:t>
      </w:r>
      <w:r w:rsidR="00B8099D">
        <w:t xml:space="preserve">Inside Waste </w:t>
      </w:r>
      <w:r w:rsidR="0029434D" w:rsidRPr="00D56C84">
        <w:t>s</w:t>
      </w:r>
      <w:r w:rsidRPr="00D56C84">
        <w:t>urvey also asked respondents to provide information about collection ser</w:t>
      </w:r>
      <w:r w:rsidR="00825668" w:rsidRPr="00D56C84">
        <w:t xml:space="preserve">vices offered within their LGA, with key findings reproduced in </w:t>
      </w:r>
      <w:fldSimple w:instr=" REF _Ref297118334 \h  \* MERGEFORMAT ">
        <w:r w:rsidR="00166111" w:rsidRPr="00D56C84">
          <w:t xml:space="preserve">Table </w:t>
        </w:r>
        <w:r w:rsidR="00166111">
          <w:rPr>
            <w:noProof/>
          </w:rPr>
          <w:t>14</w:t>
        </w:r>
        <w:r w:rsidR="00166111" w:rsidRPr="00D56C84">
          <w:rPr>
            <w:noProof/>
          </w:rPr>
          <w:t>-</w:t>
        </w:r>
        <w:r w:rsidR="00166111">
          <w:rPr>
            <w:noProof/>
          </w:rPr>
          <w:t>41</w:t>
        </w:r>
      </w:fldSimple>
      <w:r w:rsidR="0029434D" w:rsidRPr="00D56C84">
        <w:t>.</w:t>
      </w:r>
    </w:p>
    <w:p w:rsidR="00FE3A14" w:rsidRPr="00D56C84" w:rsidRDefault="00FE3A14" w:rsidP="00FE3A14">
      <w:pPr>
        <w:pStyle w:val="Caption"/>
      </w:pPr>
      <w:bookmarkStart w:id="142" w:name="_Ref297118334"/>
      <w:r w:rsidRPr="00D56C84">
        <w:t xml:space="preserve">Table </w:t>
      </w:r>
      <w:r w:rsidR="00ED6CA0">
        <w:fldChar w:fldCharType="begin"/>
      </w:r>
      <w:r w:rsidR="006D5406">
        <w:instrText xml:space="preserve"> STYLEREF "_Heading1" \n </w:instrText>
      </w:r>
      <w:r w:rsidR="00ED6CA0">
        <w:fldChar w:fldCharType="separate"/>
      </w:r>
      <w:r w:rsidR="00166111">
        <w:rPr>
          <w:noProof/>
        </w:rPr>
        <w:t>14</w:t>
      </w:r>
      <w:r w:rsidR="00ED6CA0">
        <w:rPr>
          <w:noProof/>
        </w:rPr>
        <w:fldChar w:fldCharType="end"/>
      </w:r>
      <w:r w:rsidRPr="00D56C84">
        <w:t>-</w:t>
      </w:r>
      <w:r w:rsidR="00ED6CA0">
        <w:fldChar w:fldCharType="begin"/>
      </w:r>
      <w:r w:rsidR="006D5406">
        <w:instrText xml:space="preserve"> SEQ Table \* Arabic </w:instrText>
      </w:r>
      <w:r w:rsidR="00ED6CA0">
        <w:fldChar w:fldCharType="separate"/>
      </w:r>
      <w:r w:rsidR="00166111">
        <w:rPr>
          <w:noProof/>
        </w:rPr>
        <w:t>41</w:t>
      </w:r>
      <w:r w:rsidR="00ED6CA0">
        <w:rPr>
          <w:noProof/>
        </w:rPr>
        <w:fldChar w:fldCharType="end"/>
      </w:r>
      <w:bookmarkEnd w:id="142"/>
      <w:r w:rsidRPr="00D56C84">
        <w:tab/>
        <w:t xml:space="preserve">Summary of collection services offered by LGA remoteness, based on survey results published in the </w:t>
      </w:r>
      <w:r w:rsidRPr="00D56C84">
        <w:rPr>
          <w:i/>
        </w:rPr>
        <w:t>Inside Waste Industry Report 2011-12</w:t>
      </w:r>
    </w:p>
    <w:tbl>
      <w:tblPr>
        <w:tblW w:w="8760" w:type="dxa"/>
        <w:tblInd w:w="108" w:type="dxa"/>
        <w:tblBorders>
          <w:bottom w:val="single" w:sz="18" w:space="0" w:color="808080"/>
          <w:insideH w:val="single" w:sz="4" w:space="0" w:color="808080"/>
        </w:tblBorders>
        <w:tblLayout w:type="fixed"/>
        <w:tblCellMar>
          <w:left w:w="0" w:type="dxa"/>
          <w:right w:w="0" w:type="dxa"/>
        </w:tblCellMar>
        <w:tblLook w:val="04A0"/>
      </w:tblPr>
      <w:tblGrid>
        <w:gridCol w:w="1157"/>
        <w:gridCol w:w="1520"/>
        <w:gridCol w:w="1468"/>
        <w:gridCol w:w="1417"/>
        <w:gridCol w:w="1418"/>
        <w:gridCol w:w="1780"/>
      </w:tblGrid>
      <w:tr w:rsidR="00825668" w:rsidRPr="00D56C84" w:rsidTr="0029434D">
        <w:trPr>
          <w:trHeight w:val="1500"/>
        </w:trPr>
        <w:tc>
          <w:tcPr>
            <w:tcW w:w="1157" w:type="dxa"/>
            <w:shd w:val="clear" w:color="auto" w:fill="auto"/>
            <w:noWrap/>
            <w:vAlign w:val="center"/>
            <w:hideMark/>
          </w:tcPr>
          <w:p w:rsidR="00825668" w:rsidRPr="00D56C84" w:rsidRDefault="0029434D" w:rsidP="00825668">
            <w:pPr>
              <w:pStyle w:val="TableHeading"/>
              <w:rPr>
                <w:lang w:eastAsia="en-AU"/>
              </w:rPr>
            </w:pPr>
            <w:r w:rsidRPr="00D56C84">
              <w:rPr>
                <w:lang w:eastAsia="en-AU"/>
              </w:rPr>
              <w:t>Remoteness of the LGA</w:t>
            </w:r>
          </w:p>
        </w:tc>
        <w:tc>
          <w:tcPr>
            <w:tcW w:w="1520" w:type="dxa"/>
            <w:shd w:val="clear" w:color="auto" w:fill="auto"/>
            <w:vAlign w:val="center"/>
            <w:hideMark/>
          </w:tcPr>
          <w:p w:rsidR="00825668" w:rsidRPr="00D56C84" w:rsidRDefault="00825668" w:rsidP="00825668">
            <w:pPr>
              <w:pStyle w:val="TableHeading"/>
              <w:rPr>
                <w:lang w:eastAsia="en-AU"/>
              </w:rPr>
            </w:pPr>
            <w:r w:rsidRPr="00D56C84">
              <w:rPr>
                <w:lang w:eastAsia="en-AU"/>
              </w:rPr>
              <w:t>No. survey respondents</w:t>
            </w:r>
          </w:p>
        </w:tc>
        <w:tc>
          <w:tcPr>
            <w:tcW w:w="1468" w:type="dxa"/>
            <w:shd w:val="clear" w:color="auto" w:fill="auto"/>
            <w:vAlign w:val="center"/>
            <w:hideMark/>
          </w:tcPr>
          <w:p w:rsidR="00825668" w:rsidRPr="00D56C84" w:rsidRDefault="00825668" w:rsidP="00825668">
            <w:pPr>
              <w:pStyle w:val="TableHeading"/>
              <w:rPr>
                <w:lang w:eastAsia="en-AU"/>
              </w:rPr>
            </w:pPr>
            <w:r w:rsidRPr="00D56C84">
              <w:rPr>
                <w:lang w:eastAsia="en-AU"/>
              </w:rPr>
              <w:t>% 1-bin collection (refuse only)</w:t>
            </w:r>
          </w:p>
        </w:tc>
        <w:tc>
          <w:tcPr>
            <w:tcW w:w="1417" w:type="dxa"/>
            <w:shd w:val="clear" w:color="auto" w:fill="auto"/>
            <w:vAlign w:val="center"/>
            <w:hideMark/>
          </w:tcPr>
          <w:p w:rsidR="00825668" w:rsidRPr="00D56C84" w:rsidRDefault="00825668" w:rsidP="00825668">
            <w:pPr>
              <w:pStyle w:val="TableHeading"/>
              <w:rPr>
                <w:lang w:eastAsia="en-AU"/>
              </w:rPr>
            </w:pPr>
            <w:r w:rsidRPr="00D56C84">
              <w:rPr>
                <w:lang w:eastAsia="en-AU"/>
              </w:rPr>
              <w:t>% 2-bin collection (refuse + recycling)</w:t>
            </w:r>
          </w:p>
        </w:tc>
        <w:tc>
          <w:tcPr>
            <w:tcW w:w="1418" w:type="dxa"/>
            <w:shd w:val="clear" w:color="auto" w:fill="auto"/>
            <w:vAlign w:val="center"/>
            <w:hideMark/>
          </w:tcPr>
          <w:p w:rsidR="00825668" w:rsidRPr="00D56C84" w:rsidRDefault="00825668" w:rsidP="00825668">
            <w:pPr>
              <w:pStyle w:val="TableHeading"/>
              <w:rPr>
                <w:lang w:eastAsia="en-AU"/>
              </w:rPr>
            </w:pPr>
            <w:r w:rsidRPr="00D56C84">
              <w:rPr>
                <w:lang w:eastAsia="en-AU"/>
              </w:rPr>
              <w:t>% 3-bin collection (refuse + recycling + green</w:t>
            </w:r>
            <w:r w:rsidR="00746E5F" w:rsidRPr="00D56C84">
              <w:rPr>
                <w:lang w:eastAsia="en-AU"/>
              </w:rPr>
              <w:t xml:space="preserve"> </w:t>
            </w:r>
            <w:r w:rsidRPr="00D56C84">
              <w:rPr>
                <w:lang w:eastAsia="en-AU"/>
              </w:rPr>
              <w:t>waste)</w:t>
            </w:r>
          </w:p>
        </w:tc>
        <w:tc>
          <w:tcPr>
            <w:tcW w:w="1780" w:type="dxa"/>
            <w:shd w:val="clear" w:color="auto" w:fill="auto"/>
            <w:vAlign w:val="center"/>
            <w:hideMark/>
          </w:tcPr>
          <w:p w:rsidR="00825668" w:rsidRPr="00D56C84" w:rsidRDefault="00825668" w:rsidP="0029434D">
            <w:pPr>
              <w:pStyle w:val="TableHeading"/>
              <w:rPr>
                <w:lang w:eastAsia="en-AU"/>
              </w:rPr>
            </w:pPr>
            <w:r w:rsidRPr="00D56C84">
              <w:rPr>
                <w:lang w:eastAsia="en-AU"/>
              </w:rPr>
              <w:t>% 3-bin</w:t>
            </w:r>
            <w:r w:rsidR="0029434D" w:rsidRPr="00D56C84">
              <w:rPr>
                <w:lang w:eastAsia="en-AU"/>
              </w:rPr>
              <w:t xml:space="preserve"> collection</w:t>
            </w:r>
            <w:r w:rsidRPr="00D56C84">
              <w:rPr>
                <w:lang w:eastAsia="en-AU"/>
              </w:rPr>
              <w:t xml:space="preserve"> (refuse + recycling + combined food and garden organics)</w:t>
            </w:r>
          </w:p>
        </w:tc>
      </w:tr>
      <w:tr w:rsidR="00825668" w:rsidRPr="00D56C84" w:rsidTr="0029434D">
        <w:trPr>
          <w:trHeight w:val="300"/>
        </w:trPr>
        <w:tc>
          <w:tcPr>
            <w:tcW w:w="115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Metropolitan</w:t>
            </w:r>
          </w:p>
        </w:tc>
        <w:tc>
          <w:tcPr>
            <w:tcW w:w="152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22</w:t>
            </w:r>
          </w:p>
        </w:tc>
        <w:tc>
          <w:tcPr>
            <w:tcW w:w="146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0%</w:t>
            </w:r>
          </w:p>
        </w:tc>
        <w:tc>
          <w:tcPr>
            <w:tcW w:w="141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14%</w:t>
            </w:r>
          </w:p>
        </w:tc>
        <w:tc>
          <w:tcPr>
            <w:tcW w:w="141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73%</w:t>
            </w:r>
          </w:p>
        </w:tc>
        <w:tc>
          <w:tcPr>
            <w:tcW w:w="178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14%</w:t>
            </w:r>
          </w:p>
        </w:tc>
      </w:tr>
      <w:tr w:rsidR="00825668" w:rsidRPr="00D56C84" w:rsidTr="0029434D">
        <w:trPr>
          <w:trHeight w:val="300"/>
        </w:trPr>
        <w:tc>
          <w:tcPr>
            <w:tcW w:w="115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Regional</w:t>
            </w:r>
          </w:p>
        </w:tc>
        <w:tc>
          <w:tcPr>
            <w:tcW w:w="152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21</w:t>
            </w:r>
          </w:p>
        </w:tc>
        <w:tc>
          <w:tcPr>
            <w:tcW w:w="146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0%</w:t>
            </w:r>
          </w:p>
        </w:tc>
        <w:tc>
          <w:tcPr>
            <w:tcW w:w="141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52%</w:t>
            </w:r>
          </w:p>
        </w:tc>
        <w:tc>
          <w:tcPr>
            <w:tcW w:w="141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38%</w:t>
            </w:r>
          </w:p>
        </w:tc>
        <w:tc>
          <w:tcPr>
            <w:tcW w:w="178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10%</w:t>
            </w:r>
          </w:p>
        </w:tc>
      </w:tr>
      <w:tr w:rsidR="00825668" w:rsidRPr="00D56C84" w:rsidTr="0029434D">
        <w:trPr>
          <w:trHeight w:val="300"/>
        </w:trPr>
        <w:tc>
          <w:tcPr>
            <w:tcW w:w="115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Remote</w:t>
            </w:r>
          </w:p>
        </w:tc>
        <w:tc>
          <w:tcPr>
            <w:tcW w:w="152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15</w:t>
            </w:r>
          </w:p>
        </w:tc>
        <w:tc>
          <w:tcPr>
            <w:tcW w:w="146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53%</w:t>
            </w:r>
          </w:p>
        </w:tc>
        <w:tc>
          <w:tcPr>
            <w:tcW w:w="141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47%</w:t>
            </w:r>
          </w:p>
        </w:tc>
        <w:tc>
          <w:tcPr>
            <w:tcW w:w="141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0%</w:t>
            </w:r>
          </w:p>
        </w:tc>
        <w:tc>
          <w:tcPr>
            <w:tcW w:w="178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0%</w:t>
            </w:r>
          </w:p>
        </w:tc>
      </w:tr>
      <w:tr w:rsidR="00825668" w:rsidRPr="00D56C84" w:rsidTr="0029434D">
        <w:trPr>
          <w:trHeight w:val="300"/>
        </w:trPr>
        <w:tc>
          <w:tcPr>
            <w:tcW w:w="115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Overall</w:t>
            </w:r>
          </w:p>
        </w:tc>
        <w:tc>
          <w:tcPr>
            <w:tcW w:w="152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58</w:t>
            </w:r>
          </w:p>
        </w:tc>
        <w:tc>
          <w:tcPr>
            <w:tcW w:w="146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14%</w:t>
            </w:r>
          </w:p>
        </w:tc>
        <w:tc>
          <w:tcPr>
            <w:tcW w:w="1417"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36%</w:t>
            </w:r>
          </w:p>
        </w:tc>
        <w:tc>
          <w:tcPr>
            <w:tcW w:w="1418"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41%</w:t>
            </w:r>
          </w:p>
        </w:tc>
        <w:tc>
          <w:tcPr>
            <w:tcW w:w="1780" w:type="dxa"/>
            <w:shd w:val="clear" w:color="auto" w:fill="auto"/>
            <w:noWrap/>
            <w:vAlign w:val="center"/>
            <w:hideMark/>
          </w:tcPr>
          <w:p w:rsidR="00825668" w:rsidRPr="00D56C84" w:rsidRDefault="00825668" w:rsidP="00825668">
            <w:pPr>
              <w:pStyle w:val="TableText"/>
              <w:rPr>
                <w:bCs/>
                <w:lang w:eastAsia="en-AU"/>
              </w:rPr>
            </w:pPr>
            <w:r w:rsidRPr="00D56C84">
              <w:rPr>
                <w:bCs/>
                <w:lang w:eastAsia="en-AU"/>
              </w:rPr>
              <w:t>9%</w:t>
            </w:r>
          </w:p>
        </w:tc>
      </w:tr>
    </w:tbl>
    <w:p w:rsidR="00825668" w:rsidRPr="00D56C84" w:rsidRDefault="00825668" w:rsidP="002E44C3">
      <w:pPr>
        <w:pStyle w:val="ParaIndent"/>
        <w:jc w:val="both"/>
      </w:pPr>
    </w:p>
    <w:p w:rsidR="00174734" w:rsidRDefault="0029434D" w:rsidP="002E44C3">
      <w:pPr>
        <w:pStyle w:val="ParaIndent"/>
        <w:jc w:val="both"/>
      </w:pPr>
      <w:r w:rsidRPr="00D56C84">
        <w:t xml:space="preserve">The Inside Waste Local Government Survey also gathered information about the use of private sector contractors to provide collection services, as opposed to councils using internal day labour to provide the service. </w:t>
      </w:r>
      <w:r w:rsidR="005238BF">
        <w:t xml:space="preserve">Information about local government’s interactions with the private sector is provided in Section </w:t>
      </w:r>
      <w:fldSimple w:instr=" REF _Ref300208369 \r \h  \* MERGEFORMAT ">
        <w:r w:rsidR="00166111">
          <w:t>15</w:t>
        </w:r>
      </w:fldSimple>
      <w:r w:rsidR="005238BF">
        <w:t>.</w:t>
      </w:r>
    </w:p>
    <w:p w:rsidR="007C5B19" w:rsidRDefault="007C5B19">
      <w:pPr>
        <w:spacing w:after="0" w:line="240" w:lineRule="auto"/>
        <w:ind w:left="0"/>
      </w:pPr>
      <w:r>
        <w:br w:type="page"/>
      </w:r>
    </w:p>
    <w:p w:rsidR="007C5B19" w:rsidRDefault="007C5B19" w:rsidP="007C5B19">
      <w:pPr>
        <w:pStyle w:val="Heading1"/>
      </w:pPr>
      <w:bookmarkStart w:id="143" w:name="_Ref300208369"/>
      <w:bookmarkStart w:id="144" w:name="_Ref300232468"/>
      <w:bookmarkStart w:id="145" w:name="_Toc307470474"/>
      <w:r>
        <w:lastRenderedPageBreak/>
        <w:t>P</w:t>
      </w:r>
      <w:r w:rsidR="008C6DBF">
        <w:t>rivate sector interactions</w:t>
      </w:r>
      <w:bookmarkEnd w:id="143"/>
      <w:bookmarkEnd w:id="144"/>
      <w:bookmarkEnd w:id="145"/>
    </w:p>
    <w:p w:rsidR="008D2EC5" w:rsidRDefault="008D2EC5" w:rsidP="00EC22E1">
      <w:pPr>
        <w:pStyle w:val="ParaIndent"/>
        <w:jc w:val="both"/>
      </w:pPr>
      <w:r>
        <w:t>The top five private sector waste companies were estimated to account for 44% of total Australian waste industry revenue in 2008</w:t>
      </w:r>
      <w:r w:rsidR="00A9017D">
        <w:rPr>
          <w:rFonts w:cs="Arial"/>
        </w:rPr>
        <w:t>–</w:t>
      </w:r>
      <w:r>
        <w:t>09</w:t>
      </w:r>
      <w:r>
        <w:rPr>
          <w:rStyle w:val="FootnoteReference"/>
        </w:rPr>
        <w:footnoteReference w:id="29"/>
      </w:r>
      <w:r>
        <w:t xml:space="preserve">. Based on the </w:t>
      </w:r>
      <w:proofErr w:type="spellStart"/>
      <w:r>
        <w:t>IBISWorld</w:t>
      </w:r>
      <w:proofErr w:type="spellEnd"/>
      <w:r>
        <w:t xml:space="preserve"> 2009 </w:t>
      </w:r>
      <w:r w:rsidR="00E81450">
        <w:t>Industry R</w:t>
      </w:r>
      <w:r>
        <w:t xml:space="preserve">eport, the top five companies (by market share) </w:t>
      </w:r>
      <w:r w:rsidR="00E81450">
        <w:t xml:space="preserve">in </w:t>
      </w:r>
      <w:r w:rsidR="00B8099D">
        <w:t>2008</w:t>
      </w:r>
      <w:r w:rsidR="00A9017D">
        <w:rPr>
          <w:rFonts w:cs="Arial"/>
        </w:rPr>
        <w:t>–</w:t>
      </w:r>
      <w:r w:rsidR="00B8099D">
        <w:t>09</w:t>
      </w:r>
      <w:r w:rsidR="00E81450">
        <w:t xml:space="preserve"> were</w:t>
      </w:r>
      <w:r>
        <w:t>:</w:t>
      </w:r>
    </w:p>
    <w:p w:rsidR="008D2EC5" w:rsidRDefault="008D2EC5" w:rsidP="004F0083">
      <w:pPr>
        <w:pStyle w:val="ParaIndent"/>
        <w:numPr>
          <w:ilvl w:val="0"/>
          <w:numId w:val="40"/>
        </w:numPr>
        <w:jc w:val="both"/>
      </w:pPr>
      <w:r>
        <w:t>Transpacific Industries</w:t>
      </w:r>
    </w:p>
    <w:p w:rsidR="008D2EC5" w:rsidRDefault="008D2EC5" w:rsidP="004F0083">
      <w:pPr>
        <w:pStyle w:val="ParaIndent"/>
        <w:numPr>
          <w:ilvl w:val="0"/>
          <w:numId w:val="40"/>
        </w:numPr>
        <w:jc w:val="both"/>
      </w:pPr>
      <w:r>
        <w:t>Veolia Environmental Services</w:t>
      </w:r>
    </w:p>
    <w:p w:rsidR="008D2EC5" w:rsidRDefault="008D2EC5" w:rsidP="004F0083">
      <w:pPr>
        <w:pStyle w:val="ParaIndent"/>
        <w:numPr>
          <w:ilvl w:val="0"/>
          <w:numId w:val="40"/>
        </w:numPr>
        <w:jc w:val="both"/>
      </w:pPr>
      <w:r>
        <w:t>Visy</w:t>
      </w:r>
    </w:p>
    <w:p w:rsidR="008D2EC5" w:rsidRDefault="008D2EC5" w:rsidP="004F0083">
      <w:pPr>
        <w:pStyle w:val="ParaIndent"/>
        <w:numPr>
          <w:ilvl w:val="0"/>
          <w:numId w:val="40"/>
        </w:numPr>
        <w:jc w:val="both"/>
      </w:pPr>
      <w:r>
        <w:t>JJ Richards &amp; Sons</w:t>
      </w:r>
    </w:p>
    <w:p w:rsidR="008D2EC5" w:rsidRDefault="008D2EC5" w:rsidP="004F0083">
      <w:pPr>
        <w:pStyle w:val="ParaIndent"/>
        <w:numPr>
          <w:ilvl w:val="0"/>
          <w:numId w:val="40"/>
        </w:numPr>
        <w:jc w:val="both"/>
      </w:pPr>
      <w:r>
        <w:t xml:space="preserve">SITA </w:t>
      </w:r>
      <w:r w:rsidR="000C3056">
        <w:t>Australia</w:t>
      </w:r>
      <w:r w:rsidR="00A9017D">
        <w:t>.</w:t>
      </w:r>
    </w:p>
    <w:p w:rsidR="00143203" w:rsidRDefault="00F00A4A" w:rsidP="00EC22E1">
      <w:pPr>
        <w:pStyle w:val="ParaIndent"/>
        <w:jc w:val="both"/>
      </w:pPr>
      <w:r>
        <w:t xml:space="preserve">There has been a period of rapid consolidation in the waste sector over </w:t>
      </w:r>
      <w:r w:rsidR="00B8099D">
        <w:t>recent</w:t>
      </w:r>
      <w:r>
        <w:t xml:space="preserve"> years, driven primarily by Transpacific Industries which is Australia’s largest private sector waste operator.</w:t>
      </w:r>
      <w:r w:rsidR="00E81450">
        <w:t xml:space="preserve"> Between April 2005 and mid-2007 the company </w:t>
      </w:r>
      <w:r w:rsidR="00143203">
        <w:t>acquired more than 25 waste management businesses, including Cleanaway (which was acquired for $1.25 billion and was, at the time, Australia’s largest waste company</w:t>
      </w:r>
      <w:r w:rsidR="00960B9E">
        <w:t xml:space="preserve">, with over 85 municipal customers </w:t>
      </w:r>
      <w:r w:rsidR="00B8099D">
        <w:t>across</w:t>
      </w:r>
      <w:r w:rsidR="00960B9E">
        <w:t xml:space="preserve"> all Australian states, other than Tasmania)</w:t>
      </w:r>
      <w:r w:rsidR="00143203">
        <w:t>.</w:t>
      </w:r>
    </w:p>
    <w:p w:rsidR="00F00A4A" w:rsidRDefault="00E81450" w:rsidP="00EC22E1">
      <w:pPr>
        <w:pStyle w:val="ParaIndent"/>
        <w:jc w:val="both"/>
      </w:pPr>
      <w:r>
        <w:t>It should be noted that, of the top five companies listed above, Transpacific Industries is the only company</w:t>
      </w:r>
      <w:r w:rsidR="00143203">
        <w:t xml:space="preserve"> that is</w:t>
      </w:r>
      <w:r>
        <w:t xml:space="preserve"> publicly listed on the Australian Stock Exchange (ASX:TPI)</w:t>
      </w:r>
      <w:r w:rsidR="00143203">
        <w:t>. It</w:t>
      </w:r>
      <w:r>
        <w:t xml:space="preserve"> therefore has a higher duty of information disclosure than other companies. </w:t>
      </w:r>
    </w:p>
    <w:p w:rsidR="00E81450" w:rsidRDefault="00F00A4A" w:rsidP="00EC22E1">
      <w:pPr>
        <w:pStyle w:val="ParaIndent"/>
        <w:jc w:val="both"/>
      </w:pPr>
      <w:r w:rsidRPr="00E81450">
        <w:t xml:space="preserve">At its Annual General Meeting in </w:t>
      </w:r>
      <w:r w:rsidR="00E81450" w:rsidRPr="00E81450">
        <w:t>November</w:t>
      </w:r>
      <w:r w:rsidRPr="00E81450">
        <w:t xml:space="preserve"> 2008, </w:t>
      </w:r>
      <w:r w:rsidR="00E81450">
        <w:t>TPI</w:t>
      </w:r>
      <w:r w:rsidR="00E81450" w:rsidRPr="00E81450">
        <w:t xml:space="preserve"> claimed to have won 99 of </w:t>
      </w:r>
      <w:r w:rsidR="00D80FEC">
        <w:t xml:space="preserve">a total </w:t>
      </w:r>
      <w:r w:rsidR="00E81450" w:rsidRPr="00E81450">
        <w:t xml:space="preserve">214 </w:t>
      </w:r>
      <w:r w:rsidR="00D80FEC">
        <w:t xml:space="preserve">public </w:t>
      </w:r>
      <w:r w:rsidR="00E81450" w:rsidRPr="00E81450">
        <w:t>waste tenders that were available in the 2007</w:t>
      </w:r>
      <w:r w:rsidR="00A9017D">
        <w:rPr>
          <w:rFonts w:cs="Arial"/>
        </w:rPr>
        <w:t>–</w:t>
      </w:r>
      <w:r w:rsidR="00E81450" w:rsidRPr="00E81450">
        <w:t xml:space="preserve">08 financial year. The company claimed the total value of the 214 tenders was approximately $157 million. </w:t>
      </w:r>
      <w:r w:rsidRPr="00E81450">
        <w:t>According to TPI</w:t>
      </w:r>
      <w:r w:rsidR="00E81450">
        <w:t>, 3</w:t>
      </w:r>
      <w:r w:rsidRPr="00E81450">
        <w:t xml:space="preserve">2 </w:t>
      </w:r>
      <w:r w:rsidR="00E81450" w:rsidRPr="00E81450">
        <w:t xml:space="preserve">of those 214 </w:t>
      </w:r>
      <w:r w:rsidRPr="00E81450">
        <w:t xml:space="preserve">tenders </w:t>
      </w:r>
      <w:r w:rsidR="00E81450" w:rsidRPr="00E81450">
        <w:t xml:space="preserve">were </w:t>
      </w:r>
      <w:r w:rsidRPr="00E81450">
        <w:t xml:space="preserve">for municipal </w:t>
      </w:r>
      <w:r w:rsidR="00E81450" w:rsidRPr="00E81450">
        <w:t xml:space="preserve">solid </w:t>
      </w:r>
      <w:r w:rsidRPr="00E81450">
        <w:t>waste, w</w:t>
      </w:r>
      <w:r w:rsidR="00E81450">
        <w:t xml:space="preserve">orth $62.8 million collectively. </w:t>
      </w:r>
      <w:r w:rsidRPr="00E81450">
        <w:t>It won 12 of those</w:t>
      </w:r>
      <w:r w:rsidR="00E81450" w:rsidRPr="00E81450">
        <w:t xml:space="preserve"> (</w:t>
      </w:r>
      <w:r w:rsidRPr="00E81450">
        <w:t>38% of the contracts,</w:t>
      </w:r>
      <w:r w:rsidR="00E81450" w:rsidRPr="00E81450">
        <w:t xml:space="preserve"> but representing 5</w:t>
      </w:r>
      <w:r w:rsidRPr="00E81450">
        <w:t>8% of the value</w:t>
      </w:r>
      <w:r w:rsidR="00E81450" w:rsidRPr="00E81450">
        <w:t>)</w:t>
      </w:r>
      <w:r w:rsidR="00143203">
        <w:rPr>
          <w:rStyle w:val="FootnoteReference"/>
        </w:rPr>
        <w:footnoteReference w:id="30"/>
      </w:r>
      <w:r w:rsidRPr="00E81450">
        <w:t>.</w:t>
      </w:r>
    </w:p>
    <w:p w:rsidR="00D80FEC" w:rsidRPr="00E81450" w:rsidRDefault="00D80FEC" w:rsidP="00EC22E1">
      <w:pPr>
        <w:pStyle w:val="ParaIndent"/>
        <w:jc w:val="both"/>
      </w:pPr>
      <w:r>
        <w:t xml:space="preserve">SITA </w:t>
      </w:r>
      <w:r w:rsidR="00B8099D">
        <w:t>Australia</w:t>
      </w:r>
      <w:r>
        <w:t>, which in 2010 acquired WSN Environmental Solutions from the NSW Government, claimed at the time of publication to hold 55 munici</w:t>
      </w:r>
      <w:r w:rsidR="00B8099D">
        <w:t>pal contracts across Australia.</w:t>
      </w:r>
    </w:p>
    <w:p w:rsidR="008D2EC5" w:rsidRDefault="008D2EC5" w:rsidP="00EC22E1">
      <w:pPr>
        <w:pStyle w:val="ParaIndent"/>
        <w:jc w:val="both"/>
      </w:pPr>
      <w:r>
        <w:t xml:space="preserve">The waste collection and transport segment of the industry is very competitive, with some very large operators and many small operators competing for local government </w:t>
      </w:r>
      <w:r w:rsidR="004E71DA">
        <w:t>contracts</w:t>
      </w:r>
      <w:r>
        <w:t xml:space="preserve">. The market is </w:t>
      </w:r>
      <w:r w:rsidR="00143203">
        <w:t>becoming increasing</w:t>
      </w:r>
      <w:r w:rsidR="004E71DA">
        <w:t>ly</w:t>
      </w:r>
      <w:r>
        <w:t xml:space="preserve"> concentrated in the segments of the industry </w:t>
      </w:r>
      <w:r w:rsidR="00F00A4A">
        <w:t xml:space="preserve">where there are higher barriers to entry, for example in developing landfill or recycling facilities that have </w:t>
      </w:r>
      <w:r w:rsidR="00B8099D">
        <w:t xml:space="preserve">complicated approvals processes and </w:t>
      </w:r>
      <w:r w:rsidR="00F00A4A">
        <w:t xml:space="preserve">high </w:t>
      </w:r>
      <w:r w:rsidR="00143203">
        <w:t xml:space="preserve">capital </w:t>
      </w:r>
      <w:r w:rsidR="00F00A4A">
        <w:t>establishment costs</w:t>
      </w:r>
      <w:r>
        <w:t>.</w:t>
      </w:r>
    </w:p>
    <w:p w:rsidR="008D2EC5" w:rsidRDefault="00F00A4A" w:rsidP="00EC22E1">
      <w:pPr>
        <w:pStyle w:val="ParaIndent"/>
        <w:jc w:val="both"/>
      </w:pPr>
      <w:r>
        <w:t>A national study of 126 operating MRFs</w:t>
      </w:r>
      <w:r w:rsidR="000C3056">
        <w:t>,</w:t>
      </w:r>
      <w:r>
        <w:t xml:space="preserve"> conducted </w:t>
      </w:r>
      <w:r w:rsidR="000C3056">
        <w:t xml:space="preserve">by market researcher </w:t>
      </w:r>
      <w:proofErr w:type="spellStart"/>
      <w:r w:rsidR="000C3056">
        <w:t>Synovate</w:t>
      </w:r>
      <w:proofErr w:type="spellEnd"/>
      <w:r w:rsidR="000C3056">
        <w:t xml:space="preserve"> </w:t>
      </w:r>
      <w:r>
        <w:t>in 2007 on behalf of the National Packaging Covenant Council</w:t>
      </w:r>
      <w:r w:rsidR="000C3056">
        <w:t>,</w:t>
      </w:r>
      <w:r>
        <w:t xml:space="preserve"> found 10 major companies with multiple MRF operations processed 85% of collected comingled recyclables (primarily from the domestic waste stream). Only a small number of councils operate </w:t>
      </w:r>
      <w:proofErr w:type="gramStart"/>
      <w:r>
        <w:t>their own</w:t>
      </w:r>
      <w:proofErr w:type="gramEnd"/>
      <w:r>
        <w:t xml:space="preserve"> MRF facilities in Australia.</w:t>
      </w:r>
    </w:p>
    <w:p w:rsidR="00031180" w:rsidRDefault="00031180" w:rsidP="00EC22E1">
      <w:pPr>
        <w:pStyle w:val="ParaIndent"/>
        <w:jc w:val="both"/>
      </w:pPr>
      <w:r>
        <w:t xml:space="preserve">A higher number of councils own and operate their own landfill facilities, which is in part due to the long service life of those facilities; landfills established by councils several decades ago may still have remaining capacity and continue to be operated by the council. </w:t>
      </w:r>
      <w:r w:rsidR="00280DA3">
        <w:t xml:space="preserve">It should also be noted that local governments will often have the required in-house skills to operate an existing landfill, </w:t>
      </w:r>
      <w:r w:rsidR="00280DA3">
        <w:lastRenderedPageBreak/>
        <w:t xml:space="preserve">although they may not have the required skills to operate a resource recovery facility or to design and construct a new landfill facility. </w:t>
      </w:r>
      <w:r>
        <w:t xml:space="preserve">There is a high involvement of private sector operators in establishing new landfills, especially high-capacity sites that may </w:t>
      </w:r>
      <w:r w:rsidR="00280DA3">
        <w:t xml:space="preserve">be designed to </w:t>
      </w:r>
      <w:r>
        <w:t xml:space="preserve">service multiple council contracts. </w:t>
      </w:r>
    </w:p>
    <w:p w:rsidR="00280DA3" w:rsidRDefault="00280DA3" w:rsidP="00EC22E1">
      <w:pPr>
        <w:pStyle w:val="ParaIndent"/>
        <w:jc w:val="both"/>
      </w:pPr>
      <w:r w:rsidRPr="00280DA3">
        <w:t>The Australian Landfill Owners Association (ALOA) is an incorporated entity comprising landfill owners across Australia.</w:t>
      </w:r>
      <w:r>
        <w:t xml:space="preserve"> </w:t>
      </w:r>
      <w:r w:rsidRPr="00280DA3">
        <w:t>Members of the Association</w:t>
      </w:r>
      <w:r>
        <w:t xml:space="preserve"> operate a large number of landfills, and claim to jointly </w:t>
      </w:r>
      <w:r w:rsidRPr="00280DA3">
        <w:t xml:space="preserve">receive and manage over </w:t>
      </w:r>
      <w:r>
        <w:t xml:space="preserve">70% </w:t>
      </w:r>
      <w:r w:rsidRPr="00280DA3">
        <w:t>of the total soli</w:t>
      </w:r>
      <w:r>
        <w:t xml:space="preserve">d waste generated in Australia. </w:t>
      </w:r>
    </w:p>
    <w:p w:rsidR="00280DA3" w:rsidRDefault="00280DA3" w:rsidP="00EC22E1">
      <w:pPr>
        <w:pStyle w:val="ParaIndent"/>
        <w:jc w:val="both"/>
      </w:pPr>
      <w:r>
        <w:t>As of August 2011, the ALOA website lists 28 members of which 18 are private companies and 10 are local government organisations. The private company ALOA members are:</w:t>
      </w:r>
    </w:p>
    <w:p w:rsidR="000C56AF" w:rsidRDefault="00280DA3" w:rsidP="00F61F6E">
      <w:pPr>
        <w:pStyle w:val="PointsBullets"/>
      </w:pPr>
      <w:r>
        <w:t>Alexandra Landfill Pty Ltd (Dial a Dump)</w:t>
      </w:r>
    </w:p>
    <w:p w:rsidR="000C56AF" w:rsidRDefault="00280DA3" w:rsidP="00F61F6E">
      <w:pPr>
        <w:pStyle w:val="PointsBullets"/>
      </w:pPr>
      <w:r>
        <w:t>Blacktown Waste Services Pty Ltd</w:t>
      </w:r>
    </w:p>
    <w:p w:rsidR="000C56AF" w:rsidRDefault="00280DA3" w:rsidP="00F61F6E">
      <w:pPr>
        <w:pStyle w:val="PointsBullets"/>
      </w:pPr>
      <w:r>
        <w:t>Boral Waste Solutions</w:t>
      </w:r>
    </w:p>
    <w:p w:rsidR="000C56AF" w:rsidRDefault="00280DA3" w:rsidP="00F61F6E">
      <w:pPr>
        <w:pStyle w:val="PointsBullets"/>
      </w:pPr>
      <w:proofErr w:type="spellStart"/>
      <w:r>
        <w:t>Brandown</w:t>
      </w:r>
      <w:proofErr w:type="spellEnd"/>
      <w:r>
        <w:t xml:space="preserve"> Pty Ltd</w:t>
      </w:r>
    </w:p>
    <w:p w:rsidR="000C56AF" w:rsidRDefault="00280DA3" w:rsidP="00F61F6E">
      <w:pPr>
        <w:pStyle w:val="PointsBullets"/>
      </w:pPr>
      <w:r>
        <w:t>Breen Holdings Pty Ltd T/A Kurnell Landfill Company</w:t>
      </w:r>
    </w:p>
    <w:p w:rsidR="000C56AF" w:rsidRDefault="00280DA3" w:rsidP="00F61F6E">
      <w:pPr>
        <w:pStyle w:val="PointsBullets"/>
      </w:pPr>
      <w:r>
        <w:t>Hanson Landfill Services</w:t>
      </w:r>
    </w:p>
    <w:p w:rsidR="000C56AF" w:rsidRDefault="00280DA3" w:rsidP="00F61F6E">
      <w:pPr>
        <w:pStyle w:val="PointsBullets"/>
      </w:pPr>
      <w:r>
        <w:t>Hi Quality Group</w:t>
      </w:r>
    </w:p>
    <w:p w:rsidR="000C56AF" w:rsidRDefault="00280DA3" w:rsidP="00F61F6E">
      <w:pPr>
        <w:pStyle w:val="PointsBullets"/>
      </w:pPr>
      <w:r>
        <w:t>Integrated Waste Services</w:t>
      </w:r>
    </w:p>
    <w:p w:rsidR="000C56AF" w:rsidRDefault="00280DA3" w:rsidP="00F61F6E">
      <w:pPr>
        <w:pStyle w:val="PointsBullets"/>
      </w:pPr>
      <w:r>
        <w:t>Lucas Waste Management Pty Ltd</w:t>
      </w:r>
    </w:p>
    <w:p w:rsidR="000C56AF" w:rsidRDefault="00280DA3" w:rsidP="00F61F6E">
      <w:pPr>
        <w:pStyle w:val="PointsBullets"/>
      </w:pPr>
      <w:proofErr w:type="spellStart"/>
      <w:r>
        <w:t>Maddingley</w:t>
      </w:r>
      <w:proofErr w:type="spellEnd"/>
      <w:r>
        <w:t xml:space="preserve"> Brown Coal P/L</w:t>
      </w:r>
    </w:p>
    <w:p w:rsidR="000C56AF" w:rsidRDefault="00280DA3" w:rsidP="00F61F6E">
      <w:pPr>
        <w:pStyle w:val="PointsBullets"/>
      </w:pPr>
      <w:proofErr w:type="spellStart"/>
      <w:r>
        <w:t>Sita</w:t>
      </w:r>
      <w:proofErr w:type="spellEnd"/>
      <w:r>
        <w:t xml:space="preserve"> Environmental Solutions</w:t>
      </w:r>
    </w:p>
    <w:p w:rsidR="000C56AF" w:rsidRDefault="00280DA3" w:rsidP="00F61F6E">
      <w:pPr>
        <w:pStyle w:val="PointsBullets"/>
      </w:pPr>
      <w:r>
        <w:t>Thiess Services Pty Ltd</w:t>
      </w:r>
    </w:p>
    <w:p w:rsidR="000C56AF" w:rsidRDefault="00280DA3" w:rsidP="00F61F6E">
      <w:pPr>
        <w:pStyle w:val="PointsBullets"/>
      </w:pPr>
      <w:r>
        <w:t>Ti Tree Bioenergy</w:t>
      </w:r>
    </w:p>
    <w:p w:rsidR="000C56AF" w:rsidRDefault="00280DA3" w:rsidP="00F61F6E">
      <w:pPr>
        <w:pStyle w:val="PointsBullets"/>
      </w:pPr>
      <w:r>
        <w:t>Transpacific Industries Group Limited</w:t>
      </w:r>
    </w:p>
    <w:p w:rsidR="000C56AF" w:rsidRDefault="00280DA3" w:rsidP="00F61F6E">
      <w:pPr>
        <w:pStyle w:val="PointsBullets"/>
      </w:pPr>
      <w:r>
        <w:t>Veolia Environmental Services</w:t>
      </w:r>
    </w:p>
    <w:p w:rsidR="000C56AF" w:rsidRDefault="00280DA3" w:rsidP="00F61F6E">
      <w:pPr>
        <w:pStyle w:val="PointsBullets"/>
      </w:pPr>
      <w:r>
        <w:t>Waste Assets Management Corporation</w:t>
      </w:r>
    </w:p>
    <w:p w:rsidR="000C56AF" w:rsidRDefault="00280DA3" w:rsidP="00F61F6E">
      <w:pPr>
        <w:pStyle w:val="PointsBullets"/>
      </w:pPr>
      <w:r>
        <w:t>West Australian Landfill Services</w:t>
      </w:r>
    </w:p>
    <w:p w:rsidR="000C56AF" w:rsidRDefault="00280DA3" w:rsidP="00F61F6E">
      <w:pPr>
        <w:pStyle w:val="PointsBullets"/>
      </w:pPr>
      <w:r>
        <w:t>Western Land Reclamation Pty Ltd</w:t>
      </w:r>
      <w:r w:rsidR="00A9017D">
        <w:t>.</w:t>
      </w:r>
    </w:p>
    <w:p w:rsidR="003E73DD" w:rsidRDefault="003E73DD" w:rsidP="00EC22E1">
      <w:pPr>
        <w:pStyle w:val="Heading2"/>
        <w:jc w:val="both"/>
      </w:pPr>
      <w:bookmarkStart w:id="146" w:name="_Toc307470475"/>
      <w:r>
        <w:t>ABS waste management data</w:t>
      </w:r>
      <w:bookmarkEnd w:id="146"/>
      <w:r>
        <w:t xml:space="preserve"> </w:t>
      </w:r>
    </w:p>
    <w:p w:rsidR="00180874" w:rsidRDefault="008C18BD" w:rsidP="00EC22E1">
      <w:pPr>
        <w:pStyle w:val="ParaIndent"/>
        <w:jc w:val="both"/>
      </w:pPr>
      <w:r>
        <w:t>The ABS release</w:t>
      </w:r>
      <w:r w:rsidR="0060300A">
        <w:t>d</w:t>
      </w:r>
      <w:r>
        <w:t xml:space="preserve"> </w:t>
      </w:r>
      <w:r w:rsidRPr="005238BF">
        <w:rPr>
          <w:i/>
        </w:rPr>
        <w:t>Waste Management Services, Australia, 2009-10</w:t>
      </w:r>
      <w:r>
        <w:rPr>
          <w:i/>
        </w:rPr>
        <w:t xml:space="preserve"> </w:t>
      </w:r>
      <w:r w:rsidRPr="008C18BD">
        <w:t>in June 2011</w:t>
      </w:r>
      <w:r w:rsidR="00180874">
        <w:t xml:space="preserve">. It presents estimates of the financial performance of waste management services organisations for 2009-10, as well as providing some information on waste facilities operated, waste activities undertaken, quantities of waste received and processed, and factors hampering resource recovery. Estimates </w:t>
      </w:r>
      <w:r w:rsidR="005C0725">
        <w:t xml:space="preserve">are based on </w:t>
      </w:r>
      <w:r w:rsidR="00180874">
        <w:t>directly collected data from the Waste Management Services Survey, comprising the Economic Activity Survey (EAS) and Local Government Survey</w:t>
      </w:r>
      <w:r w:rsidR="00180874" w:rsidRPr="00180874">
        <w:rPr>
          <w:rStyle w:val="FootnoteReference"/>
        </w:rPr>
        <w:t xml:space="preserve"> </w:t>
      </w:r>
      <w:r w:rsidR="00180874">
        <w:rPr>
          <w:rStyle w:val="FootnoteReference"/>
        </w:rPr>
        <w:footnoteReference w:id="31"/>
      </w:r>
      <w:r w:rsidR="00180874">
        <w:t>.</w:t>
      </w:r>
    </w:p>
    <w:p w:rsidR="0060300A" w:rsidRDefault="00180874" w:rsidP="00EC22E1">
      <w:pPr>
        <w:pStyle w:val="ParaIndent"/>
        <w:jc w:val="both"/>
      </w:pPr>
      <w:r>
        <w:t xml:space="preserve">Based on the ABS </w:t>
      </w:r>
      <w:r w:rsidR="008F298D">
        <w:t>methodology</w:t>
      </w:r>
      <w:r w:rsidR="0060300A">
        <w:t>,</w:t>
      </w:r>
      <w:r w:rsidR="008C18BD">
        <w:t xml:space="preserve"> </w:t>
      </w:r>
      <w:r w:rsidR="008F298D">
        <w:t xml:space="preserve">an estimated </w:t>
      </w:r>
      <w:r w:rsidR="005238BF">
        <w:t xml:space="preserve">2,667 organisations </w:t>
      </w:r>
      <w:r w:rsidR="008F298D">
        <w:t xml:space="preserve">were </w:t>
      </w:r>
      <w:r w:rsidR="005238BF">
        <w:t>involved in the provision of waste management services</w:t>
      </w:r>
      <w:r w:rsidR="008C18BD">
        <w:t xml:space="preserve"> in Australia</w:t>
      </w:r>
      <w:r w:rsidR="008F298D" w:rsidRPr="008F298D">
        <w:t xml:space="preserve"> </w:t>
      </w:r>
      <w:r w:rsidR="008F298D">
        <w:t>at the end of June 2010,</w:t>
      </w:r>
      <w:r w:rsidR="0060300A">
        <w:t xml:space="preserve"> with 2</w:t>
      </w:r>
      <w:r w:rsidR="000C3056">
        <w:t>,</w:t>
      </w:r>
      <w:r w:rsidR="0060300A">
        <w:t xml:space="preserve">120 of </w:t>
      </w:r>
      <w:r w:rsidR="0060300A">
        <w:lastRenderedPageBreak/>
        <w:t xml:space="preserve">those (79%) </w:t>
      </w:r>
      <w:r>
        <w:t xml:space="preserve">being </w:t>
      </w:r>
      <w:r w:rsidR="0060300A">
        <w:t>private and public trading sector</w:t>
      </w:r>
      <w:r>
        <w:t xml:space="preserve"> businesses </w:t>
      </w:r>
      <w:r w:rsidR="0060300A">
        <w:t>classified to the waste collection, treatment and disposal services industry.</w:t>
      </w:r>
    </w:p>
    <w:p w:rsidR="00D72F75" w:rsidRDefault="0060300A" w:rsidP="00EC22E1">
      <w:pPr>
        <w:pStyle w:val="ParaIndent"/>
        <w:jc w:val="both"/>
      </w:pPr>
      <w:r>
        <w:t xml:space="preserve">The ABS </w:t>
      </w:r>
      <w:r w:rsidR="006D55B2">
        <w:t>found</w:t>
      </w:r>
      <w:r>
        <w:t xml:space="preserve"> total employment of 32,737 across the </w:t>
      </w:r>
      <w:r w:rsidR="00441892">
        <w:t xml:space="preserve">entire </w:t>
      </w:r>
      <w:r>
        <w:t xml:space="preserve">waste management </w:t>
      </w:r>
      <w:r w:rsidR="00180874">
        <w:t>services industry</w:t>
      </w:r>
      <w:r w:rsidR="00441892">
        <w:rPr>
          <w:rStyle w:val="FootnoteReference"/>
        </w:rPr>
        <w:footnoteReference w:id="32"/>
      </w:r>
      <w:r w:rsidR="00C324B3">
        <w:t>,</w:t>
      </w:r>
      <w:r w:rsidR="00180874">
        <w:t xml:space="preserve"> with </w:t>
      </w:r>
      <w:r>
        <w:t xml:space="preserve">26,812 people </w:t>
      </w:r>
      <w:r w:rsidR="00180874">
        <w:t xml:space="preserve">(82%) </w:t>
      </w:r>
      <w:r>
        <w:t>employed by private and public trading sector businesses</w:t>
      </w:r>
      <w:r w:rsidR="00180874">
        <w:t>.</w:t>
      </w:r>
      <w:r w:rsidR="008F298D">
        <w:t xml:space="preserve"> Total income for those businesses is estimated at $8.596 billion for the year ended June 2010.</w:t>
      </w:r>
      <w:r w:rsidR="00C324B3">
        <w:t xml:space="preserve"> </w:t>
      </w:r>
    </w:p>
    <w:p w:rsidR="00143203" w:rsidRDefault="00143203" w:rsidP="00EC22E1">
      <w:pPr>
        <w:pStyle w:val="ParaIndent"/>
        <w:jc w:val="both"/>
      </w:pPr>
      <w:r>
        <w:t>The previous ABS</w:t>
      </w:r>
      <w:r w:rsidR="00552679">
        <w:t xml:space="preserve"> data release</w:t>
      </w:r>
      <w:r w:rsidR="00552679">
        <w:rPr>
          <w:rStyle w:val="FootnoteReference"/>
        </w:rPr>
        <w:footnoteReference w:id="33"/>
      </w:r>
      <w:r w:rsidR="00552679">
        <w:t xml:space="preserve"> </w:t>
      </w:r>
      <w:r>
        <w:t>found that, a</w:t>
      </w:r>
      <w:r>
        <w:rPr>
          <w:rFonts w:cs="Arial"/>
        </w:rPr>
        <w:t xml:space="preserve">t the end of June 2003, waste management businesses within the private and public trading sector had employment of 14,386 persons. This suggests there has been </w:t>
      </w:r>
      <w:r w:rsidR="00552679">
        <w:rPr>
          <w:rFonts w:cs="Arial"/>
        </w:rPr>
        <w:t xml:space="preserve">a 9.3% per annum </w:t>
      </w:r>
      <w:r w:rsidR="004A786D">
        <w:rPr>
          <w:rFonts w:cs="Arial"/>
        </w:rPr>
        <w:t>increase in private sector employment o</w:t>
      </w:r>
      <w:r w:rsidR="00552679">
        <w:rPr>
          <w:rFonts w:cs="Arial"/>
        </w:rPr>
        <w:t>ver the seven year period between 2003 and 2010.</w:t>
      </w:r>
    </w:p>
    <w:p w:rsidR="00D72F75" w:rsidRDefault="00441892" w:rsidP="00EC22E1">
      <w:pPr>
        <w:pStyle w:val="ParaIndent"/>
        <w:jc w:val="both"/>
      </w:pPr>
      <w:r>
        <w:t xml:space="preserve">The ABS </w:t>
      </w:r>
      <w:r w:rsidR="005C0725">
        <w:t>found</w:t>
      </w:r>
      <w:r>
        <w:t xml:space="preserve"> the domestic and municipal waste stream contribute</w:t>
      </w:r>
      <w:r w:rsidR="009C7DFD">
        <w:t>d</w:t>
      </w:r>
      <w:r>
        <w:t xml:space="preserve"> 27.3% to the overall income from waste services</w:t>
      </w:r>
      <w:r w:rsidR="00552679">
        <w:t xml:space="preserve"> in 2010</w:t>
      </w:r>
      <w:r>
        <w:t xml:space="preserve">, with the commercial and industrial waste stream contributing 61.4% and the construction and demolition waste stream 10.5%. On this basis, the total income for private and public trading sector businesses derived from the </w:t>
      </w:r>
      <w:r w:rsidR="00CE43CD">
        <w:t xml:space="preserve">domestic and </w:t>
      </w:r>
      <w:r>
        <w:t>municipal</w:t>
      </w:r>
      <w:r w:rsidR="00CE43CD">
        <w:t xml:space="preserve"> waste stream can be estimated as $2.347 billion.</w:t>
      </w:r>
      <w:r>
        <w:t xml:space="preserve"> </w:t>
      </w:r>
    </w:p>
    <w:p w:rsidR="0060300A" w:rsidRDefault="00D72F75" w:rsidP="00EC22E1">
      <w:pPr>
        <w:pStyle w:val="ParaIndent"/>
        <w:jc w:val="both"/>
      </w:pPr>
      <w:r>
        <w:t>A summary of</w:t>
      </w:r>
      <w:r w:rsidR="009C7DFD">
        <w:t xml:space="preserve"> waste management service</w:t>
      </w:r>
      <w:r>
        <w:t xml:space="preserve"> operations, based on the latest </w:t>
      </w:r>
      <w:r w:rsidR="00C324B3">
        <w:t xml:space="preserve">ABS </w:t>
      </w:r>
      <w:r>
        <w:t>publication</w:t>
      </w:r>
      <w:r w:rsidR="00CE43CD">
        <w:t xml:space="preserve"> across all waste streams</w:t>
      </w:r>
      <w:r>
        <w:t>, is displayed</w:t>
      </w:r>
      <w:r w:rsidR="00C324B3">
        <w:t xml:space="preserve"> in </w:t>
      </w:r>
      <w:fldSimple w:instr=" REF _Ref300211634 \h  \* MERGEFORMAT ">
        <w:r w:rsidR="00166111" w:rsidRPr="006226B1">
          <w:rPr>
            <w:lang w:eastAsia="en-AU"/>
          </w:rPr>
          <w:t xml:space="preserve">Table </w:t>
        </w:r>
        <w:r w:rsidR="00166111">
          <w:rPr>
            <w:noProof/>
            <w:lang w:eastAsia="en-AU"/>
          </w:rPr>
          <w:t>15</w:t>
        </w:r>
        <w:r w:rsidR="00166111" w:rsidRPr="006226B1">
          <w:rPr>
            <w:noProof/>
            <w:lang w:eastAsia="en-AU"/>
          </w:rPr>
          <w:t>-</w:t>
        </w:r>
        <w:r w:rsidR="00166111">
          <w:rPr>
            <w:noProof/>
            <w:lang w:eastAsia="en-AU"/>
          </w:rPr>
          <w:t>42</w:t>
        </w:r>
      </w:fldSimple>
      <w:r w:rsidR="00C324B3">
        <w:t>.</w:t>
      </w:r>
      <w:r>
        <w:t xml:space="preserve"> </w:t>
      </w:r>
      <w:r w:rsidR="009C7DFD">
        <w:t>While not specific to the municipal waste stream</w:t>
      </w:r>
      <w:r w:rsidR="005C0725">
        <w:t xml:space="preserve">, which </w:t>
      </w:r>
      <w:r w:rsidR="009C7DFD">
        <w:t>is of primary relevance to local government, t</w:t>
      </w:r>
      <w:r w:rsidR="00FC2B4C">
        <w:t xml:space="preserve">he ABS data </w:t>
      </w:r>
      <w:r>
        <w:t>highlights the scale of private sector involvement in the management of waste</w:t>
      </w:r>
      <w:r w:rsidR="00CE43CD">
        <w:t xml:space="preserve"> and recycli</w:t>
      </w:r>
      <w:r w:rsidR="005C0725">
        <w:t>ng in Australia. Further detail</w:t>
      </w:r>
      <w:r w:rsidR="00CE43CD">
        <w:t xml:space="preserve"> regarding specific areas of interaction between local government and private sector operators is provided in the following sections of this report.</w:t>
      </w:r>
    </w:p>
    <w:p w:rsidR="00CE43CD" w:rsidRDefault="00CE43CD">
      <w:pPr>
        <w:spacing w:after="0" w:line="240" w:lineRule="auto"/>
        <w:ind w:left="0"/>
      </w:pPr>
      <w:r>
        <w:br w:type="page"/>
      </w:r>
    </w:p>
    <w:p w:rsidR="00C324B3" w:rsidRDefault="00C324B3" w:rsidP="00C324B3">
      <w:pPr>
        <w:pStyle w:val="Caption"/>
      </w:pPr>
      <w:bookmarkStart w:id="147" w:name="_Ref300211634"/>
      <w:r w:rsidRPr="006226B1">
        <w:rPr>
          <w:lang w:eastAsia="en-AU"/>
        </w:rPr>
        <w:lastRenderedPageBreak/>
        <w:t xml:space="preserve">Table </w:t>
      </w:r>
      <w:r w:rsidR="00ED6CA0" w:rsidRPr="006226B1">
        <w:rPr>
          <w:lang w:eastAsia="en-AU"/>
        </w:rPr>
        <w:fldChar w:fldCharType="begin"/>
      </w:r>
      <w:r w:rsidRPr="006226B1">
        <w:rPr>
          <w:lang w:eastAsia="en-AU"/>
        </w:rPr>
        <w:instrText xml:space="preserve"> STYLEREF "_Heading1" \n </w:instrText>
      </w:r>
      <w:r w:rsidR="00ED6CA0" w:rsidRPr="006226B1">
        <w:rPr>
          <w:lang w:eastAsia="en-AU"/>
        </w:rPr>
        <w:fldChar w:fldCharType="separate"/>
      </w:r>
      <w:r w:rsidR="00166111">
        <w:rPr>
          <w:noProof/>
          <w:lang w:eastAsia="en-AU"/>
        </w:rPr>
        <w:t>15</w:t>
      </w:r>
      <w:r w:rsidR="00ED6CA0" w:rsidRPr="006226B1">
        <w:rPr>
          <w:lang w:eastAsia="en-AU"/>
        </w:rPr>
        <w:fldChar w:fldCharType="end"/>
      </w:r>
      <w:r w:rsidRPr="006226B1">
        <w:rPr>
          <w:lang w:eastAsia="en-AU"/>
        </w:rPr>
        <w:t>-</w:t>
      </w:r>
      <w:r w:rsidR="00ED6CA0">
        <w:rPr>
          <w:lang w:eastAsia="en-AU"/>
        </w:rPr>
        <w:fldChar w:fldCharType="begin"/>
      </w:r>
      <w:r>
        <w:rPr>
          <w:lang w:eastAsia="en-AU"/>
        </w:rPr>
        <w:instrText xml:space="preserve"> SEQ Table \* Arabic </w:instrText>
      </w:r>
      <w:r w:rsidR="00ED6CA0">
        <w:rPr>
          <w:lang w:eastAsia="en-AU"/>
        </w:rPr>
        <w:fldChar w:fldCharType="separate"/>
      </w:r>
      <w:r w:rsidR="00166111">
        <w:rPr>
          <w:noProof/>
          <w:lang w:eastAsia="en-AU"/>
        </w:rPr>
        <w:t>42</w:t>
      </w:r>
      <w:r w:rsidR="00ED6CA0">
        <w:rPr>
          <w:lang w:eastAsia="en-AU"/>
        </w:rPr>
        <w:fldChar w:fldCharType="end"/>
      </w:r>
      <w:bookmarkEnd w:id="147"/>
      <w:r w:rsidRPr="006226B1">
        <w:rPr>
          <w:lang w:eastAsia="en-AU"/>
        </w:rPr>
        <w:tab/>
      </w:r>
      <w:r>
        <w:rPr>
          <w:lang w:eastAsia="en-AU"/>
        </w:rPr>
        <w:t xml:space="preserve">Summary </w:t>
      </w:r>
      <w:r w:rsidR="00D72F75">
        <w:rPr>
          <w:lang w:eastAsia="en-AU"/>
        </w:rPr>
        <w:t>of the Australian waste management services industry</w:t>
      </w:r>
      <w:r>
        <w:rPr>
          <w:lang w:eastAsia="en-AU"/>
        </w:rPr>
        <w:t xml:space="preserve"> for the year ended June 2010 (</w:t>
      </w:r>
      <w:r w:rsidRPr="00C324B3">
        <w:rPr>
          <w:lang w:eastAsia="en-AU"/>
        </w:rPr>
        <w:t>ABS,</w:t>
      </w:r>
      <w:r w:rsidRPr="00C324B3">
        <w:rPr>
          <w:i/>
          <w:lang w:eastAsia="en-AU"/>
        </w:rPr>
        <w:t xml:space="preserve"> Waste Management Services, Australia, 2009</w:t>
      </w:r>
      <w:r w:rsidR="00A9017D">
        <w:rPr>
          <w:rFonts w:cs="Arial"/>
        </w:rPr>
        <w:t>–</w:t>
      </w:r>
      <w:r w:rsidRPr="00C324B3">
        <w:rPr>
          <w:i/>
          <w:lang w:eastAsia="en-AU"/>
        </w:rPr>
        <w:t>10</w:t>
      </w:r>
      <w:r>
        <w:rPr>
          <w:lang w:eastAsia="en-AU"/>
        </w:rPr>
        <w:t>)</w:t>
      </w:r>
    </w:p>
    <w:tbl>
      <w:tblPr>
        <w:tblW w:w="4853" w:type="pct"/>
        <w:tblBorders>
          <w:bottom w:val="single" w:sz="18" w:space="0" w:color="808080"/>
          <w:insideH w:val="single" w:sz="4" w:space="0" w:color="808080"/>
        </w:tblBorders>
        <w:tblLayout w:type="fixed"/>
        <w:tblCellMar>
          <w:left w:w="0" w:type="dxa"/>
          <w:right w:w="0" w:type="dxa"/>
        </w:tblCellMar>
        <w:tblLook w:val="04A0"/>
      </w:tblPr>
      <w:tblGrid>
        <w:gridCol w:w="3898"/>
        <w:gridCol w:w="642"/>
        <w:gridCol w:w="1276"/>
        <w:gridCol w:w="1274"/>
        <w:gridCol w:w="994"/>
        <w:gridCol w:w="1272"/>
      </w:tblGrid>
      <w:tr w:rsidR="00031180" w:rsidRPr="008F298D" w:rsidTr="00031180">
        <w:trPr>
          <w:trHeight w:val="255"/>
        </w:trPr>
        <w:tc>
          <w:tcPr>
            <w:tcW w:w="2083" w:type="pct"/>
            <w:shd w:val="clear" w:color="auto" w:fill="auto"/>
            <w:vAlign w:val="bottom"/>
            <w:hideMark/>
          </w:tcPr>
          <w:p w:rsidR="00031180" w:rsidRPr="008F298D" w:rsidRDefault="00031180" w:rsidP="00D72F75">
            <w:pPr>
              <w:pStyle w:val="TableHeading"/>
              <w:rPr>
                <w:lang w:eastAsia="en-AU"/>
              </w:rPr>
            </w:pPr>
          </w:p>
        </w:tc>
        <w:tc>
          <w:tcPr>
            <w:tcW w:w="343" w:type="pct"/>
            <w:shd w:val="clear" w:color="auto" w:fill="auto"/>
            <w:noWrap/>
            <w:vAlign w:val="bottom"/>
            <w:hideMark/>
          </w:tcPr>
          <w:p w:rsidR="00031180" w:rsidRPr="008F298D" w:rsidRDefault="00031180" w:rsidP="00D72F75">
            <w:pPr>
              <w:pStyle w:val="TableHeading"/>
              <w:rPr>
                <w:lang w:eastAsia="en-AU"/>
              </w:rPr>
            </w:pPr>
            <w:r>
              <w:rPr>
                <w:lang w:eastAsia="en-AU"/>
              </w:rPr>
              <w:t>Units</w:t>
            </w:r>
          </w:p>
        </w:tc>
        <w:tc>
          <w:tcPr>
            <w:tcW w:w="682" w:type="pct"/>
            <w:shd w:val="clear" w:color="auto" w:fill="auto"/>
            <w:noWrap/>
            <w:vAlign w:val="bottom"/>
            <w:hideMark/>
          </w:tcPr>
          <w:p w:rsidR="00031180" w:rsidRPr="008F298D" w:rsidRDefault="00031180" w:rsidP="00D72F75">
            <w:pPr>
              <w:pStyle w:val="TableHeading"/>
              <w:rPr>
                <w:lang w:eastAsia="en-AU"/>
              </w:rPr>
            </w:pPr>
            <w:r>
              <w:rPr>
                <w:lang w:eastAsia="en-AU"/>
              </w:rPr>
              <w:t>Private and public trading sector</w:t>
            </w:r>
          </w:p>
        </w:tc>
        <w:tc>
          <w:tcPr>
            <w:tcW w:w="681" w:type="pct"/>
            <w:shd w:val="clear" w:color="auto" w:fill="auto"/>
            <w:vAlign w:val="bottom"/>
          </w:tcPr>
          <w:p w:rsidR="00031180" w:rsidRPr="002F4DF3" w:rsidRDefault="00031180" w:rsidP="00D72F75">
            <w:pPr>
              <w:pStyle w:val="TableHeading"/>
              <w:rPr>
                <w:lang w:eastAsia="en-AU"/>
              </w:rPr>
            </w:pPr>
            <w:r>
              <w:rPr>
                <w:lang w:eastAsia="en-AU"/>
              </w:rPr>
              <w:t>General government sector</w:t>
            </w:r>
          </w:p>
        </w:tc>
        <w:tc>
          <w:tcPr>
            <w:tcW w:w="531" w:type="pct"/>
            <w:shd w:val="clear" w:color="auto" w:fill="auto"/>
            <w:vAlign w:val="bottom"/>
          </w:tcPr>
          <w:p w:rsidR="00031180" w:rsidRDefault="00031180" w:rsidP="00D72F75">
            <w:pPr>
              <w:pStyle w:val="TableHeading"/>
              <w:rPr>
                <w:rFonts w:ascii="Calibri" w:hAnsi="Calibri"/>
                <w:color w:val="000000"/>
                <w:sz w:val="22"/>
                <w:szCs w:val="22"/>
              </w:rPr>
            </w:pPr>
            <w:r w:rsidRPr="00D72F75">
              <w:rPr>
                <w:lang w:eastAsia="en-AU"/>
              </w:rPr>
              <w:t>Total</w:t>
            </w:r>
          </w:p>
        </w:tc>
        <w:tc>
          <w:tcPr>
            <w:tcW w:w="681" w:type="pct"/>
          </w:tcPr>
          <w:p w:rsidR="00031180" w:rsidRPr="00D72F75" w:rsidRDefault="00031180" w:rsidP="00D72F75">
            <w:pPr>
              <w:pStyle w:val="TableHeading"/>
              <w:rPr>
                <w:lang w:eastAsia="en-AU"/>
              </w:rPr>
            </w:pPr>
            <w:r>
              <w:rPr>
                <w:lang w:eastAsia="en-AU"/>
              </w:rPr>
              <w:t>% by private and public trading sector</w:t>
            </w:r>
          </w:p>
        </w:tc>
      </w:tr>
      <w:tr w:rsidR="00031180" w:rsidRPr="008F298D"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Businesses at end June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no.</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2,120</w:t>
            </w:r>
          </w:p>
        </w:tc>
        <w:tc>
          <w:tcPr>
            <w:tcW w:w="681" w:type="pct"/>
            <w:shd w:val="clear" w:color="auto" w:fill="auto"/>
            <w:vAlign w:val="bottom"/>
          </w:tcPr>
          <w:p w:rsidR="00031180" w:rsidRDefault="00031180" w:rsidP="00D72F75">
            <w:pPr>
              <w:pStyle w:val="TableText"/>
              <w:rPr>
                <w:rFonts w:cs="Arial"/>
                <w:sz w:val="16"/>
                <w:szCs w:val="16"/>
              </w:rPr>
            </w:pPr>
            <w:r w:rsidRPr="002F4DF3">
              <w:rPr>
                <w:lang w:eastAsia="en-AU"/>
              </w:rPr>
              <w:t>547</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2,667</w:t>
            </w:r>
          </w:p>
        </w:tc>
        <w:tc>
          <w:tcPr>
            <w:tcW w:w="681" w:type="pct"/>
            <w:vAlign w:val="bottom"/>
          </w:tcPr>
          <w:p w:rsidR="00031180" w:rsidRPr="00D72F75" w:rsidRDefault="00031180" w:rsidP="00D72F75">
            <w:pPr>
              <w:pStyle w:val="TableText"/>
              <w:rPr>
                <w:lang w:eastAsia="en-AU"/>
              </w:rPr>
            </w:pPr>
            <w:r w:rsidRPr="00031180">
              <w:rPr>
                <w:lang w:eastAsia="en-AU"/>
              </w:rPr>
              <w:t>79%</w:t>
            </w:r>
          </w:p>
        </w:tc>
      </w:tr>
      <w:tr w:rsidR="00031180" w:rsidRPr="008F298D" w:rsidTr="00031180">
        <w:trPr>
          <w:trHeight w:val="372"/>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Employment at end June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no.</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26,812</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5,925</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32,737</w:t>
            </w:r>
          </w:p>
        </w:tc>
        <w:tc>
          <w:tcPr>
            <w:tcW w:w="681" w:type="pct"/>
            <w:vAlign w:val="bottom"/>
          </w:tcPr>
          <w:p w:rsidR="00031180" w:rsidRPr="00D72F75" w:rsidRDefault="00031180" w:rsidP="00D72F75">
            <w:pPr>
              <w:pStyle w:val="TableText"/>
              <w:rPr>
                <w:lang w:eastAsia="en-AU"/>
              </w:rPr>
            </w:pPr>
            <w:r w:rsidRPr="00031180">
              <w:rPr>
                <w:lang w:eastAsia="en-AU"/>
              </w:rPr>
              <w:t>82%</w:t>
            </w:r>
          </w:p>
        </w:tc>
      </w:tr>
      <w:tr w:rsidR="00031180" w:rsidRPr="002F4DF3" w:rsidTr="00031180">
        <w:trPr>
          <w:trHeight w:val="372"/>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Owner/drivers on contract</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no.</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943</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739</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1,682</w:t>
            </w:r>
          </w:p>
        </w:tc>
        <w:tc>
          <w:tcPr>
            <w:tcW w:w="681" w:type="pct"/>
            <w:vAlign w:val="bottom"/>
          </w:tcPr>
          <w:p w:rsidR="00031180" w:rsidRPr="00D72F75" w:rsidRDefault="00031180" w:rsidP="00D72F75">
            <w:pPr>
              <w:pStyle w:val="TableText"/>
              <w:rPr>
                <w:lang w:eastAsia="en-AU"/>
              </w:rPr>
            </w:pPr>
            <w:r w:rsidRPr="00031180">
              <w:rPr>
                <w:lang w:eastAsia="en-AU"/>
              </w:rPr>
              <w:t>56%</w:t>
            </w:r>
          </w:p>
        </w:tc>
      </w:tr>
      <w:tr w:rsidR="00031180" w:rsidRPr="008F298D" w:rsidTr="00031180">
        <w:trPr>
          <w:trHeight w:val="255"/>
        </w:trPr>
        <w:tc>
          <w:tcPr>
            <w:tcW w:w="2083" w:type="pct"/>
            <w:shd w:val="clear" w:color="auto" w:fill="auto"/>
            <w:vAlign w:val="bottom"/>
            <w:hideMark/>
          </w:tcPr>
          <w:p w:rsidR="00031180" w:rsidRPr="00C324B3" w:rsidRDefault="00031180" w:rsidP="00D72F75">
            <w:pPr>
              <w:pStyle w:val="TableText"/>
              <w:rPr>
                <w:b/>
                <w:lang w:eastAsia="en-AU"/>
              </w:rPr>
            </w:pPr>
            <w:r w:rsidRPr="00C324B3">
              <w:rPr>
                <w:b/>
                <w:lang w:eastAsia="en-AU"/>
              </w:rPr>
              <w:t>Income</w:t>
            </w:r>
          </w:p>
        </w:tc>
        <w:tc>
          <w:tcPr>
            <w:tcW w:w="343" w:type="pct"/>
            <w:shd w:val="clear" w:color="auto" w:fill="auto"/>
            <w:noWrap/>
            <w:vAlign w:val="bottom"/>
            <w:hideMark/>
          </w:tcPr>
          <w:p w:rsidR="00031180" w:rsidRPr="008F298D" w:rsidRDefault="00031180" w:rsidP="00D72F75">
            <w:pPr>
              <w:pStyle w:val="TableText"/>
              <w:rPr>
                <w:lang w:eastAsia="en-AU"/>
              </w:rPr>
            </w:pPr>
          </w:p>
        </w:tc>
        <w:tc>
          <w:tcPr>
            <w:tcW w:w="682" w:type="pct"/>
            <w:shd w:val="clear" w:color="auto" w:fill="auto"/>
            <w:noWrap/>
            <w:vAlign w:val="bottom"/>
            <w:hideMark/>
          </w:tcPr>
          <w:p w:rsidR="00031180" w:rsidRPr="008F298D" w:rsidRDefault="00031180" w:rsidP="00D72F75">
            <w:pPr>
              <w:pStyle w:val="TableText"/>
              <w:rPr>
                <w:lang w:eastAsia="en-AU"/>
              </w:rPr>
            </w:pPr>
          </w:p>
        </w:tc>
        <w:tc>
          <w:tcPr>
            <w:tcW w:w="681" w:type="pct"/>
            <w:shd w:val="clear" w:color="auto" w:fill="auto"/>
            <w:vAlign w:val="bottom"/>
          </w:tcPr>
          <w:p w:rsidR="00031180" w:rsidRPr="002F4DF3" w:rsidRDefault="00031180" w:rsidP="00D72F75">
            <w:pPr>
              <w:pStyle w:val="TableText"/>
              <w:rPr>
                <w:lang w:eastAsia="en-AU"/>
              </w:rPr>
            </w:pP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0</w:t>
            </w:r>
          </w:p>
        </w:tc>
        <w:tc>
          <w:tcPr>
            <w:tcW w:w="681" w:type="pct"/>
            <w:vAlign w:val="bottom"/>
          </w:tcPr>
          <w:p w:rsidR="00031180" w:rsidRPr="00D72F75" w:rsidRDefault="00031180" w:rsidP="00D72F75">
            <w:pPr>
              <w:pStyle w:val="TableText"/>
              <w:rPr>
                <w:lang w:eastAsia="en-AU"/>
              </w:rPr>
            </w:pPr>
          </w:p>
        </w:tc>
      </w:tr>
      <w:tr w:rsidR="00031180" w:rsidRPr="008F298D"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Income from waste services</w:t>
            </w:r>
          </w:p>
        </w:tc>
        <w:tc>
          <w:tcPr>
            <w:tcW w:w="343" w:type="pct"/>
            <w:shd w:val="clear" w:color="auto" w:fill="auto"/>
            <w:noWrap/>
            <w:vAlign w:val="bottom"/>
            <w:hideMark/>
          </w:tcPr>
          <w:p w:rsidR="00031180" w:rsidRPr="008F298D" w:rsidRDefault="00031180" w:rsidP="00D72F75">
            <w:pPr>
              <w:pStyle w:val="TableText"/>
              <w:rPr>
                <w:lang w:eastAsia="en-AU"/>
              </w:rPr>
            </w:pPr>
          </w:p>
        </w:tc>
        <w:tc>
          <w:tcPr>
            <w:tcW w:w="682" w:type="pct"/>
            <w:shd w:val="clear" w:color="auto" w:fill="auto"/>
            <w:noWrap/>
            <w:vAlign w:val="bottom"/>
            <w:hideMark/>
          </w:tcPr>
          <w:p w:rsidR="00031180" w:rsidRPr="008F298D" w:rsidRDefault="00031180" w:rsidP="00D72F75">
            <w:pPr>
              <w:pStyle w:val="TableText"/>
              <w:rPr>
                <w:lang w:eastAsia="en-AU"/>
              </w:rPr>
            </w:pPr>
          </w:p>
        </w:tc>
        <w:tc>
          <w:tcPr>
            <w:tcW w:w="681" w:type="pct"/>
            <w:shd w:val="clear" w:color="auto" w:fill="auto"/>
            <w:vAlign w:val="bottom"/>
          </w:tcPr>
          <w:p w:rsidR="00031180" w:rsidRPr="002F4DF3" w:rsidRDefault="00031180" w:rsidP="00D72F75">
            <w:pPr>
              <w:pStyle w:val="TableText"/>
              <w:rPr>
                <w:lang w:eastAsia="en-AU"/>
              </w:rPr>
            </w:pP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0</w:t>
            </w:r>
          </w:p>
        </w:tc>
        <w:tc>
          <w:tcPr>
            <w:tcW w:w="681" w:type="pct"/>
            <w:vAlign w:val="bottom"/>
          </w:tcPr>
          <w:p w:rsidR="00031180" w:rsidRPr="00D72F75" w:rsidRDefault="00031180" w:rsidP="00D72F75">
            <w:pPr>
              <w:pStyle w:val="TableText"/>
              <w:rPr>
                <w:lang w:eastAsia="en-AU"/>
              </w:rPr>
            </w:pP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Recyclables (including green waste)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832.1</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81.3</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913</w:t>
            </w:r>
          </w:p>
        </w:tc>
        <w:tc>
          <w:tcPr>
            <w:tcW w:w="681" w:type="pct"/>
            <w:vAlign w:val="bottom"/>
          </w:tcPr>
          <w:p w:rsidR="00031180" w:rsidRPr="00D72F75" w:rsidRDefault="00031180" w:rsidP="00D72F75">
            <w:pPr>
              <w:pStyle w:val="TableText"/>
              <w:rPr>
                <w:lang w:eastAsia="en-AU"/>
              </w:rPr>
            </w:pPr>
            <w:r w:rsidRPr="00031180">
              <w:rPr>
                <w:lang w:eastAsia="en-AU"/>
              </w:rPr>
              <w:t>91%</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Non-recyclable waste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4,317.0</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425.4</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4,742</w:t>
            </w:r>
          </w:p>
        </w:tc>
        <w:tc>
          <w:tcPr>
            <w:tcW w:w="681" w:type="pct"/>
            <w:vAlign w:val="bottom"/>
          </w:tcPr>
          <w:p w:rsidR="00031180" w:rsidRPr="00D72F75" w:rsidRDefault="00031180" w:rsidP="00D72F75">
            <w:pPr>
              <w:pStyle w:val="TableText"/>
              <w:rPr>
                <w:lang w:eastAsia="en-AU"/>
              </w:rPr>
            </w:pPr>
            <w:r w:rsidRPr="00031180">
              <w:rPr>
                <w:lang w:eastAsia="en-AU"/>
              </w:rPr>
              <w:t>91%</w:t>
            </w:r>
          </w:p>
        </w:tc>
      </w:tr>
      <w:tr w:rsidR="00031180" w:rsidRPr="002F4DF3" w:rsidTr="00031180">
        <w:trPr>
          <w:trHeight w:val="372"/>
        </w:trPr>
        <w:tc>
          <w:tcPr>
            <w:tcW w:w="2083" w:type="pct"/>
            <w:shd w:val="clear" w:color="auto" w:fill="auto"/>
            <w:vAlign w:val="bottom"/>
            <w:hideMark/>
          </w:tcPr>
          <w:p w:rsidR="00031180" w:rsidRPr="008F298D" w:rsidRDefault="00031180" w:rsidP="00D72F75">
            <w:pPr>
              <w:pStyle w:val="TableText"/>
              <w:rPr>
                <w:i/>
                <w:iCs/>
                <w:lang w:eastAsia="en-AU"/>
              </w:rPr>
            </w:pPr>
            <w:r w:rsidRPr="008F298D">
              <w:rPr>
                <w:i/>
                <w:iCs/>
                <w:lang w:eastAsia="en-AU"/>
              </w:rPr>
              <w:t>Total income from waste services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i/>
                <w:iCs/>
                <w:lang w:eastAsia="en-AU"/>
              </w:rPr>
            </w:pPr>
            <w:r w:rsidRPr="008F298D">
              <w:rPr>
                <w:i/>
                <w:iCs/>
                <w:lang w:eastAsia="en-AU"/>
              </w:rPr>
              <w:t>5,149.1</w:t>
            </w:r>
          </w:p>
        </w:tc>
        <w:tc>
          <w:tcPr>
            <w:tcW w:w="681" w:type="pct"/>
            <w:shd w:val="clear" w:color="auto" w:fill="auto"/>
            <w:vAlign w:val="bottom"/>
          </w:tcPr>
          <w:p w:rsidR="00031180" w:rsidRPr="002F4DF3" w:rsidRDefault="00031180" w:rsidP="00D72F75">
            <w:pPr>
              <w:pStyle w:val="TableText"/>
              <w:rPr>
                <w:i/>
                <w:iCs/>
                <w:lang w:eastAsia="en-AU"/>
              </w:rPr>
            </w:pPr>
            <w:r w:rsidRPr="002F4DF3">
              <w:rPr>
                <w:i/>
                <w:iCs/>
                <w:lang w:eastAsia="en-AU"/>
              </w:rPr>
              <w:t>506.7</w:t>
            </w:r>
          </w:p>
        </w:tc>
        <w:tc>
          <w:tcPr>
            <w:tcW w:w="531" w:type="pct"/>
            <w:shd w:val="clear" w:color="auto" w:fill="auto"/>
            <w:vAlign w:val="bottom"/>
          </w:tcPr>
          <w:p w:rsidR="00031180" w:rsidRDefault="00031180" w:rsidP="00D72F75">
            <w:pPr>
              <w:pStyle w:val="TableText"/>
              <w:rPr>
                <w:rFonts w:ascii="Calibri" w:hAnsi="Calibri"/>
                <w:color w:val="000000"/>
                <w:sz w:val="22"/>
                <w:szCs w:val="22"/>
              </w:rPr>
            </w:pPr>
            <w:r w:rsidRPr="00D72F75">
              <w:rPr>
                <w:i/>
                <w:iCs/>
                <w:lang w:eastAsia="en-AU"/>
              </w:rPr>
              <w:t>5,656</w:t>
            </w:r>
          </w:p>
        </w:tc>
        <w:tc>
          <w:tcPr>
            <w:tcW w:w="681" w:type="pct"/>
            <w:vAlign w:val="bottom"/>
          </w:tcPr>
          <w:p w:rsidR="00031180" w:rsidRPr="00031180" w:rsidRDefault="00031180" w:rsidP="00D72F75">
            <w:pPr>
              <w:pStyle w:val="TableText"/>
              <w:rPr>
                <w:lang w:eastAsia="en-AU"/>
              </w:rPr>
            </w:pPr>
            <w:r w:rsidRPr="00031180">
              <w:rPr>
                <w:lang w:eastAsia="en-AU"/>
              </w:rPr>
              <w:t>91%</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Income from sales of recyclable or recoverable material</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2,231.4</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42.5</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2,274</w:t>
            </w:r>
          </w:p>
        </w:tc>
        <w:tc>
          <w:tcPr>
            <w:tcW w:w="681" w:type="pct"/>
            <w:vAlign w:val="bottom"/>
          </w:tcPr>
          <w:p w:rsidR="00031180" w:rsidRPr="00D72F75" w:rsidRDefault="00031180" w:rsidP="00D72F75">
            <w:pPr>
              <w:pStyle w:val="TableText"/>
              <w:rPr>
                <w:lang w:eastAsia="en-AU"/>
              </w:rPr>
            </w:pPr>
            <w:r w:rsidRPr="00031180">
              <w:rPr>
                <w:lang w:eastAsia="en-AU"/>
              </w:rPr>
              <w:t>98%</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Income from energy generated from waste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11.8</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1.6</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13</w:t>
            </w:r>
          </w:p>
        </w:tc>
        <w:tc>
          <w:tcPr>
            <w:tcW w:w="681" w:type="pct"/>
            <w:vAlign w:val="bottom"/>
          </w:tcPr>
          <w:p w:rsidR="00031180" w:rsidRPr="00D72F75" w:rsidRDefault="00031180" w:rsidP="00D72F75">
            <w:pPr>
              <w:pStyle w:val="TableText"/>
              <w:rPr>
                <w:lang w:eastAsia="en-AU"/>
              </w:rPr>
            </w:pPr>
            <w:r w:rsidRPr="00031180">
              <w:rPr>
                <w:lang w:eastAsia="en-AU"/>
              </w:rPr>
              <w:t>88%</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Other sources of income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1,203.7</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2,050.8</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3,255</w:t>
            </w:r>
          </w:p>
        </w:tc>
        <w:tc>
          <w:tcPr>
            <w:tcW w:w="681" w:type="pct"/>
            <w:vAlign w:val="bottom"/>
          </w:tcPr>
          <w:p w:rsidR="00031180" w:rsidRPr="00D72F75" w:rsidRDefault="00031180" w:rsidP="00D72F75">
            <w:pPr>
              <w:pStyle w:val="TableText"/>
              <w:rPr>
                <w:lang w:eastAsia="en-AU"/>
              </w:rPr>
            </w:pPr>
            <w:r w:rsidRPr="00031180">
              <w:rPr>
                <w:lang w:eastAsia="en-AU"/>
              </w:rPr>
              <w:t>37%</w:t>
            </w:r>
          </w:p>
        </w:tc>
      </w:tr>
      <w:tr w:rsidR="00031180" w:rsidRPr="002F4DF3" w:rsidTr="00031180">
        <w:trPr>
          <w:trHeight w:val="372"/>
        </w:trPr>
        <w:tc>
          <w:tcPr>
            <w:tcW w:w="2083" w:type="pct"/>
            <w:shd w:val="clear" w:color="auto" w:fill="auto"/>
            <w:vAlign w:val="bottom"/>
            <w:hideMark/>
          </w:tcPr>
          <w:p w:rsidR="00031180" w:rsidRPr="008F298D" w:rsidRDefault="00031180" w:rsidP="00D72F75">
            <w:pPr>
              <w:pStyle w:val="TableText"/>
              <w:rPr>
                <w:i/>
                <w:iCs/>
                <w:lang w:eastAsia="en-AU"/>
              </w:rPr>
            </w:pPr>
            <w:r w:rsidRPr="008F298D">
              <w:rPr>
                <w:i/>
                <w:iCs/>
                <w:lang w:eastAsia="en-AU"/>
              </w:rPr>
              <w:t>Total income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i/>
                <w:iCs/>
                <w:lang w:eastAsia="en-AU"/>
              </w:rPr>
            </w:pPr>
            <w:r w:rsidRPr="008F298D">
              <w:rPr>
                <w:i/>
                <w:iCs/>
                <w:lang w:eastAsia="en-AU"/>
              </w:rPr>
              <w:t>8,596.0</w:t>
            </w:r>
          </w:p>
        </w:tc>
        <w:tc>
          <w:tcPr>
            <w:tcW w:w="681" w:type="pct"/>
            <w:shd w:val="clear" w:color="auto" w:fill="auto"/>
            <w:vAlign w:val="bottom"/>
          </w:tcPr>
          <w:p w:rsidR="00031180" w:rsidRPr="002F4DF3" w:rsidRDefault="00031180" w:rsidP="00D72F75">
            <w:pPr>
              <w:pStyle w:val="TableText"/>
              <w:rPr>
                <w:i/>
                <w:iCs/>
                <w:lang w:eastAsia="en-AU"/>
              </w:rPr>
            </w:pPr>
            <w:r w:rsidRPr="002F4DF3">
              <w:rPr>
                <w:i/>
                <w:iCs/>
                <w:lang w:eastAsia="en-AU"/>
              </w:rPr>
              <w:t>2,601.6</w:t>
            </w:r>
          </w:p>
        </w:tc>
        <w:tc>
          <w:tcPr>
            <w:tcW w:w="531" w:type="pct"/>
            <w:shd w:val="clear" w:color="auto" w:fill="auto"/>
            <w:vAlign w:val="bottom"/>
          </w:tcPr>
          <w:p w:rsidR="00031180" w:rsidRPr="00D72F75" w:rsidRDefault="00031180" w:rsidP="00D72F75">
            <w:pPr>
              <w:pStyle w:val="TableText"/>
              <w:rPr>
                <w:i/>
                <w:iCs/>
                <w:lang w:eastAsia="en-AU"/>
              </w:rPr>
            </w:pPr>
            <w:r w:rsidRPr="00D72F75">
              <w:rPr>
                <w:i/>
                <w:iCs/>
                <w:lang w:eastAsia="en-AU"/>
              </w:rPr>
              <w:t>11,198</w:t>
            </w:r>
          </w:p>
        </w:tc>
        <w:tc>
          <w:tcPr>
            <w:tcW w:w="681" w:type="pct"/>
            <w:vAlign w:val="bottom"/>
          </w:tcPr>
          <w:p w:rsidR="00031180" w:rsidRPr="00031180" w:rsidRDefault="00031180" w:rsidP="00D72F75">
            <w:pPr>
              <w:pStyle w:val="TableText"/>
              <w:rPr>
                <w:i/>
                <w:iCs/>
                <w:lang w:eastAsia="en-AU"/>
              </w:rPr>
            </w:pPr>
            <w:r w:rsidRPr="00031180">
              <w:rPr>
                <w:lang w:eastAsia="en-AU"/>
              </w:rPr>
              <w:t>77%</w:t>
            </w:r>
          </w:p>
        </w:tc>
      </w:tr>
      <w:tr w:rsidR="00031180" w:rsidRPr="002F4DF3" w:rsidTr="00031180">
        <w:trPr>
          <w:trHeight w:val="255"/>
        </w:trPr>
        <w:tc>
          <w:tcPr>
            <w:tcW w:w="2083" w:type="pct"/>
            <w:shd w:val="clear" w:color="auto" w:fill="auto"/>
            <w:vAlign w:val="bottom"/>
            <w:hideMark/>
          </w:tcPr>
          <w:p w:rsidR="00031180" w:rsidRPr="00C324B3" w:rsidRDefault="00031180" w:rsidP="00D72F75">
            <w:pPr>
              <w:pStyle w:val="TableText"/>
              <w:rPr>
                <w:b/>
                <w:lang w:eastAsia="en-AU"/>
              </w:rPr>
            </w:pPr>
            <w:r w:rsidRPr="00C324B3">
              <w:rPr>
                <w:b/>
                <w:lang w:eastAsia="en-AU"/>
              </w:rPr>
              <w:t>Expenses</w:t>
            </w:r>
          </w:p>
        </w:tc>
        <w:tc>
          <w:tcPr>
            <w:tcW w:w="343" w:type="pct"/>
            <w:shd w:val="clear" w:color="auto" w:fill="auto"/>
            <w:noWrap/>
            <w:vAlign w:val="bottom"/>
            <w:hideMark/>
          </w:tcPr>
          <w:p w:rsidR="00031180" w:rsidRPr="008F298D" w:rsidRDefault="00031180" w:rsidP="00D72F75">
            <w:pPr>
              <w:pStyle w:val="TableText"/>
              <w:rPr>
                <w:lang w:eastAsia="en-AU"/>
              </w:rPr>
            </w:pPr>
          </w:p>
        </w:tc>
        <w:tc>
          <w:tcPr>
            <w:tcW w:w="682" w:type="pct"/>
            <w:shd w:val="clear" w:color="auto" w:fill="auto"/>
            <w:noWrap/>
            <w:vAlign w:val="bottom"/>
            <w:hideMark/>
          </w:tcPr>
          <w:p w:rsidR="00031180" w:rsidRPr="008F298D" w:rsidRDefault="00031180" w:rsidP="00D72F75">
            <w:pPr>
              <w:pStyle w:val="TableText"/>
              <w:rPr>
                <w:lang w:eastAsia="en-AU"/>
              </w:rPr>
            </w:pPr>
          </w:p>
        </w:tc>
        <w:tc>
          <w:tcPr>
            <w:tcW w:w="681" w:type="pct"/>
            <w:shd w:val="clear" w:color="auto" w:fill="auto"/>
            <w:vAlign w:val="bottom"/>
          </w:tcPr>
          <w:p w:rsidR="00031180" w:rsidRPr="002F4DF3" w:rsidRDefault="00031180" w:rsidP="00D72F75">
            <w:pPr>
              <w:pStyle w:val="TableText"/>
              <w:rPr>
                <w:lang w:eastAsia="en-AU"/>
              </w:rPr>
            </w:pPr>
          </w:p>
        </w:tc>
        <w:tc>
          <w:tcPr>
            <w:tcW w:w="531" w:type="pct"/>
            <w:shd w:val="clear" w:color="auto" w:fill="auto"/>
            <w:vAlign w:val="bottom"/>
          </w:tcPr>
          <w:p w:rsidR="00031180" w:rsidRPr="00D72F75" w:rsidRDefault="00031180" w:rsidP="00D72F75">
            <w:pPr>
              <w:pStyle w:val="TableText"/>
              <w:rPr>
                <w:i/>
                <w:iCs/>
                <w:lang w:eastAsia="en-AU"/>
              </w:rPr>
            </w:pPr>
          </w:p>
        </w:tc>
        <w:tc>
          <w:tcPr>
            <w:tcW w:w="681" w:type="pct"/>
            <w:vAlign w:val="bottom"/>
          </w:tcPr>
          <w:p w:rsidR="00031180" w:rsidRPr="00031180" w:rsidRDefault="00031180" w:rsidP="00D72F75">
            <w:pPr>
              <w:pStyle w:val="TableText"/>
              <w:rPr>
                <w:lang w:eastAsia="en-AU"/>
              </w:rPr>
            </w:pP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Wages and salaries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1,566.9</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329.0</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1,896</w:t>
            </w:r>
          </w:p>
        </w:tc>
        <w:tc>
          <w:tcPr>
            <w:tcW w:w="681" w:type="pct"/>
            <w:vAlign w:val="bottom"/>
          </w:tcPr>
          <w:p w:rsidR="00031180" w:rsidRPr="00D72F75" w:rsidRDefault="00031180" w:rsidP="00D72F75">
            <w:pPr>
              <w:pStyle w:val="TableText"/>
              <w:rPr>
                <w:lang w:eastAsia="en-AU"/>
              </w:rPr>
            </w:pPr>
            <w:r w:rsidRPr="00031180">
              <w:rPr>
                <w:lang w:eastAsia="en-AU"/>
              </w:rPr>
              <w:t>83%</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Contract and subcontract expenses for waste management services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557.7</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1,049.3</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1,607</w:t>
            </w:r>
          </w:p>
        </w:tc>
        <w:tc>
          <w:tcPr>
            <w:tcW w:w="681" w:type="pct"/>
            <w:vAlign w:val="bottom"/>
          </w:tcPr>
          <w:p w:rsidR="00031180" w:rsidRPr="00D72F75" w:rsidRDefault="00031180" w:rsidP="00D72F75">
            <w:pPr>
              <w:pStyle w:val="TableText"/>
              <w:rPr>
                <w:lang w:eastAsia="en-AU"/>
              </w:rPr>
            </w:pPr>
            <w:r w:rsidRPr="00031180">
              <w:rPr>
                <w:lang w:eastAsia="en-AU"/>
              </w:rPr>
              <w:t>35%</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Fees for the treatment/processing and/or disposal of waste</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635.4</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312.4</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948</w:t>
            </w:r>
          </w:p>
        </w:tc>
        <w:tc>
          <w:tcPr>
            <w:tcW w:w="681" w:type="pct"/>
            <w:vAlign w:val="bottom"/>
          </w:tcPr>
          <w:p w:rsidR="00031180" w:rsidRPr="00D72F75" w:rsidRDefault="00031180" w:rsidP="00D72F75">
            <w:pPr>
              <w:pStyle w:val="TableText"/>
              <w:rPr>
                <w:lang w:eastAsia="en-AU"/>
              </w:rPr>
            </w:pPr>
            <w:r w:rsidRPr="00031180">
              <w:rPr>
                <w:lang w:eastAsia="en-AU"/>
              </w:rPr>
              <w:t>67%</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Other expenses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5,228.7</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484.4</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5,713</w:t>
            </w:r>
          </w:p>
        </w:tc>
        <w:tc>
          <w:tcPr>
            <w:tcW w:w="681" w:type="pct"/>
            <w:vAlign w:val="bottom"/>
          </w:tcPr>
          <w:p w:rsidR="00031180" w:rsidRPr="00D72F75" w:rsidRDefault="00031180" w:rsidP="00D72F75">
            <w:pPr>
              <w:pStyle w:val="TableText"/>
              <w:rPr>
                <w:lang w:eastAsia="en-AU"/>
              </w:rPr>
            </w:pPr>
            <w:r w:rsidRPr="00031180">
              <w:rPr>
                <w:lang w:eastAsia="en-AU"/>
              </w:rPr>
              <w:t>92%</w:t>
            </w:r>
          </w:p>
        </w:tc>
      </w:tr>
      <w:tr w:rsidR="00031180" w:rsidRPr="002F4DF3" w:rsidTr="00031180">
        <w:trPr>
          <w:trHeight w:val="372"/>
        </w:trPr>
        <w:tc>
          <w:tcPr>
            <w:tcW w:w="2083" w:type="pct"/>
            <w:shd w:val="clear" w:color="auto" w:fill="auto"/>
            <w:vAlign w:val="bottom"/>
            <w:hideMark/>
          </w:tcPr>
          <w:p w:rsidR="00031180" w:rsidRPr="008F298D" w:rsidRDefault="00031180" w:rsidP="00D72F75">
            <w:pPr>
              <w:pStyle w:val="TableText"/>
              <w:rPr>
                <w:i/>
                <w:iCs/>
                <w:lang w:eastAsia="en-AU"/>
              </w:rPr>
            </w:pPr>
            <w:r w:rsidRPr="008F298D">
              <w:rPr>
                <w:i/>
                <w:iCs/>
                <w:lang w:eastAsia="en-AU"/>
              </w:rPr>
              <w:t>Total expenses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$m</w:t>
            </w:r>
          </w:p>
        </w:tc>
        <w:tc>
          <w:tcPr>
            <w:tcW w:w="682" w:type="pct"/>
            <w:shd w:val="clear" w:color="auto" w:fill="auto"/>
            <w:noWrap/>
            <w:vAlign w:val="bottom"/>
            <w:hideMark/>
          </w:tcPr>
          <w:p w:rsidR="00031180" w:rsidRPr="008F298D" w:rsidRDefault="00031180" w:rsidP="00D72F75">
            <w:pPr>
              <w:pStyle w:val="TableText"/>
              <w:rPr>
                <w:i/>
                <w:iCs/>
                <w:lang w:eastAsia="en-AU"/>
              </w:rPr>
            </w:pPr>
            <w:r w:rsidRPr="008F298D">
              <w:rPr>
                <w:i/>
                <w:iCs/>
                <w:lang w:eastAsia="en-AU"/>
              </w:rPr>
              <w:t>7,988.7</w:t>
            </w:r>
          </w:p>
        </w:tc>
        <w:tc>
          <w:tcPr>
            <w:tcW w:w="681" w:type="pct"/>
            <w:shd w:val="clear" w:color="auto" w:fill="auto"/>
            <w:vAlign w:val="bottom"/>
          </w:tcPr>
          <w:p w:rsidR="00031180" w:rsidRPr="002F4DF3" w:rsidRDefault="00031180" w:rsidP="00D72F75">
            <w:pPr>
              <w:pStyle w:val="TableText"/>
              <w:rPr>
                <w:i/>
                <w:iCs/>
                <w:lang w:eastAsia="en-AU"/>
              </w:rPr>
            </w:pPr>
            <w:r w:rsidRPr="002F4DF3">
              <w:rPr>
                <w:i/>
                <w:iCs/>
                <w:lang w:eastAsia="en-AU"/>
              </w:rPr>
              <w:t>2,175.1</w:t>
            </w:r>
          </w:p>
        </w:tc>
        <w:tc>
          <w:tcPr>
            <w:tcW w:w="531" w:type="pct"/>
            <w:shd w:val="clear" w:color="auto" w:fill="auto"/>
            <w:vAlign w:val="bottom"/>
          </w:tcPr>
          <w:p w:rsidR="00031180" w:rsidRDefault="00031180" w:rsidP="00D72F75">
            <w:pPr>
              <w:pStyle w:val="TableText"/>
              <w:rPr>
                <w:rFonts w:ascii="Calibri" w:hAnsi="Calibri"/>
                <w:color w:val="000000"/>
                <w:sz w:val="22"/>
                <w:szCs w:val="22"/>
              </w:rPr>
            </w:pPr>
            <w:r w:rsidRPr="00D72F75">
              <w:rPr>
                <w:i/>
                <w:iCs/>
                <w:lang w:eastAsia="en-AU"/>
              </w:rPr>
              <w:t>10,164</w:t>
            </w:r>
          </w:p>
        </w:tc>
        <w:tc>
          <w:tcPr>
            <w:tcW w:w="681" w:type="pct"/>
            <w:vAlign w:val="bottom"/>
          </w:tcPr>
          <w:p w:rsidR="00031180" w:rsidRPr="00031180" w:rsidRDefault="00031180" w:rsidP="00D72F75">
            <w:pPr>
              <w:pStyle w:val="TableText"/>
              <w:rPr>
                <w:lang w:eastAsia="en-AU"/>
              </w:rPr>
            </w:pPr>
            <w:r w:rsidRPr="00031180">
              <w:rPr>
                <w:lang w:eastAsia="en-AU"/>
              </w:rPr>
              <w:t>79%</w:t>
            </w:r>
          </w:p>
        </w:tc>
      </w:tr>
      <w:tr w:rsidR="00031180" w:rsidRPr="002F4DF3" w:rsidTr="00031180">
        <w:trPr>
          <w:trHeight w:val="255"/>
        </w:trPr>
        <w:tc>
          <w:tcPr>
            <w:tcW w:w="2083" w:type="pct"/>
            <w:shd w:val="clear" w:color="auto" w:fill="auto"/>
            <w:vAlign w:val="bottom"/>
            <w:hideMark/>
          </w:tcPr>
          <w:p w:rsidR="00031180" w:rsidRPr="00C324B3" w:rsidRDefault="00031180" w:rsidP="00D72F75">
            <w:pPr>
              <w:pStyle w:val="TableText"/>
              <w:rPr>
                <w:b/>
                <w:lang w:eastAsia="en-AU"/>
              </w:rPr>
            </w:pPr>
            <w:r w:rsidRPr="00C324B3">
              <w:rPr>
                <w:b/>
                <w:lang w:eastAsia="en-AU"/>
              </w:rPr>
              <w:t>Waste quantities</w:t>
            </w:r>
          </w:p>
        </w:tc>
        <w:tc>
          <w:tcPr>
            <w:tcW w:w="343" w:type="pct"/>
            <w:shd w:val="clear" w:color="auto" w:fill="auto"/>
            <w:noWrap/>
            <w:vAlign w:val="bottom"/>
            <w:hideMark/>
          </w:tcPr>
          <w:p w:rsidR="00031180" w:rsidRPr="008F298D" w:rsidRDefault="00031180" w:rsidP="00D72F75">
            <w:pPr>
              <w:pStyle w:val="TableText"/>
              <w:rPr>
                <w:lang w:eastAsia="en-AU"/>
              </w:rPr>
            </w:pPr>
          </w:p>
        </w:tc>
        <w:tc>
          <w:tcPr>
            <w:tcW w:w="682" w:type="pct"/>
            <w:shd w:val="clear" w:color="auto" w:fill="auto"/>
            <w:noWrap/>
            <w:vAlign w:val="bottom"/>
            <w:hideMark/>
          </w:tcPr>
          <w:p w:rsidR="00031180" w:rsidRPr="008F298D" w:rsidRDefault="00031180" w:rsidP="00D72F75">
            <w:pPr>
              <w:pStyle w:val="TableText"/>
              <w:rPr>
                <w:lang w:eastAsia="en-AU"/>
              </w:rPr>
            </w:pPr>
          </w:p>
        </w:tc>
        <w:tc>
          <w:tcPr>
            <w:tcW w:w="681" w:type="pct"/>
            <w:shd w:val="clear" w:color="auto" w:fill="auto"/>
            <w:vAlign w:val="bottom"/>
          </w:tcPr>
          <w:p w:rsidR="00031180" w:rsidRPr="002F4DF3" w:rsidRDefault="00031180" w:rsidP="00D72F75">
            <w:pPr>
              <w:pStyle w:val="TableText"/>
              <w:rPr>
                <w:lang w:eastAsia="en-AU"/>
              </w:rPr>
            </w:pPr>
          </w:p>
        </w:tc>
        <w:tc>
          <w:tcPr>
            <w:tcW w:w="531" w:type="pct"/>
            <w:shd w:val="clear" w:color="auto" w:fill="auto"/>
            <w:vAlign w:val="bottom"/>
          </w:tcPr>
          <w:p w:rsidR="00031180" w:rsidRPr="00D72F75" w:rsidRDefault="00031180" w:rsidP="00D72F75">
            <w:pPr>
              <w:pStyle w:val="TableText"/>
              <w:rPr>
                <w:lang w:eastAsia="en-AU"/>
              </w:rPr>
            </w:pPr>
          </w:p>
        </w:tc>
        <w:tc>
          <w:tcPr>
            <w:tcW w:w="681" w:type="pct"/>
            <w:vAlign w:val="bottom"/>
          </w:tcPr>
          <w:p w:rsidR="00031180" w:rsidRPr="00D72F75" w:rsidRDefault="00031180" w:rsidP="00D72F75">
            <w:pPr>
              <w:pStyle w:val="TableText"/>
              <w:rPr>
                <w:lang w:eastAsia="en-AU"/>
              </w:rPr>
            </w:pP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Disposed at landfills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'000 t</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10,177.6</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7,552.5</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17,730</w:t>
            </w:r>
          </w:p>
        </w:tc>
        <w:tc>
          <w:tcPr>
            <w:tcW w:w="681" w:type="pct"/>
            <w:vAlign w:val="bottom"/>
          </w:tcPr>
          <w:p w:rsidR="00031180" w:rsidRPr="00D72F75" w:rsidRDefault="00031180" w:rsidP="00D72F75">
            <w:pPr>
              <w:pStyle w:val="TableText"/>
              <w:rPr>
                <w:lang w:eastAsia="en-AU"/>
              </w:rPr>
            </w:pPr>
            <w:r w:rsidRPr="00031180">
              <w:rPr>
                <w:lang w:eastAsia="en-AU"/>
              </w:rPr>
              <w:t>57%</w:t>
            </w:r>
          </w:p>
        </w:tc>
      </w:tr>
      <w:tr w:rsidR="00031180" w:rsidRPr="002F4DF3" w:rsidTr="00031180">
        <w:trPr>
          <w:trHeight w:val="255"/>
        </w:trPr>
        <w:tc>
          <w:tcPr>
            <w:tcW w:w="2083" w:type="pct"/>
            <w:shd w:val="clear" w:color="auto" w:fill="auto"/>
            <w:vAlign w:val="bottom"/>
            <w:hideMark/>
          </w:tcPr>
          <w:p w:rsidR="00031180" w:rsidRPr="008F298D" w:rsidRDefault="00031180" w:rsidP="00D72F75">
            <w:pPr>
              <w:pStyle w:val="TableText"/>
              <w:rPr>
                <w:lang w:eastAsia="en-AU"/>
              </w:rPr>
            </w:pPr>
            <w:r w:rsidRPr="008F298D">
              <w:rPr>
                <w:lang w:eastAsia="en-AU"/>
              </w:rPr>
              <w:t>Recovered or reprocessed (all facilities)</w:t>
            </w:r>
          </w:p>
        </w:tc>
        <w:tc>
          <w:tcPr>
            <w:tcW w:w="343" w:type="pct"/>
            <w:shd w:val="clear" w:color="auto" w:fill="auto"/>
            <w:noWrap/>
            <w:vAlign w:val="bottom"/>
            <w:hideMark/>
          </w:tcPr>
          <w:p w:rsidR="00031180" w:rsidRPr="008F298D" w:rsidRDefault="00031180" w:rsidP="00D72F75">
            <w:pPr>
              <w:pStyle w:val="TableText"/>
              <w:rPr>
                <w:lang w:eastAsia="en-AU"/>
              </w:rPr>
            </w:pPr>
            <w:r w:rsidRPr="008F298D">
              <w:rPr>
                <w:lang w:eastAsia="en-AU"/>
              </w:rPr>
              <w:t>'000 t</w:t>
            </w:r>
          </w:p>
        </w:tc>
        <w:tc>
          <w:tcPr>
            <w:tcW w:w="682" w:type="pct"/>
            <w:shd w:val="clear" w:color="auto" w:fill="auto"/>
            <w:noWrap/>
            <w:vAlign w:val="bottom"/>
            <w:hideMark/>
          </w:tcPr>
          <w:p w:rsidR="00031180" w:rsidRPr="008F298D" w:rsidRDefault="00031180" w:rsidP="00D72F75">
            <w:pPr>
              <w:pStyle w:val="TableText"/>
              <w:rPr>
                <w:lang w:eastAsia="en-AU"/>
              </w:rPr>
            </w:pPr>
            <w:r w:rsidRPr="008F298D">
              <w:rPr>
                <w:lang w:eastAsia="en-AU"/>
              </w:rPr>
              <w:t>10,021.3</w:t>
            </w:r>
          </w:p>
        </w:tc>
        <w:tc>
          <w:tcPr>
            <w:tcW w:w="681" w:type="pct"/>
            <w:shd w:val="clear" w:color="auto" w:fill="auto"/>
            <w:vAlign w:val="bottom"/>
          </w:tcPr>
          <w:p w:rsidR="00031180" w:rsidRPr="002F4DF3" w:rsidRDefault="00031180" w:rsidP="00D72F75">
            <w:pPr>
              <w:pStyle w:val="TableText"/>
              <w:rPr>
                <w:lang w:eastAsia="en-AU"/>
              </w:rPr>
            </w:pPr>
            <w:r w:rsidRPr="002F4DF3">
              <w:rPr>
                <w:lang w:eastAsia="en-AU"/>
              </w:rPr>
              <w:t>3,128.7</w:t>
            </w:r>
          </w:p>
        </w:tc>
        <w:tc>
          <w:tcPr>
            <w:tcW w:w="531" w:type="pct"/>
            <w:shd w:val="clear" w:color="auto" w:fill="auto"/>
            <w:vAlign w:val="bottom"/>
          </w:tcPr>
          <w:p w:rsidR="00031180" w:rsidRPr="00D72F75" w:rsidRDefault="00031180" w:rsidP="00D72F75">
            <w:pPr>
              <w:pStyle w:val="TableText"/>
              <w:rPr>
                <w:lang w:eastAsia="en-AU"/>
              </w:rPr>
            </w:pPr>
            <w:r w:rsidRPr="00D72F75">
              <w:rPr>
                <w:lang w:eastAsia="en-AU"/>
              </w:rPr>
              <w:t>13,150</w:t>
            </w:r>
          </w:p>
        </w:tc>
        <w:tc>
          <w:tcPr>
            <w:tcW w:w="681" w:type="pct"/>
            <w:vAlign w:val="bottom"/>
          </w:tcPr>
          <w:p w:rsidR="00031180" w:rsidRPr="00D72F75" w:rsidRDefault="00031180" w:rsidP="00D72F75">
            <w:pPr>
              <w:pStyle w:val="TableText"/>
              <w:rPr>
                <w:lang w:eastAsia="en-AU"/>
              </w:rPr>
            </w:pPr>
            <w:r w:rsidRPr="00031180">
              <w:rPr>
                <w:lang w:eastAsia="en-AU"/>
              </w:rPr>
              <w:t>76%</w:t>
            </w:r>
          </w:p>
        </w:tc>
      </w:tr>
    </w:tbl>
    <w:p w:rsidR="007E3A24" w:rsidRDefault="007E3A24" w:rsidP="007E3A24">
      <w:pPr>
        <w:pStyle w:val="Heading2"/>
        <w:rPr>
          <w:lang w:eastAsia="en-AU"/>
        </w:rPr>
      </w:pPr>
      <w:bookmarkStart w:id="148" w:name="_Ref300215906"/>
      <w:bookmarkStart w:id="149" w:name="_Ref300215920"/>
      <w:bookmarkStart w:id="150" w:name="_Toc307470476"/>
      <w:r>
        <w:rPr>
          <w:lang w:eastAsia="en-AU"/>
        </w:rPr>
        <w:t>Contract</w:t>
      </w:r>
      <w:bookmarkEnd w:id="148"/>
      <w:bookmarkEnd w:id="149"/>
      <w:r w:rsidR="00055866">
        <w:rPr>
          <w:lang w:eastAsia="en-AU"/>
        </w:rPr>
        <w:t xml:space="preserve"> </w:t>
      </w:r>
      <w:r w:rsidR="001C3D81">
        <w:rPr>
          <w:lang w:eastAsia="en-AU"/>
        </w:rPr>
        <w:t>duration</w:t>
      </w:r>
      <w:bookmarkEnd w:id="150"/>
    </w:p>
    <w:p w:rsidR="00055866" w:rsidRPr="00942E2A" w:rsidRDefault="000C3055" w:rsidP="00043CF2">
      <w:pPr>
        <w:pStyle w:val="ParaIndent"/>
        <w:jc w:val="both"/>
        <w:rPr>
          <w:lang w:eastAsia="en-AU"/>
        </w:rPr>
      </w:pPr>
      <w:r w:rsidRPr="00942E2A">
        <w:rPr>
          <w:lang w:eastAsia="en-AU"/>
        </w:rPr>
        <w:t>Depending on population serviced, l</w:t>
      </w:r>
      <w:r w:rsidR="00055866" w:rsidRPr="00942E2A">
        <w:rPr>
          <w:lang w:eastAsia="en-AU"/>
        </w:rPr>
        <w:t xml:space="preserve">ocal governments </w:t>
      </w:r>
      <w:r w:rsidRPr="00942E2A">
        <w:rPr>
          <w:lang w:eastAsia="en-AU"/>
        </w:rPr>
        <w:t>can</w:t>
      </w:r>
      <w:r w:rsidR="00055866" w:rsidRPr="00942E2A">
        <w:rPr>
          <w:lang w:eastAsia="en-AU"/>
        </w:rPr>
        <w:t xml:space="preserve"> aggregate </w:t>
      </w:r>
      <w:r w:rsidRPr="00942E2A">
        <w:rPr>
          <w:lang w:eastAsia="en-AU"/>
        </w:rPr>
        <w:t>significant volumes of waste and recycling from their communities. This makes the municipal stream an attractive target for many private</w:t>
      </w:r>
      <w:r w:rsidR="005C0725">
        <w:rPr>
          <w:lang w:eastAsia="en-AU"/>
        </w:rPr>
        <w:t xml:space="preserve"> operators involved in waste and recycling</w:t>
      </w:r>
      <w:r w:rsidRPr="00942E2A">
        <w:rPr>
          <w:lang w:eastAsia="en-AU"/>
        </w:rPr>
        <w:t xml:space="preserve"> </w:t>
      </w:r>
      <w:r w:rsidR="005C0725">
        <w:rPr>
          <w:lang w:eastAsia="en-AU"/>
        </w:rPr>
        <w:t>services</w:t>
      </w:r>
      <w:r w:rsidRPr="00942E2A">
        <w:rPr>
          <w:lang w:eastAsia="en-AU"/>
        </w:rPr>
        <w:t xml:space="preserve">, given the potential to secure significant business on the back of one contract. Contracts involving the management of commercial and industrial (C&amp;D) or construction and demolition (C&amp;D) waste streams are </w:t>
      </w:r>
      <w:r w:rsidR="005C0725">
        <w:rPr>
          <w:lang w:eastAsia="en-AU"/>
        </w:rPr>
        <w:t>usually</w:t>
      </w:r>
      <w:r w:rsidRPr="00942E2A">
        <w:rPr>
          <w:lang w:eastAsia="en-AU"/>
        </w:rPr>
        <w:t xml:space="preserve"> negotiated on a company-by-company basis, and </w:t>
      </w:r>
      <w:r w:rsidR="00FC722B">
        <w:rPr>
          <w:lang w:eastAsia="en-AU"/>
        </w:rPr>
        <w:t xml:space="preserve">– individually – will </w:t>
      </w:r>
      <w:r w:rsidRPr="00942E2A">
        <w:rPr>
          <w:lang w:eastAsia="en-AU"/>
        </w:rPr>
        <w:t>generally involve smaller volumes and shorter timeframes than municipal contracts.</w:t>
      </w:r>
    </w:p>
    <w:p w:rsidR="000C3055" w:rsidRPr="00942E2A" w:rsidRDefault="000C3055" w:rsidP="00043CF2">
      <w:pPr>
        <w:pStyle w:val="ParaIndent"/>
        <w:jc w:val="both"/>
        <w:rPr>
          <w:lang w:eastAsia="en-AU"/>
        </w:rPr>
      </w:pPr>
      <w:r w:rsidRPr="00942E2A">
        <w:rPr>
          <w:lang w:eastAsia="en-AU"/>
        </w:rPr>
        <w:lastRenderedPageBreak/>
        <w:t xml:space="preserve">Where a private sector operator secures sufficient material volumes from the municipal sector, this may present synergies </w:t>
      </w:r>
      <w:r w:rsidR="00FC722B">
        <w:rPr>
          <w:lang w:eastAsia="en-AU"/>
        </w:rPr>
        <w:t xml:space="preserve">and opportunities to extend </w:t>
      </w:r>
      <w:r w:rsidRPr="00942E2A">
        <w:rPr>
          <w:lang w:eastAsia="en-AU"/>
        </w:rPr>
        <w:t>servic</w:t>
      </w:r>
      <w:r w:rsidR="00FC722B">
        <w:rPr>
          <w:lang w:eastAsia="en-AU"/>
        </w:rPr>
        <w:t>es to</w:t>
      </w:r>
      <w:r w:rsidRPr="00942E2A">
        <w:rPr>
          <w:lang w:eastAsia="en-AU"/>
        </w:rPr>
        <w:t xml:space="preserve"> other market sectors. For example, a private contract may require the security of winning a council contract in order to construct significant infrastructure such as a Material </w:t>
      </w:r>
      <w:r w:rsidR="00942E2A" w:rsidRPr="00942E2A">
        <w:rPr>
          <w:lang w:eastAsia="en-AU"/>
        </w:rPr>
        <w:t>Recovery Facility (MRF)</w:t>
      </w:r>
      <w:r w:rsidR="00FC722B">
        <w:rPr>
          <w:lang w:eastAsia="en-AU"/>
        </w:rPr>
        <w:t>, b</w:t>
      </w:r>
      <w:r w:rsidR="00942E2A" w:rsidRPr="00942E2A">
        <w:rPr>
          <w:lang w:eastAsia="en-AU"/>
        </w:rPr>
        <w:t>ut in designing a facility to service the municipal contract, the provider may</w:t>
      </w:r>
      <w:r w:rsidRPr="00942E2A">
        <w:rPr>
          <w:lang w:eastAsia="en-AU"/>
        </w:rPr>
        <w:t xml:space="preserve"> seek to scale the facility in anticipation of being able to</w:t>
      </w:r>
      <w:r w:rsidR="00942E2A" w:rsidRPr="00942E2A">
        <w:rPr>
          <w:lang w:eastAsia="en-AU"/>
        </w:rPr>
        <w:t xml:space="preserve"> also</w:t>
      </w:r>
      <w:r w:rsidRPr="00942E2A">
        <w:rPr>
          <w:lang w:eastAsia="en-AU"/>
        </w:rPr>
        <w:t xml:space="preserve"> secure a portion of the C&amp;I </w:t>
      </w:r>
      <w:r w:rsidR="00942E2A" w:rsidRPr="00942E2A">
        <w:rPr>
          <w:lang w:eastAsia="en-AU"/>
        </w:rPr>
        <w:t xml:space="preserve">recycling </w:t>
      </w:r>
      <w:r w:rsidRPr="00942E2A">
        <w:rPr>
          <w:lang w:eastAsia="en-AU"/>
        </w:rPr>
        <w:t xml:space="preserve">stream. </w:t>
      </w:r>
    </w:p>
    <w:p w:rsidR="00AC3229" w:rsidRDefault="00055866" w:rsidP="00043CF2">
      <w:pPr>
        <w:pStyle w:val="ParaIndent"/>
        <w:jc w:val="both"/>
        <w:rPr>
          <w:lang w:eastAsia="en-AU"/>
        </w:rPr>
      </w:pPr>
      <w:r w:rsidRPr="00942E2A">
        <w:rPr>
          <w:lang w:eastAsia="en-AU"/>
        </w:rPr>
        <w:t xml:space="preserve">When local government </w:t>
      </w:r>
      <w:r w:rsidR="00AC3229">
        <w:rPr>
          <w:lang w:eastAsia="en-AU"/>
        </w:rPr>
        <w:t>requires</w:t>
      </w:r>
      <w:r w:rsidRPr="00942E2A">
        <w:rPr>
          <w:lang w:eastAsia="en-AU"/>
        </w:rPr>
        <w:t xml:space="preserve"> services from the private sector,</w:t>
      </w:r>
      <w:r w:rsidR="00AC3229">
        <w:rPr>
          <w:lang w:eastAsia="en-AU"/>
        </w:rPr>
        <w:t xml:space="preserve"> it will generally go </w:t>
      </w:r>
      <w:r w:rsidR="00FC722B">
        <w:rPr>
          <w:lang w:eastAsia="en-AU"/>
        </w:rPr>
        <w:t>through a t</w:t>
      </w:r>
      <w:r w:rsidR="00AC3229">
        <w:rPr>
          <w:lang w:eastAsia="en-AU"/>
        </w:rPr>
        <w:t xml:space="preserve">ender process. A key feature of local government tenders is </w:t>
      </w:r>
      <w:r w:rsidRPr="00942E2A">
        <w:rPr>
          <w:lang w:eastAsia="en-AU"/>
        </w:rPr>
        <w:t xml:space="preserve">the </w:t>
      </w:r>
      <w:r w:rsidR="00C225B5">
        <w:rPr>
          <w:lang w:eastAsia="en-AU"/>
        </w:rPr>
        <w:t>duration</w:t>
      </w:r>
      <w:r w:rsidR="00C225B5" w:rsidRPr="00942E2A">
        <w:rPr>
          <w:lang w:eastAsia="en-AU"/>
        </w:rPr>
        <w:t xml:space="preserve"> </w:t>
      </w:r>
      <w:r w:rsidRPr="00942E2A">
        <w:rPr>
          <w:lang w:eastAsia="en-AU"/>
        </w:rPr>
        <w:t xml:space="preserve">of the contract </w:t>
      </w:r>
      <w:r w:rsidR="00AC3229">
        <w:rPr>
          <w:lang w:eastAsia="en-AU"/>
        </w:rPr>
        <w:t>offered. This is</w:t>
      </w:r>
      <w:r w:rsidRPr="00942E2A">
        <w:rPr>
          <w:lang w:eastAsia="en-AU"/>
        </w:rPr>
        <w:t xml:space="preserve"> generally</w:t>
      </w:r>
      <w:r w:rsidR="00AC3229">
        <w:rPr>
          <w:lang w:eastAsia="en-AU"/>
        </w:rPr>
        <w:t xml:space="preserve"> expected to</w:t>
      </w:r>
      <w:r w:rsidRPr="00942E2A">
        <w:rPr>
          <w:lang w:eastAsia="en-AU"/>
        </w:rPr>
        <w:t xml:space="preserve"> </w:t>
      </w:r>
      <w:r w:rsidR="00611544" w:rsidRPr="00942E2A">
        <w:rPr>
          <w:lang w:eastAsia="en-AU"/>
        </w:rPr>
        <w:t xml:space="preserve">reflect the level of investment required in order to perform the </w:t>
      </w:r>
      <w:r w:rsidRPr="00942E2A">
        <w:rPr>
          <w:lang w:eastAsia="en-AU"/>
        </w:rPr>
        <w:t xml:space="preserve">required </w:t>
      </w:r>
      <w:r w:rsidR="00611544" w:rsidRPr="00942E2A">
        <w:rPr>
          <w:lang w:eastAsia="en-AU"/>
        </w:rPr>
        <w:t xml:space="preserve">services. </w:t>
      </w:r>
    </w:p>
    <w:p w:rsidR="00611544" w:rsidRPr="00942E2A" w:rsidRDefault="00AC3229" w:rsidP="00043CF2">
      <w:pPr>
        <w:pStyle w:val="ParaIndent"/>
        <w:jc w:val="both"/>
        <w:rPr>
          <w:lang w:eastAsia="en-AU"/>
        </w:rPr>
      </w:pPr>
      <w:r>
        <w:rPr>
          <w:lang w:eastAsia="en-AU"/>
        </w:rPr>
        <w:t>T</w:t>
      </w:r>
      <w:r w:rsidR="00611544" w:rsidRPr="00942E2A">
        <w:rPr>
          <w:lang w:eastAsia="en-AU"/>
        </w:rPr>
        <w:t>he provision of new waste collection vehicles in order to undertake a collection contract</w:t>
      </w:r>
      <w:r>
        <w:rPr>
          <w:lang w:eastAsia="en-AU"/>
        </w:rPr>
        <w:t>, for example,</w:t>
      </w:r>
      <w:r w:rsidR="00611544" w:rsidRPr="00942E2A">
        <w:rPr>
          <w:lang w:eastAsia="en-AU"/>
        </w:rPr>
        <w:t xml:space="preserve"> may require a 5-7 year </w:t>
      </w:r>
      <w:r w:rsidR="00FC722B">
        <w:rPr>
          <w:lang w:eastAsia="en-AU"/>
        </w:rPr>
        <w:t xml:space="preserve">contract </w:t>
      </w:r>
      <w:proofErr w:type="gramStart"/>
      <w:r w:rsidR="00FC722B">
        <w:rPr>
          <w:lang w:eastAsia="en-AU"/>
        </w:rPr>
        <w:t>period</w:t>
      </w:r>
      <w:r w:rsidR="00942E2A" w:rsidRPr="00942E2A">
        <w:rPr>
          <w:lang w:eastAsia="en-AU"/>
        </w:rPr>
        <w:t>,</w:t>
      </w:r>
      <w:proofErr w:type="gramEnd"/>
      <w:r w:rsidR="00942E2A" w:rsidRPr="00942E2A">
        <w:rPr>
          <w:lang w:eastAsia="en-AU"/>
        </w:rPr>
        <w:t xml:space="preserve"> given 7 years is </w:t>
      </w:r>
      <w:r w:rsidR="0038725B">
        <w:rPr>
          <w:lang w:eastAsia="en-AU"/>
        </w:rPr>
        <w:t>a</w:t>
      </w:r>
      <w:r w:rsidR="00942E2A" w:rsidRPr="00942E2A">
        <w:rPr>
          <w:lang w:eastAsia="en-AU"/>
        </w:rPr>
        <w:t xml:space="preserve"> common </w:t>
      </w:r>
      <w:r w:rsidR="00FC722B">
        <w:rPr>
          <w:lang w:eastAsia="en-AU"/>
        </w:rPr>
        <w:t>t</w:t>
      </w:r>
      <w:r w:rsidR="00055866" w:rsidRPr="00942E2A">
        <w:rPr>
          <w:lang w:eastAsia="en-AU"/>
        </w:rPr>
        <w:t>urnover</w:t>
      </w:r>
      <w:r w:rsidR="00FC722B">
        <w:rPr>
          <w:lang w:eastAsia="en-AU"/>
        </w:rPr>
        <w:t xml:space="preserve">/replacement </w:t>
      </w:r>
      <w:r w:rsidR="00055866" w:rsidRPr="00942E2A">
        <w:rPr>
          <w:lang w:eastAsia="en-AU"/>
        </w:rPr>
        <w:t>period for collection vehicles</w:t>
      </w:r>
      <w:r w:rsidR="00611544" w:rsidRPr="00942E2A">
        <w:rPr>
          <w:lang w:eastAsia="en-AU"/>
        </w:rPr>
        <w:t>.</w:t>
      </w:r>
      <w:r>
        <w:rPr>
          <w:lang w:eastAsia="en-AU"/>
        </w:rPr>
        <w:t xml:space="preserve"> Where new vehicles are not required, a shorter</w:t>
      </w:r>
      <w:r w:rsidR="00FC722B">
        <w:rPr>
          <w:lang w:eastAsia="en-AU"/>
        </w:rPr>
        <w:t xml:space="preserve"> contract</w:t>
      </w:r>
      <w:r>
        <w:rPr>
          <w:lang w:eastAsia="en-AU"/>
        </w:rPr>
        <w:t xml:space="preserve"> timeframe may be offered.</w:t>
      </w:r>
      <w:r w:rsidR="00611544" w:rsidRPr="00942E2A">
        <w:rPr>
          <w:lang w:eastAsia="en-AU"/>
        </w:rPr>
        <w:t xml:space="preserve"> The provision of an </w:t>
      </w:r>
      <w:r w:rsidR="00942E2A" w:rsidRPr="00942E2A">
        <w:rPr>
          <w:lang w:eastAsia="en-AU"/>
        </w:rPr>
        <w:t xml:space="preserve">advanced waste treatment plant that </w:t>
      </w:r>
      <w:r w:rsidR="00611544" w:rsidRPr="00942E2A">
        <w:rPr>
          <w:lang w:eastAsia="en-AU"/>
        </w:rPr>
        <w:t>will require multi-million dollar capital investments,</w:t>
      </w:r>
      <w:r w:rsidR="00942E2A" w:rsidRPr="00942E2A">
        <w:rPr>
          <w:lang w:eastAsia="en-AU"/>
        </w:rPr>
        <w:t xml:space="preserve"> however,</w:t>
      </w:r>
      <w:r w:rsidR="00611544" w:rsidRPr="00942E2A">
        <w:rPr>
          <w:lang w:eastAsia="en-AU"/>
        </w:rPr>
        <w:t xml:space="preserve"> will</w:t>
      </w:r>
      <w:r w:rsidR="00055866" w:rsidRPr="00942E2A">
        <w:rPr>
          <w:lang w:eastAsia="en-AU"/>
        </w:rPr>
        <w:t xml:space="preserve"> generally</w:t>
      </w:r>
      <w:r w:rsidR="00611544" w:rsidRPr="00942E2A">
        <w:rPr>
          <w:lang w:eastAsia="en-AU"/>
        </w:rPr>
        <w:t xml:space="preserve"> require longer timeframes – </w:t>
      </w:r>
      <w:r w:rsidR="00055866" w:rsidRPr="00942E2A">
        <w:rPr>
          <w:lang w:eastAsia="en-AU"/>
        </w:rPr>
        <w:t>usually</w:t>
      </w:r>
      <w:r w:rsidR="00611544" w:rsidRPr="00942E2A">
        <w:rPr>
          <w:lang w:eastAsia="en-AU"/>
        </w:rPr>
        <w:t xml:space="preserve"> </w:t>
      </w:r>
      <w:r w:rsidR="00055866" w:rsidRPr="00942E2A">
        <w:rPr>
          <w:lang w:eastAsia="en-AU"/>
        </w:rPr>
        <w:t xml:space="preserve">of at least </w:t>
      </w:r>
      <w:r w:rsidR="00611544" w:rsidRPr="00942E2A">
        <w:rPr>
          <w:lang w:eastAsia="en-AU"/>
        </w:rPr>
        <w:t xml:space="preserve">10 years </w:t>
      </w:r>
      <w:r w:rsidR="0038725B" w:rsidRPr="00942E2A">
        <w:rPr>
          <w:lang w:eastAsia="en-AU"/>
        </w:rPr>
        <w:t>–</w:t>
      </w:r>
      <w:r w:rsidR="0038725B">
        <w:rPr>
          <w:lang w:eastAsia="en-AU"/>
        </w:rPr>
        <w:t xml:space="preserve"> </w:t>
      </w:r>
      <w:r w:rsidR="00611544" w:rsidRPr="00942E2A">
        <w:rPr>
          <w:lang w:eastAsia="en-AU"/>
        </w:rPr>
        <w:t>in order for the private sector to recoup costs involved with serv</w:t>
      </w:r>
      <w:r w:rsidR="00055866" w:rsidRPr="00942E2A">
        <w:rPr>
          <w:lang w:eastAsia="en-AU"/>
        </w:rPr>
        <w:t>icing the contract.</w:t>
      </w:r>
    </w:p>
    <w:p w:rsidR="00942E2A" w:rsidRPr="00942E2A" w:rsidRDefault="00942E2A" w:rsidP="00043CF2">
      <w:pPr>
        <w:pStyle w:val="ParaIndent"/>
        <w:jc w:val="both"/>
        <w:rPr>
          <w:lang w:eastAsia="en-AU"/>
        </w:rPr>
      </w:pPr>
      <w:r w:rsidRPr="00942E2A">
        <w:rPr>
          <w:lang w:eastAsia="en-AU"/>
        </w:rPr>
        <w:t xml:space="preserve">Contract terms and other conditions can vary significantly between different LGAs, and between different services within a single LGA. In some jurisdictions, ‘model contracts’ have been developed by state agencies in order to provide some guidance to local governments on best practice contracts for </w:t>
      </w:r>
      <w:r w:rsidR="00FC722B">
        <w:rPr>
          <w:lang w:eastAsia="en-AU"/>
        </w:rPr>
        <w:t xml:space="preserve">procuring </w:t>
      </w:r>
      <w:r w:rsidRPr="00942E2A">
        <w:rPr>
          <w:lang w:eastAsia="en-AU"/>
        </w:rPr>
        <w:t>various services</w:t>
      </w:r>
      <w:r w:rsidR="00FC722B">
        <w:rPr>
          <w:lang w:eastAsia="en-AU"/>
        </w:rPr>
        <w:t xml:space="preserve"> from the private sector</w:t>
      </w:r>
      <w:r w:rsidRPr="00942E2A">
        <w:rPr>
          <w:lang w:eastAsia="en-AU"/>
        </w:rPr>
        <w:t xml:space="preserve">. </w:t>
      </w:r>
    </w:p>
    <w:p w:rsidR="00942E2A" w:rsidRPr="00942E2A" w:rsidRDefault="00942E2A" w:rsidP="00043CF2">
      <w:pPr>
        <w:pStyle w:val="ParaIndent"/>
        <w:jc w:val="both"/>
        <w:rPr>
          <w:lang w:eastAsia="en-AU"/>
        </w:rPr>
      </w:pPr>
      <w:r w:rsidRPr="00942E2A">
        <w:rPr>
          <w:lang w:eastAsia="en-AU"/>
        </w:rPr>
        <w:t xml:space="preserve">In NSW, for example, the Office of Environment and Heritage (OEH) developed a Model Waste and Recycling Collection Contract in consultation with peak industry body, the Waste Contractors and Recyclers Association of </w:t>
      </w:r>
      <w:r>
        <w:rPr>
          <w:lang w:eastAsia="en-AU"/>
        </w:rPr>
        <w:t>NSW</w:t>
      </w:r>
      <w:r w:rsidRPr="00942E2A">
        <w:rPr>
          <w:lang w:eastAsia="en-AU"/>
        </w:rPr>
        <w:t>. The OEH promotes</w:t>
      </w:r>
      <w:r>
        <w:rPr>
          <w:lang w:eastAsia="en-AU"/>
        </w:rPr>
        <w:t xml:space="preserve"> </w:t>
      </w:r>
      <w:r w:rsidR="00FC722B">
        <w:rPr>
          <w:lang w:eastAsia="en-AU"/>
        </w:rPr>
        <w:t>the benefits of u</w:t>
      </w:r>
      <w:r w:rsidR="00C225B5">
        <w:rPr>
          <w:lang w:eastAsia="en-AU"/>
        </w:rPr>
        <w:t>s</w:t>
      </w:r>
      <w:r w:rsidR="00FC722B">
        <w:rPr>
          <w:lang w:eastAsia="en-AU"/>
        </w:rPr>
        <w:t xml:space="preserve">ing the model contract </w:t>
      </w:r>
      <w:r>
        <w:rPr>
          <w:lang w:eastAsia="en-AU"/>
        </w:rPr>
        <w:t>to local government,</w:t>
      </w:r>
      <w:r w:rsidRPr="00942E2A">
        <w:rPr>
          <w:lang w:eastAsia="en-AU"/>
        </w:rPr>
        <w:t xml:space="preserve"> </w:t>
      </w:r>
      <w:r w:rsidR="00FC722B">
        <w:rPr>
          <w:lang w:eastAsia="en-AU"/>
        </w:rPr>
        <w:t>such as</w:t>
      </w:r>
      <w:r w:rsidRPr="00942E2A">
        <w:rPr>
          <w:lang w:eastAsia="en-AU"/>
        </w:rPr>
        <w:t>:</w:t>
      </w:r>
    </w:p>
    <w:p w:rsidR="00942E2A" w:rsidRPr="00942E2A" w:rsidRDefault="00942E2A" w:rsidP="00043CF2">
      <w:pPr>
        <w:pStyle w:val="PointsBullets"/>
        <w:jc w:val="both"/>
      </w:pPr>
      <w:r w:rsidRPr="00942E2A">
        <w:t>Improved quality of documents by effecti</w:t>
      </w:r>
      <w:r w:rsidR="00AC3229">
        <w:t>vely setting a minimum standard</w:t>
      </w:r>
    </w:p>
    <w:p w:rsidR="00942E2A" w:rsidRPr="00942E2A" w:rsidRDefault="00942E2A" w:rsidP="00043CF2">
      <w:pPr>
        <w:pStyle w:val="PointsBullets"/>
        <w:jc w:val="both"/>
      </w:pPr>
      <w:r w:rsidRPr="00942E2A">
        <w:t xml:space="preserve">Time and money saved on preparation </w:t>
      </w:r>
      <w:r w:rsidR="00AC3229">
        <w:t>costs for tenders and contracts</w:t>
      </w:r>
    </w:p>
    <w:p w:rsidR="00942E2A" w:rsidRPr="00942E2A" w:rsidRDefault="00942E2A" w:rsidP="00043CF2">
      <w:pPr>
        <w:pStyle w:val="PointsBullets"/>
        <w:jc w:val="both"/>
      </w:pPr>
      <w:r w:rsidRPr="00942E2A">
        <w:t xml:space="preserve">A greater focus on the results and outcomes sought to be achieved, as less time is needed to </w:t>
      </w:r>
      <w:r w:rsidR="00AC3229">
        <w:t>develop the principal documents</w:t>
      </w:r>
    </w:p>
    <w:p w:rsidR="00942E2A" w:rsidRPr="00942E2A" w:rsidRDefault="00942E2A" w:rsidP="00043CF2">
      <w:pPr>
        <w:pStyle w:val="PointsBullets"/>
        <w:jc w:val="both"/>
      </w:pPr>
      <w:r w:rsidRPr="00942E2A">
        <w:t>Higher quality tenders as tenderers become accustomed to the standard documents and can then focus their efforts on the service and outcome</w:t>
      </w:r>
      <w:r w:rsidR="00AC3229">
        <w:t xml:space="preserve"> components of their submission</w:t>
      </w:r>
    </w:p>
    <w:p w:rsidR="00942E2A" w:rsidRPr="00942E2A" w:rsidRDefault="00942E2A" w:rsidP="00043CF2">
      <w:pPr>
        <w:pStyle w:val="PointsBullets"/>
        <w:jc w:val="both"/>
      </w:pPr>
      <w:r w:rsidRPr="00942E2A">
        <w:t>Reduced time spent on contract administration through ad</w:t>
      </w:r>
      <w:r w:rsidR="00AC3229">
        <w:t>option of consistent approaches</w:t>
      </w:r>
      <w:r w:rsidR="00FC722B">
        <w:t>.</w:t>
      </w:r>
    </w:p>
    <w:p w:rsidR="007E3A24" w:rsidRPr="007E3A24" w:rsidRDefault="00AC3229" w:rsidP="00043CF2">
      <w:pPr>
        <w:pStyle w:val="Heading2"/>
        <w:jc w:val="both"/>
        <w:rPr>
          <w:lang w:eastAsia="en-AU"/>
        </w:rPr>
      </w:pPr>
      <w:bookmarkStart w:id="151" w:name="_Toc307470477"/>
      <w:r>
        <w:rPr>
          <w:lang w:eastAsia="en-AU"/>
        </w:rPr>
        <w:t>Professional a</w:t>
      </w:r>
      <w:r w:rsidR="007E3A24" w:rsidRPr="007E3A24">
        <w:rPr>
          <w:lang w:eastAsia="en-AU"/>
        </w:rPr>
        <w:t>dvice</w:t>
      </w:r>
      <w:bookmarkEnd w:id="151"/>
      <w:r w:rsidR="007E3A24" w:rsidRPr="007E3A24">
        <w:rPr>
          <w:lang w:eastAsia="en-AU"/>
        </w:rPr>
        <w:t xml:space="preserve"> </w:t>
      </w:r>
    </w:p>
    <w:p w:rsidR="007E3A24" w:rsidRDefault="00AC3229" w:rsidP="00043CF2">
      <w:pPr>
        <w:pStyle w:val="ParaIndent"/>
        <w:jc w:val="both"/>
        <w:rPr>
          <w:lang w:eastAsia="en-AU"/>
        </w:rPr>
      </w:pPr>
      <w:r w:rsidRPr="00AC3229">
        <w:rPr>
          <w:lang w:eastAsia="en-AU"/>
        </w:rPr>
        <w:t>Local government</w:t>
      </w:r>
      <w:r>
        <w:rPr>
          <w:lang w:eastAsia="en-AU"/>
        </w:rPr>
        <w:t>s commonly engage</w:t>
      </w:r>
      <w:r w:rsidRPr="00AC3229">
        <w:rPr>
          <w:lang w:eastAsia="en-AU"/>
        </w:rPr>
        <w:t xml:space="preserve"> the services of private sector consultants in order to provide </w:t>
      </w:r>
      <w:r w:rsidR="00FC722B">
        <w:rPr>
          <w:lang w:eastAsia="en-AU"/>
        </w:rPr>
        <w:t xml:space="preserve">them </w:t>
      </w:r>
      <w:r w:rsidRPr="00AC3229">
        <w:rPr>
          <w:lang w:eastAsia="en-AU"/>
        </w:rPr>
        <w:t xml:space="preserve">specialist information and advice. There </w:t>
      </w:r>
      <w:r>
        <w:rPr>
          <w:lang w:eastAsia="en-AU"/>
        </w:rPr>
        <w:t>are</w:t>
      </w:r>
      <w:r w:rsidRPr="00AC3229">
        <w:rPr>
          <w:lang w:eastAsia="en-AU"/>
        </w:rPr>
        <w:t xml:space="preserve"> a large number of service providers in the market</w:t>
      </w:r>
      <w:r>
        <w:rPr>
          <w:lang w:eastAsia="en-AU"/>
        </w:rPr>
        <w:t xml:space="preserve">place; the </w:t>
      </w:r>
      <w:r w:rsidRPr="00AC3229">
        <w:rPr>
          <w:i/>
          <w:lang w:eastAsia="en-AU"/>
        </w:rPr>
        <w:t>Inside Waste Industry Report 2011</w:t>
      </w:r>
      <w:r w:rsidR="0038725B" w:rsidRPr="0038725B">
        <w:rPr>
          <w:i/>
          <w:lang w:eastAsia="en-AU"/>
        </w:rPr>
        <w:t>–</w:t>
      </w:r>
      <w:r w:rsidRPr="00AC3229">
        <w:rPr>
          <w:i/>
          <w:lang w:eastAsia="en-AU"/>
        </w:rPr>
        <w:t>12</w:t>
      </w:r>
      <w:r>
        <w:rPr>
          <w:lang w:eastAsia="en-AU"/>
        </w:rPr>
        <w:t xml:space="preserve"> lists 25 ‘leading cons</w:t>
      </w:r>
      <w:r w:rsidR="00FC722B">
        <w:rPr>
          <w:lang w:eastAsia="en-AU"/>
        </w:rPr>
        <w:t>ultancies in waste management’ and while t</w:t>
      </w:r>
      <w:r>
        <w:rPr>
          <w:lang w:eastAsia="en-AU"/>
        </w:rPr>
        <w:t xml:space="preserve">he total number of consultancies offering waste and recycling advice is unknown, </w:t>
      </w:r>
      <w:r w:rsidR="00FC722B">
        <w:rPr>
          <w:lang w:eastAsia="en-AU"/>
        </w:rPr>
        <w:t>it is</w:t>
      </w:r>
      <w:r>
        <w:rPr>
          <w:lang w:eastAsia="en-AU"/>
        </w:rPr>
        <w:t xml:space="preserve"> likely to number several hundred.</w:t>
      </w:r>
    </w:p>
    <w:p w:rsidR="00AC3229" w:rsidRPr="00AC3229" w:rsidRDefault="00AC3229" w:rsidP="00043CF2">
      <w:pPr>
        <w:pStyle w:val="ParaIndent"/>
        <w:jc w:val="both"/>
        <w:rPr>
          <w:lang w:eastAsia="en-AU"/>
        </w:rPr>
      </w:pPr>
      <w:r>
        <w:rPr>
          <w:lang w:eastAsia="en-AU"/>
        </w:rPr>
        <w:t xml:space="preserve">Consultancies </w:t>
      </w:r>
      <w:proofErr w:type="gramStart"/>
      <w:r>
        <w:rPr>
          <w:lang w:eastAsia="en-AU"/>
        </w:rPr>
        <w:t>that are</w:t>
      </w:r>
      <w:proofErr w:type="gramEnd"/>
      <w:r>
        <w:rPr>
          <w:lang w:eastAsia="en-AU"/>
        </w:rPr>
        <w:t xml:space="preserve"> active and influential in terms of </w:t>
      </w:r>
      <w:r w:rsidR="00181629">
        <w:rPr>
          <w:lang w:eastAsia="en-AU"/>
        </w:rPr>
        <w:t>providing local governments advice on waste and recycling range from large multinational firms through to</w:t>
      </w:r>
      <w:r w:rsidR="0038725B">
        <w:rPr>
          <w:lang w:eastAsia="en-AU"/>
        </w:rPr>
        <w:t xml:space="preserve"> boutique firms with less than five</w:t>
      </w:r>
      <w:r w:rsidR="00181629">
        <w:rPr>
          <w:lang w:eastAsia="en-AU"/>
        </w:rPr>
        <w:t xml:space="preserve"> staff.</w:t>
      </w:r>
      <w:r>
        <w:rPr>
          <w:lang w:eastAsia="en-AU"/>
        </w:rPr>
        <w:t xml:space="preserve"> </w:t>
      </w:r>
    </w:p>
    <w:p w:rsidR="007E3A24" w:rsidRDefault="007E3A24" w:rsidP="007E3A24">
      <w:pPr>
        <w:pStyle w:val="Heading2"/>
        <w:rPr>
          <w:lang w:eastAsia="en-AU"/>
        </w:rPr>
      </w:pPr>
      <w:bookmarkStart w:id="152" w:name="_Toc307470478"/>
      <w:r w:rsidRPr="007E3A24">
        <w:rPr>
          <w:lang w:eastAsia="en-AU"/>
        </w:rPr>
        <w:lastRenderedPageBreak/>
        <w:t>Collection</w:t>
      </w:r>
      <w:r w:rsidR="00AC3229">
        <w:rPr>
          <w:lang w:eastAsia="en-AU"/>
        </w:rPr>
        <w:t xml:space="preserve"> services</w:t>
      </w:r>
      <w:bookmarkEnd w:id="152"/>
    </w:p>
    <w:p w:rsidR="002D56D2" w:rsidRDefault="00FC2B4C" w:rsidP="00043CF2">
      <w:pPr>
        <w:pStyle w:val="ParaIndent"/>
        <w:jc w:val="both"/>
        <w:rPr>
          <w:lang w:eastAsia="en-AU"/>
        </w:rPr>
      </w:pPr>
      <w:r>
        <w:rPr>
          <w:lang w:eastAsia="en-AU"/>
        </w:rPr>
        <w:t xml:space="preserve">There is a common philosophical divide, across all Australian jurisdictions, between those local governments which seek to </w:t>
      </w:r>
      <w:r w:rsidR="002D56D2">
        <w:rPr>
          <w:lang w:eastAsia="en-AU"/>
        </w:rPr>
        <w:t xml:space="preserve">manage and </w:t>
      </w:r>
      <w:r>
        <w:rPr>
          <w:lang w:eastAsia="en-AU"/>
        </w:rPr>
        <w:t xml:space="preserve">operate waste </w:t>
      </w:r>
      <w:r w:rsidR="002D56D2">
        <w:rPr>
          <w:lang w:eastAsia="en-AU"/>
        </w:rPr>
        <w:t xml:space="preserve">collection </w:t>
      </w:r>
      <w:r>
        <w:rPr>
          <w:lang w:eastAsia="en-AU"/>
        </w:rPr>
        <w:t xml:space="preserve">services using </w:t>
      </w:r>
      <w:r w:rsidR="002D56D2">
        <w:rPr>
          <w:lang w:eastAsia="en-AU"/>
        </w:rPr>
        <w:t xml:space="preserve">their own </w:t>
      </w:r>
      <w:r>
        <w:rPr>
          <w:lang w:eastAsia="en-AU"/>
        </w:rPr>
        <w:t>internal ‘day labour’</w:t>
      </w:r>
      <w:r w:rsidR="002D56D2">
        <w:rPr>
          <w:lang w:eastAsia="en-AU"/>
        </w:rPr>
        <w:t>,</w:t>
      </w:r>
      <w:r>
        <w:rPr>
          <w:lang w:eastAsia="en-AU"/>
        </w:rPr>
        <w:t xml:space="preserve"> and</w:t>
      </w:r>
      <w:r w:rsidR="002D56D2">
        <w:rPr>
          <w:lang w:eastAsia="en-AU"/>
        </w:rPr>
        <w:t xml:space="preserve"> those which seek to outsource these services to private sector operators. </w:t>
      </w:r>
    </w:p>
    <w:p w:rsidR="00FC2B4C" w:rsidRDefault="002D56D2" w:rsidP="00043CF2">
      <w:pPr>
        <w:pStyle w:val="ParaIndent"/>
        <w:jc w:val="both"/>
        <w:rPr>
          <w:lang w:eastAsia="en-AU"/>
        </w:rPr>
      </w:pPr>
      <w:r>
        <w:rPr>
          <w:lang w:eastAsia="en-AU"/>
        </w:rPr>
        <w:t>Councils which preference ‘day labour’</w:t>
      </w:r>
      <w:r w:rsidR="00FC722B">
        <w:rPr>
          <w:lang w:eastAsia="en-AU"/>
        </w:rPr>
        <w:t xml:space="preserve"> for collection services</w:t>
      </w:r>
      <w:r>
        <w:rPr>
          <w:lang w:eastAsia="en-AU"/>
        </w:rPr>
        <w:t xml:space="preserve"> commonly </w:t>
      </w:r>
      <w:proofErr w:type="gramStart"/>
      <w:r>
        <w:rPr>
          <w:lang w:eastAsia="en-AU"/>
        </w:rPr>
        <w:t>cite</w:t>
      </w:r>
      <w:proofErr w:type="gramEnd"/>
      <w:r>
        <w:rPr>
          <w:lang w:eastAsia="en-AU"/>
        </w:rPr>
        <w:t xml:space="preserve"> factors including:</w:t>
      </w:r>
    </w:p>
    <w:p w:rsidR="002D56D2" w:rsidRDefault="002D56D2" w:rsidP="0038725B">
      <w:pPr>
        <w:pStyle w:val="PointsBullets"/>
        <w:rPr>
          <w:lang w:eastAsia="en-AU"/>
        </w:rPr>
      </w:pPr>
      <w:r>
        <w:rPr>
          <w:lang w:eastAsia="en-AU"/>
        </w:rPr>
        <w:t xml:space="preserve">Greater flexibility (for example the ability to </w:t>
      </w:r>
      <w:r w:rsidR="00FC722B">
        <w:rPr>
          <w:lang w:eastAsia="en-AU"/>
        </w:rPr>
        <w:t xml:space="preserve">quickly </w:t>
      </w:r>
      <w:r>
        <w:rPr>
          <w:lang w:eastAsia="en-AU"/>
        </w:rPr>
        <w:t>alter services)</w:t>
      </w:r>
    </w:p>
    <w:p w:rsidR="002D56D2" w:rsidRDefault="002D56D2" w:rsidP="0038725B">
      <w:pPr>
        <w:pStyle w:val="PointsBullets"/>
        <w:rPr>
          <w:lang w:eastAsia="en-AU"/>
        </w:rPr>
      </w:pPr>
      <w:r>
        <w:rPr>
          <w:lang w:eastAsia="en-AU"/>
        </w:rPr>
        <w:t>The desire to remain ‘in control’ of this core function for council</w:t>
      </w:r>
    </w:p>
    <w:p w:rsidR="002D56D2" w:rsidRDefault="002D56D2" w:rsidP="0038725B">
      <w:pPr>
        <w:pStyle w:val="PointsBullets"/>
        <w:rPr>
          <w:lang w:eastAsia="en-AU"/>
        </w:rPr>
      </w:pPr>
      <w:r>
        <w:rPr>
          <w:lang w:eastAsia="en-AU"/>
        </w:rPr>
        <w:t>The provision of employment</w:t>
      </w:r>
      <w:r w:rsidR="00FC722B">
        <w:rPr>
          <w:lang w:eastAsia="en-AU"/>
        </w:rPr>
        <w:t xml:space="preserve"> within council</w:t>
      </w:r>
      <w:r>
        <w:rPr>
          <w:lang w:eastAsia="en-AU"/>
        </w:rPr>
        <w:t>.</w:t>
      </w:r>
    </w:p>
    <w:p w:rsidR="002D56D2" w:rsidRDefault="002D56D2" w:rsidP="00043CF2">
      <w:pPr>
        <w:pStyle w:val="ParaIndent"/>
        <w:jc w:val="both"/>
        <w:rPr>
          <w:lang w:eastAsia="en-AU"/>
        </w:rPr>
      </w:pPr>
      <w:r>
        <w:rPr>
          <w:lang w:eastAsia="en-AU"/>
        </w:rPr>
        <w:t>Councils which preference the outsourcing of collection services to private sector operators commonly cite factors such as:</w:t>
      </w:r>
    </w:p>
    <w:p w:rsidR="002D56D2" w:rsidRDefault="002D56D2" w:rsidP="0038725B">
      <w:pPr>
        <w:pStyle w:val="PointsBullets"/>
        <w:rPr>
          <w:lang w:eastAsia="en-AU"/>
        </w:rPr>
      </w:pPr>
      <w:r>
        <w:rPr>
          <w:lang w:eastAsia="en-AU"/>
        </w:rPr>
        <w:t>Private operators know</w:t>
      </w:r>
      <w:r w:rsidR="00F32738">
        <w:rPr>
          <w:lang w:eastAsia="en-AU"/>
        </w:rPr>
        <w:t>ing</w:t>
      </w:r>
      <w:r>
        <w:rPr>
          <w:lang w:eastAsia="en-AU"/>
        </w:rPr>
        <w:t xml:space="preserve"> the ‘wheels business’, which is not core </w:t>
      </w:r>
      <w:r w:rsidR="00FC722B">
        <w:rPr>
          <w:lang w:eastAsia="en-AU"/>
        </w:rPr>
        <w:t xml:space="preserve">business </w:t>
      </w:r>
      <w:r>
        <w:rPr>
          <w:lang w:eastAsia="en-AU"/>
        </w:rPr>
        <w:t>for councils</w:t>
      </w:r>
    </w:p>
    <w:p w:rsidR="002D56D2" w:rsidRDefault="002D56D2" w:rsidP="0038725B">
      <w:pPr>
        <w:pStyle w:val="PointsBullets"/>
        <w:rPr>
          <w:lang w:eastAsia="en-AU"/>
        </w:rPr>
      </w:pPr>
      <w:r>
        <w:rPr>
          <w:lang w:eastAsia="en-AU"/>
        </w:rPr>
        <w:t>Greater cost efficiency</w:t>
      </w:r>
    </w:p>
    <w:p w:rsidR="002D56D2" w:rsidRDefault="002D56D2" w:rsidP="0038725B">
      <w:pPr>
        <w:pStyle w:val="PointsBullets"/>
        <w:rPr>
          <w:lang w:eastAsia="en-AU"/>
        </w:rPr>
      </w:pPr>
      <w:r>
        <w:rPr>
          <w:lang w:eastAsia="en-AU"/>
        </w:rPr>
        <w:t xml:space="preserve">Ability to outsource risk and more </w:t>
      </w:r>
      <w:r w:rsidR="00F32738">
        <w:rPr>
          <w:lang w:eastAsia="en-AU"/>
        </w:rPr>
        <w:t>accurately</w:t>
      </w:r>
      <w:r>
        <w:rPr>
          <w:lang w:eastAsia="en-AU"/>
        </w:rPr>
        <w:t xml:space="preserve"> budget for </w:t>
      </w:r>
      <w:r w:rsidR="00F32738">
        <w:rPr>
          <w:lang w:eastAsia="en-AU"/>
        </w:rPr>
        <w:t xml:space="preserve">the </w:t>
      </w:r>
      <w:r>
        <w:rPr>
          <w:lang w:eastAsia="en-AU"/>
        </w:rPr>
        <w:t>services.</w:t>
      </w:r>
    </w:p>
    <w:p w:rsidR="002D56D2" w:rsidRPr="00FC2B4C" w:rsidRDefault="002D56D2" w:rsidP="00043CF2">
      <w:pPr>
        <w:pStyle w:val="ParaIndent"/>
        <w:jc w:val="both"/>
        <w:rPr>
          <w:lang w:eastAsia="en-AU"/>
        </w:rPr>
      </w:pPr>
      <w:r>
        <w:rPr>
          <w:lang w:eastAsia="en-AU"/>
        </w:rPr>
        <w:t xml:space="preserve">There has been a general trend toward increasing reliance on private sector operators, especially as </w:t>
      </w:r>
      <w:r w:rsidR="00F32738">
        <w:rPr>
          <w:lang w:eastAsia="en-AU"/>
        </w:rPr>
        <w:t xml:space="preserve">waste collection services have become more complex through the inclusion of additional services (such as commingled recycling, </w:t>
      </w:r>
      <w:proofErr w:type="spellStart"/>
      <w:r w:rsidR="00F32738">
        <w:rPr>
          <w:lang w:eastAsia="en-AU"/>
        </w:rPr>
        <w:t>greenwaste</w:t>
      </w:r>
      <w:proofErr w:type="spellEnd"/>
      <w:r w:rsidR="00F32738">
        <w:rPr>
          <w:lang w:eastAsia="en-AU"/>
        </w:rPr>
        <w:t xml:space="preserve"> and garden organics).</w:t>
      </w:r>
    </w:p>
    <w:p w:rsidR="007E3A24" w:rsidRDefault="00E85ECD" w:rsidP="00043CF2">
      <w:pPr>
        <w:pStyle w:val="ParaIndent"/>
        <w:jc w:val="both"/>
      </w:pPr>
      <w:r>
        <w:t>T</w:t>
      </w:r>
      <w:r w:rsidR="00FC2B4C">
        <w:t xml:space="preserve">he </w:t>
      </w:r>
      <w:r w:rsidRPr="00E85ECD">
        <w:rPr>
          <w:i/>
        </w:rPr>
        <w:t xml:space="preserve">Inside Waste Industry Report </w:t>
      </w:r>
      <w:r w:rsidR="00F32738" w:rsidRPr="00E85ECD">
        <w:rPr>
          <w:i/>
        </w:rPr>
        <w:t>2011</w:t>
      </w:r>
      <w:r w:rsidR="0038725B" w:rsidRPr="00942E2A">
        <w:rPr>
          <w:lang w:eastAsia="en-AU"/>
        </w:rPr>
        <w:t>–</w:t>
      </w:r>
      <w:r w:rsidRPr="00E85ECD">
        <w:rPr>
          <w:i/>
        </w:rPr>
        <w:t>12</w:t>
      </w:r>
      <w:r>
        <w:t xml:space="preserve">, based on a survey of local government, </w:t>
      </w:r>
      <w:r w:rsidR="005238BF" w:rsidRPr="00D56C84">
        <w:t>suggest</w:t>
      </w:r>
      <w:r w:rsidR="00FC722B">
        <w:t>s</w:t>
      </w:r>
      <w:r w:rsidR="005238BF" w:rsidRPr="00D56C84">
        <w:t xml:space="preserve"> </w:t>
      </w:r>
      <w:r w:rsidR="00FC2B4C">
        <w:t xml:space="preserve">that across Australia </w:t>
      </w:r>
      <w:r w:rsidR="005238BF" w:rsidRPr="00D56C84">
        <w:t xml:space="preserve">approximately 65% of residual waste collections are </w:t>
      </w:r>
      <w:r w:rsidR="00F32738">
        <w:t xml:space="preserve">currently </w:t>
      </w:r>
      <w:r w:rsidR="005238BF" w:rsidRPr="00D56C84">
        <w:t>contracted to the private sector; approximately 80% of recycling collections are contracted out; and approximately 75% of green waste collection services are contracted out.</w:t>
      </w:r>
      <w:r w:rsidR="00FC722B">
        <w:t xml:space="preserve"> The reliance on contractors</w:t>
      </w:r>
      <w:r>
        <w:t xml:space="preserve"> differs between jurisdictions, as shown in </w:t>
      </w:r>
      <w:fldSimple w:instr=" REF _Ref300220871 \h  \* MERGEFORMAT ">
        <w:r w:rsidR="00166111" w:rsidRPr="006226B1">
          <w:t xml:space="preserve">Table </w:t>
        </w:r>
        <w:r w:rsidR="00166111">
          <w:rPr>
            <w:noProof/>
          </w:rPr>
          <w:t>15</w:t>
        </w:r>
        <w:r w:rsidR="00166111" w:rsidRPr="006226B1">
          <w:rPr>
            <w:noProof/>
          </w:rPr>
          <w:t>-</w:t>
        </w:r>
        <w:r w:rsidR="00166111">
          <w:rPr>
            <w:noProof/>
          </w:rPr>
          <w:t>43</w:t>
        </w:r>
      </w:fldSimple>
      <w:r w:rsidR="00962486">
        <w:rPr>
          <w:rStyle w:val="FootnoteReference"/>
        </w:rPr>
        <w:footnoteReference w:id="34"/>
      </w:r>
      <w:r w:rsidR="00962486">
        <w:t>.</w:t>
      </w:r>
    </w:p>
    <w:p w:rsidR="00962486" w:rsidRDefault="00962486" w:rsidP="00962486">
      <w:pPr>
        <w:pStyle w:val="Caption"/>
      </w:pPr>
      <w:bookmarkStart w:id="153" w:name="_Ref300220871"/>
      <w:r w:rsidRPr="006226B1">
        <w:t xml:space="preserve">Table </w:t>
      </w:r>
      <w:r w:rsidR="00ED6CA0">
        <w:fldChar w:fldCharType="begin"/>
      </w:r>
      <w:r w:rsidR="006D5406">
        <w:instrText xml:space="preserve"> STYLEREF "_Heading1" \n </w:instrText>
      </w:r>
      <w:r w:rsidR="00ED6CA0">
        <w:fldChar w:fldCharType="separate"/>
      </w:r>
      <w:r w:rsidR="00166111">
        <w:rPr>
          <w:noProof/>
        </w:rPr>
        <w:t>15</w:t>
      </w:r>
      <w:r w:rsidR="00ED6CA0">
        <w:rPr>
          <w:noProof/>
        </w:rPr>
        <w:fldChar w:fldCharType="end"/>
      </w:r>
      <w:r w:rsidRPr="006226B1">
        <w:t>-</w:t>
      </w:r>
      <w:r w:rsidR="00ED6CA0">
        <w:fldChar w:fldCharType="begin"/>
      </w:r>
      <w:r w:rsidR="006D5406">
        <w:instrText xml:space="preserve"> SEQ Table \* Arabic </w:instrText>
      </w:r>
      <w:r w:rsidR="00ED6CA0">
        <w:fldChar w:fldCharType="separate"/>
      </w:r>
      <w:r w:rsidR="00166111">
        <w:rPr>
          <w:noProof/>
        </w:rPr>
        <w:t>43</w:t>
      </w:r>
      <w:r w:rsidR="00ED6CA0">
        <w:rPr>
          <w:noProof/>
        </w:rPr>
        <w:fldChar w:fldCharType="end"/>
      </w:r>
      <w:bookmarkEnd w:id="153"/>
      <w:r w:rsidRPr="006226B1">
        <w:tab/>
      </w:r>
      <w:r>
        <w:t>Reliance on private sector operators for collection services (</w:t>
      </w:r>
      <w:r w:rsidRPr="00962486">
        <w:rPr>
          <w:i/>
        </w:rPr>
        <w:t>Inside Waste Industry Report, 2011</w:t>
      </w:r>
      <w:r w:rsidR="0038725B">
        <w:rPr>
          <w:i/>
        </w:rPr>
        <w:t>-</w:t>
      </w:r>
      <w:r w:rsidRPr="00962486">
        <w:rPr>
          <w:i/>
        </w:rPr>
        <w:t>12</w:t>
      </w:r>
      <w:r>
        <w:t>)</w:t>
      </w:r>
    </w:p>
    <w:tbl>
      <w:tblPr>
        <w:tblStyle w:val="TableGrid"/>
        <w:tblW w:w="0" w:type="auto"/>
        <w:tblInd w:w="1134" w:type="dxa"/>
        <w:tblBorders>
          <w:top w:val="none" w:sz="0" w:space="0" w:color="auto"/>
          <w:left w:val="none" w:sz="0" w:space="0" w:color="auto"/>
          <w:bottom w:val="single" w:sz="18" w:space="0" w:color="808080"/>
          <w:right w:val="none" w:sz="0" w:space="0" w:color="auto"/>
          <w:insideH w:val="single" w:sz="4" w:space="0" w:color="808080"/>
          <w:insideV w:val="none" w:sz="0" w:space="0" w:color="auto"/>
        </w:tblBorders>
        <w:tblLayout w:type="fixed"/>
        <w:tblCellMar>
          <w:left w:w="0" w:type="dxa"/>
          <w:right w:w="0" w:type="dxa"/>
        </w:tblCellMar>
        <w:tblLook w:val="04A0"/>
      </w:tblPr>
      <w:tblGrid>
        <w:gridCol w:w="2186"/>
        <w:gridCol w:w="2171"/>
        <w:gridCol w:w="2171"/>
        <w:gridCol w:w="2193"/>
      </w:tblGrid>
      <w:tr w:rsidR="00E85ECD" w:rsidTr="00962486">
        <w:tc>
          <w:tcPr>
            <w:tcW w:w="2186" w:type="dxa"/>
            <w:shd w:val="clear" w:color="auto" w:fill="auto"/>
            <w:vAlign w:val="bottom"/>
          </w:tcPr>
          <w:p w:rsidR="00E85ECD" w:rsidRDefault="00E85ECD" w:rsidP="00962486">
            <w:pPr>
              <w:pStyle w:val="TableHeading"/>
            </w:pPr>
            <w:r>
              <w:t>Jurisdiction</w:t>
            </w:r>
          </w:p>
        </w:tc>
        <w:tc>
          <w:tcPr>
            <w:tcW w:w="2171" w:type="dxa"/>
            <w:shd w:val="clear" w:color="auto" w:fill="auto"/>
          </w:tcPr>
          <w:p w:rsidR="00E85ECD" w:rsidRDefault="00E85ECD" w:rsidP="00962486">
            <w:pPr>
              <w:pStyle w:val="TableHeading"/>
            </w:pPr>
            <w:r>
              <w:t>% of refuse collections contracted to private operators</w:t>
            </w:r>
          </w:p>
        </w:tc>
        <w:tc>
          <w:tcPr>
            <w:tcW w:w="2171" w:type="dxa"/>
            <w:shd w:val="clear" w:color="auto" w:fill="auto"/>
          </w:tcPr>
          <w:p w:rsidR="00E85ECD" w:rsidRDefault="00E85ECD" w:rsidP="00962486">
            <w:pPr>
              <w:pStyle w:val="TableHeading"/>
            </w:pPr>
            <w:r>
              <w:t>% of recycling collections contracted to private operators</w:t>
            </w:r>
          </w:p>
        </w:tc>
        <w:tc>
          <w:tcPr>
            <w:tcW w:w="2193" w:type="dxa"/>
            <w:shd w:val="clear" w:color="auto" w:fill="auto"/>
          </w:tcPr>
          <w:p w:rsidR="00E85ECD" w:rsidRDefault="00E85ECD" w:rsidP="00962486">
            <w:pPr>
              <w:pStyle w:val="TableHeading"/>
            </w:pPr>
            <w:r>
              <w:t xml:space="preserve">% of </w:t>
            </w:r>
            <w:proofErr w:type="spellStart"/>
            <w:r>
              <w:t>greenwaste</w:t>
            </w:r>
            <w:proofErr w:type="spellEnd"/>
            <w:r>
              <w:t xml:space="preserve"> collections contracted to private operators</w:t>
            </w:r>
          </w:p>
        </w:tc>
      </w:tr>
      <w:tr w:rsidR="00E85ECD" w:rsidTr="00962486">
        <w:tc>
          <w:tcPr>
            <w:tcW w:w="2186" w:type="dxa"/>
            <w:shd w:val="clear" w:color="auto" w:fill="auto"/>
          </w:tcPr>
          <w:p w:rsidR="00E85ECD" w:rsidRDefault="00E85ECD" w:rsidP="00962486">
            <w:pPr>
              <w:pStyle w:val="TableText"/>
            </w:pPr>
            <w:r>
              <w:t>NSW</w:t>
            </w:r>
          </w:p>
        </w:tc>
        <w:tc>
          <w:tcPr>
            <w:tcW w:w="2171" w:type="dxa"/>
            <w:shd w:val="clear" w:color="auto" w:fill="auto"/>
          </w:tcPr>
          <w:p w:rsidR="00E85ECD" w:rsidRDefault="00E85ECD" w:rsidP="00962486">
            <w:pPr>
              <w:pStyle w:val="TableText"/>
            </w:pPr>
            <w:r>
              <w:t>67%</w:t>
            </w:r>
          </w:p>
        </w:tc>
        <w:tc>
          <w:tcPr>
            <w:tcW w:w="2171" w:type="dxa"/>
            <w:shd w:val="clear" w:color="auto" w:fill="auto"/>
          </w:tcPr>
          <w:p w:rsidR="00E85ECD" w:rsidRDefault="00E85ECD" w:rsidP="00962486">
            <w:pPr>
              <w:pStyle w:val="TableText"/>
            </w:pPr>
            <w:r>
              <w:t>78%</w:t>
            </w:r>
          </w:p>
        </w:tc>
        <w:tc>
          <w:tcPr>
            <w:tcW w:w="2193" w:type="dxa"/>
            <w:shd w:val="clear" w:color="auto" w:fill="auto"/>
          </w:tcPr>
          <w:p w:rsidR="00E85ECD" w:rsidRDefault="00E85ECD" w:rsidP="00962486">
            <w:pPr>
              <w:pStyle w:val="TableText"/>
            </w:pPr>
            <w:r>
              <w:t>77%</w:t>
            </w:r>
          </w:p>
        </w:tc>
      </w:tr>
      <w:tr w:rsidR="00E85ECD" w:rsidTr="00962486">
        <w:tc>
          <w:tcPr>
            <w:tcW w:w="2186" w:type="dxa"/>
            <w:shd w:val="clear" w:color="auto" w:fill="auto"/>
          </w:tcPr>
          <w:p w:rsidR="00E85ECD" w:rsidRDefault="00E85ECD" w:rsidP="00962486">
            <w:pPr>
              <w:pStyle w:val="TableText"/>
            </w:pPr>
            <w:r>
              <w:t>Victoria</w:t>
            </w:r>
          </w:p>
        </w:tc>
        <w:tc>
          <w:tcPr>
            <w:tcW w:w="2171" w:type="dxa"/>
            <w:shd w:val="clear" w:color="auto" w:fill="auto"/>
          </w:tcPr>
          <w:p w:rsidR="00E85ECD" w:rsidRDefault="00E85ECD" w:rsidP="00962486">
            <w:pPr>
              <w:pStyle w:val="TableText"/>
            </w:pPr>
            <w:r>
              <w:t>80%</w:t>
            </w:r>
          </w:p>
        </w:tc>
        <w:tc>
          <w:tcPr>
            <w:tcW w:w="2171" w:type="dxa"/>
            <w:shd w:val="clear" w:color="auto" w:fill="auto"/>
          </w:tcPr>
          <w:p w:rsidR="00E85ECD" w:rsidRDefault="00E85ECD" w:rsidP="00962486">
            <w:pPr>
              <w:pStyle w:val="TableText"/>
            </w:pPr>
            <w:r>
              <w:t>90%</w:t>
            </w:r>
          </w:p>
        </w:tc>
        <w:tc>
          <w:tcPr>
            <w:tcW w:w="2193" w:type="dxa"/>
            <w:shd w:val="clear" w:color="auto" w:fill="auto"/>
          </w:tcPr>
          <w:p w:rsidR="00E85ECD" w:rsidRDefault="00E85ECD" w:rsidP="00962486">
            <w:pPr>
              <w:pStyle w:val="TableText"/>
            </w:pPr>
            <w:r>
              <w:t>83%</w:t>
            </w:r>
          </w:p>
        </w:tc>
      </w:tr>
      <w:tr w:rsidR="00E85ECD" w:rsidTr="00962486">
        <w:tc>
          <w:tcPr>
            <w:tcW w:w="2186" w:type="dxa"/>
            <w:shd w:val="clear" w:color="auto" w:fill="auto"/>
          </w:tcPr>
          <w:p w:rsidR="00E85ECD" w:rsidRDefault="00E85ECD" w:rsidP="00962486">
            <w:pPr>
              <w:pStyle w:val="TableText"/>
            </w:pPr>
            <w:r>
              <w:t>Western Australia</w:t>
            </w:r>
          </w:p>
        </w:tc>
        <w:tc>
          <w:tcPr>
            <w:tcW w:w="2171" w:type="dxa"/>
            <w:shd w:val="clear" w:color="auto" w:fill="auto"/>
          </w:tcPr>
          <w:p w:rsidR="00E85ECD" w:rsidRDefault="00962486" w:rsidP="00962486">
            <w:pPr>
              <w:pStyle w:val="TableText"/>
            </w:pPr>
            <w:r>
              <w:t>47%</w:t>
            </w:r>
          </w:p>
        </w:tc>
        <w:tc>
          <w:tcPr>
            <w:tcW w:w="2171" w:type="dxa"/>
            <w:shd w:val="clear" w:color="auto" w:fill="auto"/>
          </w:tcPr>
          <w:p w:rsidR="00E85ECD" w:rsidRDefault="00962486" w:rsidP="00962486">
            <w:pPr>
              <w:pStyle w:val="TableText"/>
            </w:pPr>
            <w:r>
              <w:t>70%</w:t>
            </w:r>
          </w:p>
        </w:tc>
        <w:tc>
          <w:tcPr>
            <w:tcW w:w="2193" w:type="dxa"/>
            <w:shd w:val="clear" w:color="auto" w:fill="auto"/>
          </w:tcPr>
          <w:p w:rsidR="00E85ECD" w:rsidRDefault="00962486" w:rsidP="00962486">
            <w:pPr>
              <w:pStyle w:val="TableText"/>
            </w:pPr>
            <w:r>
              <w:t>57%</w:t>
            </w:r>
          </w:p>
        </w:tc>
      </w:tr>
      <w:tr w:rsidR="00E85ECD" w:rsidTr="00962486">
        <w:tc>
          <w:tcPr>
            <w:tcW w:w="2186" w:type="dxa"/>
            <w:shd w:val="clear" w:color="auto" w:fill="auto"/>
          </w:tcPr>
          <w:p w:rsidR="00E85ECD" w:rsidRDefault="00962486" w:rsidP="00962486">
            <w:pPr>
              <w:pStyle w:val="TableText"/>
            </w:pPr>
            <w:r>
              <w:t>Tasmania</w:t>
            </w:r>
          </w:p>
        </w:tc>
        <w:tc>
          <w:tcPr>
            <w:tcW w:w="2171" w:type="dxa"/>
            <w:shd w:val="clear" w:color="auto" w:fill="auto"/>
          </w:tcPr>
          <w:p w:rsidR="00E85ECD" w:rsidRDefault="00962486" w:rsidP="00962486">
            <w:pPr>
              <w:pStyle w:val="TableText"/>
            </w:pPr>
            <w:r>
              <w:t>75%</w:t>
            </w:r>
          </w:p>
        </w:tc>
        <w:tc>
          <w:tcPr>
            <w:tcW w:w="2171" w:type="dxa"/>
            <w:shd w:val="clear" w:color="auto" w:fill="auto"/>
          </w:tcPr>
          <w:p w:rsidR="00E85ECD" w:rsidRDefault="00962486" w:rsidP="00962486">
            <w:pPr>
              <w:pStyle w:val="TableText"/>
            </w:pPr>
            <w:r>
              <w:t>75%</w:t>
            </w:r>
          </w:p>
        </w:tc>
        <w:tc>
          <w:tcPr>
            <w:tcW w:w="2193" w:type="dxa"/>
            <w:shd w:val="clear" w:color="auto" w:fill="auto"/>
          </w:tcPr>
          <w:p w:rsidR="00E85ECD" w:rsidRDefault="00962486" w:rsidP="00962486">
            <w:pPr>
              <w:pStyle w:val="TableText"/>
            </w:pPr>
            <w:r>
              <w:t>100%</w:t>
            </w:r>
          </w:p>
        </w:tc>
      </w:tr>
    </w:tbl>
    <w:p w:rsidR="00E85ECD" w:rsidRDefault="00E85ECD" w:rsidP="00CF00D6">
      <w:pPr>
        <w:pStyle w:val="ParaIndent"/>
      </w:pPr>
    </w:p>
    <w:p w:rsidR="00F32738" w:rsidRDefault="00F32738" w:rsidP="00043CF2">
      <w:pPr>
        <w:pStyle w:val="ParaIndent"/>
        <w:jc w:val="both"/>
      </w:pPr>
      <w:r>
        <w:t>A</w:t>
      </w:r>
      <w:r w:rsidR="00FC722B">
        <w:t xml:space="preserve"> variety o</w:t>
      </w:r>
      <w:r>
        <w:t xml:space="preserve">f contract lengths </w:t>
      </w:r>
      <w:r w:rsidR="00962486">
        <w:t>may be</w:t>
      </w:r>
      <w:r>
        <w:t xml:space="preserve"> offered</w:t>
      </w:r>
      <w:r w:rsidR="00FC722B">
        <w:t xml:space="preserve"> for collection services</w:t>
      </w:r>
      <w:r>
        <w:t>, as outlined in</w:t>
      </w:r>
      <w:r w:rsidR="00962486">
        <w:t xml:space="preserve"> Section</w:t>
      </w:r>
      <w:r>
        <w:t xml:space="preserve"> </w:t>
      </w:r>
      <w:fldSimple w:instr=" REF _Ref300215920 \r \h  \* MERGEFORMAT ">
        <w:r w:rsidR="00166111">
          <w:t>15.2</w:t>
        </w:r>
      </w:fldSimple>
      <w:r>
        <w:t xml:space="preserve">. </w:t>
      </w:r>
      <w:r w:rsidR="00611544">
        <w:t>Important considerations in relation to collection contracts include the provision of equipment, including collection vehicles.</w:t>
      </w:r>
      <w:r w:rsidR="00E85ECD">
        <w:t xml:space="preserve"> Other elements that may be included in </w:t>
      </w:r>
      <w:r w:rsidR="00962486">
        <w:t>some</w:t>
      </w:r>
      <w:r w:rsidR="00E85ECD">
        <w:t xml:space="preserve"> collection contract</w:t>
      </w:r>
      <w:r w:rsidR="00962486">
        <w:t>s</w:t>
      </w:r>
      <w:r w:rsidR="00E85ECD">
        <w:t xml:space="preserve"> include provision of bins, </w:t>
      </w:r>
      <w:r w:rsidR="00962486">
        <w:t>provision of call centres to field community enquires, and provision of education services. C</w:t>
      </w:r>
      <w:r w:rsidR="00611544">
        <w:t>ontract term</w:t>
      </w:r>
      <w:r w:rsidR="00962486">
        <w:t>s</w:t>
      </w:r>
      <w:r w:rsidR="00611544">
        <w:t xml:space="preserve"> will generally reflect t</w:t>
      </w:r>
      <w:r w:rsidR="00E85ECD">
        <w:t>he level of investment required</w:t>
      </w:r>
      <w:r>
        <w:t>.</w:t>
      </w:r>
    </w:p>
    <w:p w:rsidR="007E3A24" w:rsidRPr="00FC2B4C" w:rsidRDefault="007E3A24" w:rsidP="007E3A24">
      <w:pPr>
        <w:pStyle w:val="Heading2"/>
        <w:rPr>
          <w:lang w:eastAsia="en-AU"/>
        </w:rPr>
      </w:pPr>
      <w:bookmarkStart w:id="154" w:name="_Toc307470479"/>
      <w:r w:rsidRPr="007E3A24">
        <w:rPr>
          <w:lang w:eastAsia="en-AU"/>
        </w:rPr>
        <w:lastRenderedPageBreak/>
        <w:t>Processing</w:t>
      </w:r>
      <w:bookmarkEnd w:id="154"/>
      <w:r w:rsidRPr="00FC2B4C">
        <w:rPr>
          <w:lang w:eastAsia="en-AU"/>
        </w:rPr>
        <w:t xml:space="preserve"> </w:t>
      </w:r>
    </w:p>
    <w:p w:rsidR="00772DC1" w:rsidRDefault="00772DC1" w:rsidP="00043CF2">
      <w:pPr>
        <w:pStyle w:val="ParaIndent"/>
        <w:jc w:val="both"/>
      </w:pPr>
      <w:r>
        <w:t xml:space="preserve">The reprocessing of materials recovered from the municipal recycling stream – such as paper and cardboard, aluminium </w:t>
      </w:r>
      <w:r w:rsidR="00FC722B">
        <w:t xml:space="preserve">and steel </w:t>
      </w:r>
      <w:r>
        <w:t>cans</w:t>
      </w:r>
      <w:r w:rsidR="00FC722B">
        <w:t>,</w:t>
      </w:r>
      <w:r>
        <w:t xml:space="preserve"> or plastic containers – is generally</w:t>
      </w:r>
      <w:r w:rsidR="00FC722B">
        <w:t xml:space="preserve"> always</w:t>
      </w:r>
      <w:r>
        <w:t xml:space="preserve"> undertaken by private sector operators</w:t>
      </w:r>
      <w:r w:rsidR="00FC722B">
        <w:t xml:space="preserve"> (either within Australia or internationally)</w:t>
      </w:r>
      <w:r>
        <w:t>. However, some local governments play a key role in separating materials ready for reprocessing, commonly through the use of Material Recovery Facilities (MRFs) or through provision of source-separated collection containers at transfer stations or drop off centres.</w:t>
      </w:r>
    </w:p>
    <w:p w:rsidR="007E3A24" w:rsidRDefault="00F474E3" w:rsidP="00043CF2">
      <w:pPr>
        <w:pStyle w:val="ParaIndent"/>
        <w:jc w:val="both"/>
      </w:pPr>
      <w:r w:rsidRPr="00F474E3">
        <w:t xml:space="preserve">The </w:t>
      </w:r>
      <w:r w:rsidR="00772DC1">
        <w:t xml:space="preserve">increasing sophistication of MRFs, and the reliance on </w:t>
      </w:r>
      <w:r w:rsidR="00FC722B">
        <w:t xml:space="preserve">new </w:t>
      </w:r>
      <w:r w:rsidR="00772DC1">
        <w:t xml:space="preserve">technologies designed to recover resources from the municipal waste stream, has </w:t>
      </w:r>
      <w:r w:rsidR="0038725B">
        <w:t>led</w:t>
      </w:r>
      <w:r w:rsidR="00772DC1">
        <w:t xml:space="preserve"> to increasing involvement of private sector operators. Modern recycling facilities are becoming more expensive and complex to design and build, and require specialist skills to operate.</w:t>
      </w:r>
      <w:r w:rsidR="00786894" w:rsidRPr="00786894">
        <w:t xml:space="preserve"> </w:t>
      </w:r>
      <w:r w:rsidR="00FC722B">
        <w:t>A</w:t>
      </w:r>
      <w:r w:rsidR="00786894">
        <w:t xml:space="preserve">dvanced MRFs are </w:t>
      </w:r>
      <w:r w:rsidR="00FC722B">
        <w:t>commonly</w:t>
      </w:r>
      <w:r w:rsidR="00786894">
        <w:t xml:space="preserve"> constructed and operated by private sector contractors, with a variety of procurement models used</w:t>
      </w:r>
      <w:r w:rsidR="00FC722B">
        <w:t xml:space="preserve"> by local governments</w:t>
      </w:r>
      <w:r w:rsidR="00786894">
        <w:t xml:space="preserve"> throughout Australia.</w:t>
      </w:r>
    </w:p>
    <w:p w:rsidR="00786894" w:rsidRDefault="00786894" w:rsidP="00043CF2">
      <w:pPr>
        <w:pStyle w:val="ParaIndent"/>
        <w:jc w:val="both"/>
      </w:pPr>
      <w:r>
        <w:t>The same is true of Advanced Waste Treatment (AWT) facilities designed to recover resources from the residual waste stream. Existing Australian AWTs are all operated by private sector organisations.</w:t>
      </w:r>
    </w:p>
    <w:p w:rsidR="00772DC1" w:rsidRDefault="00772DC1" w:rsidP="00043CF2">
      <w:pPr>
        <w:pStyle w:val="ParaIndent"/>
        <w:jc w:val="both"/>
      </w:pPr>
      <w:r>
        <w:t xml:space="preserve">As with collection contracts, the decision to keep processing services ‘in house’ or to outsource them to the private sector often comes down to the philosophical view of the specific council. </w:t>
      </w:r>
      <w:r w:rsidR="00786894">
        <w:t xml:space="preserve">Unlike collection contracts, however, local government does not generally have the required skills, or available capital, to develop </w:t>
      </w:r>
      <w:r w:rsidR="00FC722B">
        <w:t xml:space="preserve">highly </w:t>
      </w:r>
      <w:r w:rsidR="00786894">
        <w:t>advanced processing services.</w:t>
      </w:r>
      <w:r w:rsidR="00FC722B">
        <w:t xml:space="preserve"> Electing to use day labour may therefore limit the level of sophistication of the processing facility.</w:t>
      </w:r>
    </w:p>
    <w:p w:rsidR="00772DC1" w:rsidRDefault="00786894" w:rsidP="00043CF2">
      <w:pPr>
        <w:pStyle w:val="ParaIndent"/>
        <w:jc w:val="both"/>
      </w:pPr>
      <w:r>
        <w:t>Local governments that seek to procure advanced processing technologies will commonly tender for the provision of</w:t>
      </w:r>
      <w:r w:rsidR="00CA5A45">
        <w:t xml:space="preserve"> such</w:t>
      </w:r>
      <w:r>
        <w:t xml:space="preserve"> services</w:t>
      </w:r>
      <w:r w:rsidR="00D11577">
        <w:t>. A</w:t>
      </w:r>
      <w:r>
        <w:t xml:space="preserve">lthough a range of procurement models have been used, </w:t>
      </w:r>
      <w:r w:rsidR="00D11577">
        <w:t>the</w:t>
      </w:r>
      <w:r>
        <w:t xml:space="preserve"> common arrangement is </w:t>
      </w:r>
      <w:r w:rsidR="00D11577">
        <w:t xml:space="preserve">for local government </w:t>
      </w:r>
      <w:r>
        <w:t>to provide guaranteed material flows (such as a minimum tonnes per year)</w:t>
      </w:r>
      <w:r w:rsidR="00CA5A45">
        <w:t>,</w:t>
      </w:r>
      <w:r w:rsidR="00D11577">
        <w:t xml:space="preserve"> over a set timeframe</w:t>
      </w:r>
      <w:r w:rsidR="00CA5A45">
        <w:t xml:space="preserve"> (often a fixed period with the option to extend the arrangements for further periods, if both parties consent to doing so)</w:t>
      </w:r>
      <w:r w:rsidR="00D11577">
        <w:t xml:space="preserve">. Private sector contractors are invited to tender based on their proposed facility, with a critical factor being the gate fee that will be charged at the facility. This gate fee covers the operational and capital costs of the facility. </w:t>
      </w:r>
    </w:p>
    <w:p w:rsidR="00D11577" w:rsidRDefault="00D11577" w:rsidP="00043CF2">
      <w:pPr>
        <w:pStyle w:val="ParaIndent"/>
        <w:jc w:val="both"/>
      </w:pPr>
      <w:r>
        <w:t xml:space="preserve">For less sophisticated processing services, particularly relying on a high degree of manual labour and requiring limited investment in plant and equipment, shorter contract periods may be offered. </w:t>
      </w:r>
    </w:p>
    <w:p w:rsidR="00D11577" w:rsidRDefault="00F22CEE" w:rsidP="00043CF2">
      <w:pPr>
        <w:pStyle w:val="ParaIndent"/>
        <w:jc w:val="both"/>
      </w:pPr>
      <w:r>
        <w:t>R</w:t>
      </w:r>
      <w:r w:rsidR="00D11577">
        <w:t xml:space="preserve">isk </w:t>
      </w:r>
      <w:r>
        <w:t xml:space="preserve">sharing arrangements between </w:t>
      </w:r>
      <w:r w:rsidR="00D11577">
        <w:t xml:space="preserve">each party in the contract, </w:t>
      </w:r>
      <w:r>
        <w:t>particularly</w:t>
      </w:r>
      <w:r w:rsidR="00D11577">
        <w:t xml:space="preserve"> in relation to fluctuations in commodity prices (affecting the re-sale value of recovered materials), </w:t>
      </w:r>
      <w:r>
        <w:t>will have a strong influence on the overall costs of providing processing services.</w:t>
      </w:r>
    </w:p>
    <w:p w:rsidR="004E00D6" w:rsidRPr="007E3A24" w:rsidRDefault="004E00D6" w:rsidP="00043CF2">
      <w:pPr>
        <w:pStyle w:val="Heading2"/>
        <w:jc w:val="both"/>
        <w:rPr>
          <w:lang w:eastAsia="en-AU"/>
        </w:rPr>
      </w:pPr>
      <w:bookmarkStart w:id="155" w:name="_Ref302126959"/>
      <w:bookmarkStart w:id="156" w:name="_Toc307470480"/>
      <w:r w:rsidRPr="007E3A24">
        <w:rPr>
          <w:lang w:eastAsia="en-AU"/>
        </w:rPr>
        <w:t>Disposal</w:t>
      </w:r>
      <w:bookmarkEnd w:id="155"/>
      <w:bookmarkEnd w:id="156"/>
    </w:p>
    <w:p w:rsidR="004E00D6" w:rsidRDefault="004E00D6" w:rsidP="00043CF2">
      <w:pPr>
        <w:pStyle w:val="ParaIndent"/>
        <w:jc w:val="both"/>
      </w:pPr>
      <w:r w:rsidRPr="002F5179">
        <w:t xml:space="preserve">As highlighted in Section </w:t>
      </w:r>
      <w:fldSimple w:instr=" REF _Ref300232468 \r \h  \* MERGEFORMAT ">
        <w:r w:rsidR="00166111">
          <w:t>15</w:t>
        </w:r>
      </w:fldSimple>
      <w:r w:rsidRPr="002F5179">
        <w:t xml:space="preserve">, </w:t>
      </w:r>
      <w:r w:rsidRPr="00D56C84">
        <w:t>regional and remote councils are more likely to own their own waste management infrastruc</w:t>
      </w:r>
      <w:r>
        <w:t>ture than metropolitan councils, and one</w:t>
      </w:r>
      <w:r w:rsidRPr="00D56C84">
        <w:t xml:space="preserve"> explanation</w:t>
      </w:r>
      <w:r>
        <w:t xml:space="preserve"> for this</w:t>
      </w:r>
      <w:r w:rsidRPr="00D56C84">
        <w:t xml:space="preserve"> is that metropolitan councils are more likely to attract private sector operators due to the concentrated population and higher waste volumes being managed.</w:t>
      </w:r>
    </w:p>
    <w:p w:rsidR="004E00D6" w:rsidRDefault="004E00D6" w:rsidP="00043CF2">
      <w:pPr>
        <w:pStyle w:val="ParaIndent"/>
        <w:jc w:val="both"/>
      </w:pPr>
      <w:r w:rsidRPr="002F5179">
        <w:t xml:space="preserve">While the level of technical </w:t>
      </w:r>
      <w:r>
        <w:t>sophistication employed at modern disposal (landfill) sites is not at the same level as is required at a MRF or AWT, landfill design and operation has become increasingly technical in response to community expectations about performance</w:t>
      </w:r>
      <w:r w:rsidR="0038725B">
        <w:t xml:space="preserve">. In response, </w:t>
      </w:r>
      <w:r w:rsidR="0038725B">
        <w:lastRenderedPageBreak/>
        <w:t>r</w:t>
      </w:r>
      <w:r>
        <w:t>egulatory pressure has increased the burden on sites in term</w:t>
      </w:r>
      <w:r w:rsidR="00CA5A45">
        <w:t>s of gaining planning approvals</w:t>
      </w:r>
      <w:r>
        <w:t xml:space="preserve"> as well as managing ongoing environmental monitoring and compliance obligations.</w:t>
      </w:r>
    </w:p>
    <w:p w:rsidR="004E00D6" w:rsidRDefault="004E00D6" w:rsidP="00043CF2">
      <w:pPr>
        <w:pStyle w:val="ParaIndent"/>
        <w:jc w:val="both"/>
      </w:pPr>
      <w:r>
        <w:t xml:space="preserve">Given approval processes for the construction of a new landfill facility are increasingly difficult to navigate, and because there are cost advantages due to the economies of scale </w:t>
      </w:r>
      <w:r w:rsidR="00CA5A45">
        <w:t>involved with</w:t>
      </w:r>
      <w:r>
        <w:t xml:space="preserve"> operating high-volume landfill sites, there has been a general move toward development of centralised, high volume landfill sites to service metropolitan communities.</w:t>
      </w:r>
    </w:p>
    <w:p w:rsidR="004E00D6" w:rsidRDefault="004E00D6" w:rsidP="00043CF2">
      <w:pPr>
        <w:pStyle w:val="ParaIndent"/>
        <w:jc w:val="both"/>
      </w:pPr>
      <w:r>
        <w:t xml:space="preserve">There are several examples of high volume landfills that are owned and operated by a particular local government, but service the disposal needs of other surrounding councils. However, there is also a large private sector involvement in landfill operations, </w:t>
      </w:r>
      <w:r w:rsidR="00CA5A45">
        <w:t>particularly</w:t>
      </w:r>
      <w:r>
        <w:t xml:space="preserve"> in metropolitan areas.</w:t>
      </w:r>
    </w:p>
    <w:p w:rsidR="004E00D6" w:rsidRDefault="004E00D6" w:rsidP="00043CF2">
      <w:pPr>
        <w:pStyle w:val="ParaIndent"/>
        <w:jc w:val="both"/>
      </w:pPr>
      <w:r>
        <w:t>As with processing facilities, the gate</w:t>
      </w:r>
      <w:r w:rsidR="003E73DD">
        <w:t>-</w:t>
      </w:r>
      <w:r>
        <w:t xml:space="preserve">fee for disposal that a private operator charges a local government client is designed to cover operational and capital costs of the facility, including </w:t>
      </w:r>
      <w:r w:rsidR="00CA5A45">
        <w:t xml:space="preserve">any </w:t>
      </w:r>
      <w:r>
        <w:t>provisions for the management of the site post closure.</w:t>
      </w:r>
    </w:p>
    <w:p w:rsidR="004E00D6" w:rsidRDefault="004E00D6" w:rsidP="00043CF2">
      <w:pPr>
        <w:pStyle w:val="ParaIndent"/>
        <w:jc w:val="both"/>
      </w:pPr>
      <w:r>
        <w:t xml:space="preserve">Security of disposal capacity is often a major concern for local governments, given limited ability to influence the generation of waste by the community. Contract arrangements for the disposal of waste at privately operated landfill facilities vary between parties. </w:t>
      </w:r>
    </w:p>
    <w:p w:rsidR="00C4125F" w:rsidRDefault="00C4125F" w:rsidP="00043CF2">
      <w:pPr>
        <w:pStyle w:val="ParaIndent"/>
        <w:jc w:val="both"/>
      </w:pPr>
    </w:p>
    <w:p w:rsidR="00C4125F" w:rsidRDefault="00C4125F">
      <w:pPr>
        <w:spacing w:after="0" w:line="240" w:lineRule="auto"/>
        <w:ind w:left="0"/>
      </w:pPr>
      <w:r>
        <w:br w:type="page"/>
      </w:r>
    </w:p>
    <w:p w:rsidR="000C56AF" w:rsidRDefault="00C4125F">
      <w:pPr>
        <w:pStyle w:val="Heading1"/>
      </w:pPr>
      <w:bookmarkStart w:id="157" w:name="_Toc307470481"/>
      <w:r>
        <w:lastRenderedPageBreak/>
        <w:t>Summary and conclusions</w:t>
      </w:r>
      <w:bookmarkEnd w:id="157"/>
    </w:p>
    <w:p w:rsidR="00BF20FD" w:rsidRDefault="00BF20FD" w:rsidP="00043CF2">
      <w:pPr>
        <w:pStyle w:val="ParaIndent"/>
        <w:jc w:val="both"/>
      </w:pPr>
      <w:r>
        <w:t>D</w:t>
      </w:r>
      <w:r w:rsidRPr="00D56C84">
        <w:t xml:space="preserve">ata from the ABS </w:t>
      </w:r>
      <w:r w:rsidRPr="00BF20FD">
        <w:rPr>
          <w:i/>
        </w:rPr>
        <w:t>National Regional Profile 2005–09</w:t>
      </w:r>
      <w:r w:rsidRPr="00D56C84">
        <w:t xml:space="preserve"> has been used as the primary determinant of the number, name, population and</w:t>
      </w:r>
      <w:r>
        <w:t xml:space="preserve"> size of LGAs and, f</w:t>
      </w:r>
      <w:r w:rsidRPr="00D56C84">
        <w:t xml:space="preserve">or the purposes of this study, the number of </w:t>
      </w:r>
      <w:r>
        <w:t xml:space="preserve">Australian </w:t>
      </w:r>
      <w:r w:rsidRPr="00D56C84">
        <w:t>local governments has been determined to be 559.</w:t>
      </w:r>
      <w:r>
        <w:t xml:space="preserve"> Of this total, 116 are considered ‘metropolitan’, 128 considered ‘regional’ and 315 considered ‘remote’.</w:t>
      </w:r>
    </w:p>
    <w:p w:rsidR="00BF20FD" w:rsidRDefault="00BF20FD" w:rsidP="00043CF2">
      <w:pPr>
        <w:pStyle w:val="ParaIndent"/>
        <w:jc w:val="both"/>
      </w:pPr>
      <w:r>
        <w:t xml:space="preserve">A telephone survey conducted by </w:t>
      </w:r>
      <w:proofErr w:type="spellStart"/>
      <w:r>
        <w:t>Hyder</w:t>
      </w:r>
      <w:proofErr w:type="spellEnd"/>
      <w:r>
        <w:t xml:space="preserve"> highlight</w:t>
      </w:r>
      <w:r w:rsidR="003B40BE">
        <w:t>ed</w:t>
      </w:r>
      <w:r>
        <w:t xml:space="preserve"> that, within a select group of industry stakeholders, there is a high level of interest in being able to readily access reliable information </w:t>
      </w:r>
      <w:r w:rsidRPr="00D56C84">
        <w:t>about local</w:t>
      </w:r>
      <w:r>
        <w:t xml:space="preserve"> government waste and recycling. However, the stakeholders consulted generally rated access to such information as ‘moderate’</w:t>
      </w:r>
      <w:r w:rsidRPr="00D56C84">
        <w:t>.</w:t>
      </w:r>
      <w:r>
        <w:t xml:space="preserve"> Perceived availability of information varied considerably between jurisdictions.</w:t>
      </w:r>
      <w:r w:rsidR="0038725B">
        <w:t xml:space="preserve"> </w:t>
      </w:r>
    </w:p>
    <w:p w:rsidR="00F61F6E" w:rsidRDefault="00F61F6E" w:rsidP="00043CF2">
      <w:pPr>
        <w:pStyle w:val="ParaIndent"/>
        <w:jc w:val="both"/>
      </w:pPr>
      <w:r w:rsidRPr="00F61F6E">
        <w:t>The quality of available data has not been thoroughly assessed within this project, although in some jurisdictions there are strong indicators that quality is not high. There are also several obvious inconsistencies relating to the terminology and/or methodology used in different jurisdictions. For example, information relating to per capita performance appears to be variously based on ABS population data, council-provided data on the number of rateable properties, or ABS data on number of households.</w:t>
      </w:r>
      <w:r w:rsidR="00853914">
        <w:t xml:space="preserve"> </w:t>
      </w:r>
    </w:p>
    <w:p w:rsidR="00BF20FD" w:rsidRDefault="00BF20FD" w:rsidP="00043CF2">
      <w:pPr>
        <w:pStyle w:val="ParaIndent"/>
        <w:jc w:val="both"/>
      </w:pPr>
      <w:r>
        <w:t xml:space="preserve">Several stakeholders noted development of a standard national methodology for undertaking compositional audits of waste (and to a lesser extent recycling) would be of significant value in helping to increase confidence in the baseline data that is available. This is recommended as an area of further investigation for the Australian Government. </w:t>
      </w:r>
    </w:p>
    <w:p w:rsidR="00BF20FD" w:rsidRDefault="00BF20FD" w:rsidP="00043CF2">
      <w:pPr>
        <w:pStyle w:val="ParaIndent"/>
        <w:jc w:val="both"/>
      </w:pPr>
      <w:r>
        <w:t xml:space="preserve">In performing an objective analysis of the LGA-specific information about waste and recycling that is publicly available in Australia, </w:t>
      </w:r>
      <w:proofErr w:type="spellStart"/>
      <w:r>
        <w:t>Hyder</w:t>
      </w:r>
      <w:proofErr w:type="spellEnd"/>
      <w:r>
        <w:t xml:space="preserve"> also found significant variance between different jurisdictions (as shown in </w:t>
      </w:r>
      <w:fldSimple w:instr=" REF _Ref302127840 \h  \* MERGEFORMAT ">
        <w:r w:rsidR="00166111">
          <w:t xml:space="preserve">Table </w:t>
        </w:r>
        <w:r w:rsidR="00166111">
          <w:rPr>
            <w:noProof/>
          </w:rPr>
          <w:t>4</w:t>
        </w:r>
        <w:r w:rsidR="00166111" w:rsidRPr="00D56C84">
          <w:rPr>
            <w:noProof/>
          </w:rPr>
          <w:t>-</w:t>
        </w:r>
        <w:r w:rsidR="00166111">
          <w:rPr>
            <w:noProof/>
          </w:rPr>
          <w:t>5</w:t>
        </w:r>
      </w:fldSimple>
      <w:r>
        <w:t xml:space="preserve">). Furthermore, it is noted that there is a significant difference between the level of information that is collected by various jurisdictional agencies, and the level of information that is eventually made publicly available by those agencies. </w:t>
      </w:r>
    </w:p>
    <w:p w:rsidR="00BF20FD" w:rsidRDefault="00BF20FD" w:rsidP="006C4DA0">
      <w:pPr>
        <w:pStyle w:val="ParaIndent"/>
        <w:spacing w:after="360"/>
        <w:jc w:val="both"/>
      </w:pPr>
      <w:r>
        <w:t>There are 17 selected indicators of waste and recycling performance for LGAs identified in this report. Across the 6 states and the Northern Territory, there is therefore potential for 119 articles of data to be collected and reported. Across those 7 jurisdictions, information is collected around 60 data points on an annual basis (50% of the potential) and information is made publicly available across 27 data points (23% of the potential). Performance varies by jurisdiction:</w:t>
      </w:r>
    </w:p>
    <w:tbl>
      <w:tblPr>
        <w:tblW w:w="0" w:type="auto"/>
        <w:tblInd w:w="1175" w:type="dxa"/>
        <w:tblLook w:val="0000"/>
      </w:tblPr>
      <w:tblGrid>
        <w:gridCol w:w="1984"/>
        <w:gridCol w:w="6696"/>
      </w:tblGrid>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NSW</w:t>
            </w:r>
          </w:p>
        </w:tc>
        <w:tc>
          <w:tcPr>
            <w:tcW w:w="6696" w:type="dxa"/>
          </w:tcPr>
          <w:p w:rsidR="00043CF2" w:rsidRPr="00F51F8B" w:rsidRDefault="00043CF2" w:rsidP="004F0083">
            <w:pPr>
              <w:pStyle w:val="ParaIndent"/>
              <w:numPr>
                <w:ilvl w:val="0"/>
                <w:numId w:val="42"/>
              </w:numPr>
              <w:spacing w:after="60"/>
              <w:jc w:val="both"/>
            </w:pPr>
            <w:r w:rsidRPr="00F51F8B">
              <w:t>Data is collected for 15 indicators on an annual basis;</w:t>
            </w:r>
          </w:p>
          <w:p w:rsidR="00043CF2" w:rsidRPr="00F51F8B" w:rsidRDefault="00043CF2" w:rsidP="004F0083">
            <w:pPr>
              <w:pStyle w:val="ParaIndent"/>
              <w:numPr>
                <w:ilvl w:val="0"/>
                <w:numId w:val="42"/>
              </w:numPr>
              <w:spacing w:after="60"/>
              <w:jc w:val="both"/>
            </w:pPr>
            <w:r w:rsidRPr="00F51F8B">
              <w:t>LGA-specific data for 8 of these indicators is made available to the public on an annual basis.</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Victoria</w:t>
            </w:r>
          </w:p>
        </w:tc>
        <w:tc>
          <w:tcPr>
            <w:tcW w:w="6696" w:type="dxa"/>
          </w:tcPr>
          <w:p w:rsidR="00043CF2" w:rsidRPr="00F51F8B" w:rsidRDefault="00043CF2" w:rsidP="004F0083">
            <w:pPr>
              <w:pStyle w:val="ParaIndent"/>
              <w:numPr>
                <w:ilvl w:val="0"/>
                <w:numId w:val="43"/>
              </w:numPr>
              <w:spacing w:after="60"/>
              <w:jc w:val="both"/>
            </w:pPr>
            <w:r w:rsidRPr="00F51F8B">
              <w:t>Data is collected for 15 indicators on an annual basis; and</w:t>
            </w:r>
          </w:p>
          <w:p w:rsidR="00043CF2" w:rsidRPr="00F51F8B" w:rsidRDefault="00043CF2" w:rsidP="004F0083">
            <w:pPr>
              <w:pStyle w:val="ParaIndent"/>
              <w:numPr>
                <w:ilvl w:val="0"/>
                <w:numId w:val="43"/>
              </w:numPr>
              <w:spacing w:after="60"/>
              <w:jc w:val="both"/>
            </w:pPr>
            <w:r w:rsidRPr="00F51F8B">
              <w:t>Council-specific data for 7 of these indicators is made available to the public on an annual basis.</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Queensland</w:t>
            </w:r>
          </w:p>
        </w:tc>
        <w:tc>
          <w:tcPr>
            <w:tcW w:w="6696" w:type="dxa"/>
          </w:tcPr>
          <w:p w:rsidR="00043CF2" w:rsidRPr="00F51F8B" w:rsidRDefault="00043CF2" w:rsidP="004F0083">
            <w:pPr>
              <w:pStyle w:val="ParaIndent"/>
              <w:numPr>
                <w:ilvl w:val="0"/>
                <w:numId w:val="44"/>
              </w:numPr>
              <w:spacing w:after="60"/>
              <w:jc w:val="both"/>
            </w:pPr>
            <w:r w:rsidRPr="00F51F8B">
              <w:t>Data is collected for 15 indicators on an annual basis; and</w:t>
            </w:r>
          </w:p>
          <w:p w:rsidR="00043CF2" w:rsidRPr="00F51F8B" w:rsidRDefault="00043CF2" w:rsidP="004F0083">
            <w:pPr>
              <w:pStyle w:val="ParaIndent"/>
              <w:numPr>
                <w:ilvl w:val="0"/>
                <w:numId w:val="44"/>
              </w:numPr>
              <w:spacing w:after="60"/>
              <w:jc w:val="both"/>
            </w:pPr>
            <w:r w:rsidRPr="00F51F8B">
              <w:t>Some data for 8 of these indicators has been made available to the public.</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South Australia</w:t>
            </w:r>
          </w:p>
        </w:tc>
        <w:tc>
          <w:tcPr>
            <w:tcW w:w="6696" w:type="dxa"/>
          </w:tcPr>
          <w:p w:rsidR="00043CF2" w:rsidRPr="00F51F8B" w:rsidRDefault="00043CF2" w:rsidP="004F0083">
            <w:pPr>
              <w:pStyle w:val="ParaIndent"/>
              <w:numPr>
                <w:ilvl w:val="0"/>
                <w:numId w:val="45"/>
              </w:numPr>
              <w:spacing w:after="60"/>
              <w:jc w:val="both"/>
            </w:pPr>
            <w:r w:rsidRPr="00F51F8B">
              <w:t>Data is collected for 11 indicators on an annual basis, and some data is collected for a further 3 indicators; and</w:t>
            </w:r>
          </w:p>
          <w:p w:rsidR="00043CF2" w:rsidRPr="00F51F8B" w:rsidRDefault="00043CF2" w:rsidP="004F0083">
            <w:pPr>
              <w:pStyle w:val="ParaIndent"/>
              <w:numPr>
                <w:ilvl w:val="0"/>
                <w:numId w:val="45"/>
              </w:numPr>
              <w:spacing w:after="60"/>
              <w:jc w:val="both"/>
            </w:pPr>
            <w:r w:rsidRPr="00F51F8B">
              <w:t>Some data for 2 of these indicators has been made available to the public.</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Western Australia</w:t>
            </w:r>
          </w:p>
        </w:tc>
        <w:tc>
          <w:tcPr>
            <w:tcW w:w="6696" w:type="dxa"/>
          </w:tcPr>
          <w:p w:rsidR="00043CF2" w:rsidRPr="00F51F8B" w:rsidRDefault="00043CF2" w:rsidP="004F0083">
            <w:pPr>
              <w:pStyle w:val="ParaIndent"/>
              <w:numPr>
                <w:ilvl w:val="0"/>
                <w:numId w:val="46"/>
              </w:numPr>
              <w:spacing w:after="60"/>
              <w:jc w:val="both"/>
            </w:pPr>
            <w:r w:rsidRPr="00F51F8B">
              <w:t>Data is collected for 17 indicators on an annual basis; and</w:t>
            </w:r>
          </w:p>
          <w:p w:rsidR="00043CF2" w:rsidRPr="00F51F8B" w:rsidRDefault="00043CF2" w:rsidP="004F0083">
            <w:pPr>
              <w:pStyle w:val="ParaIndent"/>
              <w:numPr>
                <w:ilvl w:val="0"/>
                <w:numId w:val="46"/>
              </w:numPr>
              <w:spacing w:after="60"/>
              <w:jc w:val="both"/>
            </w:pPr>
            <w:r w:rsidRPr="00F51F8B">
              <w:t xml:space="preserve">Limited data for these indicators </w:t>
            </w:r>
            <w:r w:rsidR="0038725B">
              <w:t>is</w:t>
            </w:r>
            <w:r w:rsidRPr="00F51F8B">
              <w:t xml:space="preserve"> made available to the public.</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lastRenderedPageBreak/>
              <w:t>Tasmania</w:t>
            </w:r>
          </w:p>
        </w:tc>
        <w:tc>
          <w:tcPr>
            <w:tcW w:w="6696" w:type="dxa"/>
          </w:tcPr>
          <w:p w:rsidR="00043CF2" w:rsidRPr="00F51F8B" w:rsidRDefault="00043CF2" w:rsidP="004F0083">
            <w:pPr>
              <w:pStyle w:val="ParaIndent"/>
              <w:numPr>
                <w:ilvl w:val="0"/>
                <w:numId w:val="47"/>
              </w:numPr>
              <w:spacing w:after="60"/>
              <w:jc w:val="both"/>
            </w:pPr>
            <w:r w:rsidRPr="00F51F8B">
              <w:t>Data is collected for 1 indicator on an annual basis; and</w:t>
            </w:r>
          </w:p>
          <w:p w:rsidR="00043CF2" w:rsidRPr="00F51F8B" w:rsidRDefault="00043CF2" w:rsidP="004F0083">
            <w:pPr>
              <w:pStyle w:val="ParaIndent"/>
              <w:numPr>
                <w:ilvl w:val="0"/>
                <w:numId w:val="47"/>
              </w:numPr>
              <w:spacing w:after="60"/>
              <w:jc w:val="both"/>
            </w:pPr>
            <w:r w:rsidRPr="00F51F8B">
              <w:t>Some data for 1 indicator has been made available to the public.</w:t>
            </w:r>
          </w:p>
        </w:tc>
      </w:tr>
      <w:tr w:rsidR="00043CF2" w:rsidRPr="00F51F8B" w:rsidTr="00F51F8B">
        <w:tc>
          <w:tcPr>
            <w:tcW w:w="1984" w:type="dxa"/>
          </w:tcPr>
          <w:p w:rsidR="00043CF2" w:rsidRPr="00F51F8B" w:rsidRDefault="00043CF2" w:rsidP="00F51F8B">
            <w:pPr>
              <w:pStyle w:val="ParaIndent"/>
              <w:spacing w:after="60"/>
              <w:ind w:left="0"/>
              <w:jc w:val="both"/>
              <w:rPr>
                <w:b/>
                <w:color w:val="495F70"/>
              </w:rPr>
            </w:pPr>
            <w:r w:rsidRPr="00F51F8B">
              <w:rPr>
                <w:b/>
                <w:color w:val="495F70"/>
              </w:rPr>
              <w:t>Northern Territory</w:t>
            </w:r>
          </w:p>
        </w:tc>
        <w:tc>
          <w:tcPr>
            <w:tcW w:w="6696" w:type="dxa"/>
          </w:tcPr>
          <w:p w:rsidR="00043CF2" w:rsidRPr="00F51F8B" w:rsidRDefault="00043CF2" w:rsidP="004F0083">
            <w:pPr>
              <w:pStyle w:val="ParaIndent"/>
              <w:numPr>
                <w:ilvl w:val="0"/>
                <w:numId w:val="48"/>
              </w:numPr>
              <w:spacing w:after="60"/>
              <w:jc w:val="both"/>
            </w:pPr>
            <w:r w:rsidRPr="00F51F8B">
              <w:t>Data is collected for 1 indicator on an annual basis; and</w:t>
            </w:r>
          </w:p>
          <w:p w:rsidR="00043CF2" w:rsidRPr="00F51F8B" w:rsidRDefault="00043CF2" w:rsidP="004F0083">
            <w:pPr>
              <w:pStyle w:val="ParaIndent"/>
              <w:numPr>
                <w:ilvl w:val="0"/>
                <w:numId w:val="48"/>
              </w:numPr>
              <w:spacing w:after="60"/>
              <w:jc w:val="both"/>
            </w:pPr>
            <w:r w:rsidRPr="00F51F8B">
              <w:t>Data for that 1 indicator has been made available to the public.</w:t>
            </w:r>
          </w:p>
        </w:tc>
      </w:tr>
    </w:tbl>
    <w:p w:rsidR="006C4DA0" w:rsidRDefault="006C4DA0" w:rsidP="00043CF2">
      <w:pPr>
        <w:pStyle w:val="ParaIndent"/>
        <w:jc w:val="both"/>
      </w:pPr>
    </w:p>
    <w:p w:rsidR="005D3929" w:rsidRDefault="00BF20FD" w:rsidP="00043CF2">
      <w:pPr>
        <w:pStyle w:val="ParaIndent"/>
        <w:jc w:val="both"/>
      </w:pPr>
      <w:r>
        <w:t>This report details an increasing trend toward private sector involvement in the management of local government waste and recycling</w:t>
      </w:r>
      <w:r w:rsidR="005D3929">
        <w:t>, through the various stages of collection, processing and/or disposal</w:t>
      </w:r>
      <w:r>
        <w:t xml:space="preserve">. </w:t>
      </w:r>
      <w:r w:rsidR="005D3929">
        <w:t xml:space="preserve">There are, however, </w:t>
      </w:r>
      <w:r w:rsidR="009101D5">
        <w:t>a large number of</w:t>
      </w:r>
      <w:r w:rsidR="005D3929">
        <w:t xml:space="preserve"> councils</w:t>
      </w:r>
      <w:r w:rsidR="009101D5">
        <w:t xml:space="preserve"> (especially in regional and remote areas)</w:t>
      </w:r>
      <w:r w:rsidR="005D3929">
        <w:t xml:space="preserve"> that predominately perform required activities using their own </w:t>
      </w:r>
      <w:r w:rsidR="009101D5">
        <w:t>internal</w:t>
      </w:r>
      <w:r w:rsidR="005D3929">
        <w:t xml:space="preserve"> day labour and council-owned facilities. </w:t>
      </w:r>
    </w:p>
    <w:p w:rsidR="005D3929" w:rsidRDefault="005D3929" w:rsidP="00043CF2">
      <w:pPr>
        <w:pStyle w:val="ParaIndent"/>
        <w:jc w:val="both"/>
      </w:pPr>
      <w:r>
        <w:t>In terms of major council-owned waste management infrastructure,</w:t>
      </w:r>
      <w:r w:rsidR="009101D5">
        <w:t xml:space="preserve"> the most common facilities are</w:t>
      </w:r>
      <w:r>
        <w:t xml:space="preserve"> landfills. These facilities may have long service lives, and may also require significant ongoing management after the operational phase of the facility’s lifespan. It is also noted that, for those councils which own their own landfill, this will generally be by far the greatest contributor to the council’s total Scope 1 and Scope 2 greenhouse gas emissions</w:t>
      </w:r>
      <w:r w:rsidR="009101D5">
        <w:t>, and may therefore be the trigger for carbon price liability for councils</w:t>
      </w:r>
      <w:r>
        <w:t>.</w:t>
      </w:r>
    </w:p>
    <w:p w:rsidR="009101D5" w:rsidRDefault="005D3929" w:rsidP="00043CF2">
      <w:pPr>
        <w:pStyle w:val="ParaIndent"/>
        <w:jc w:val="both"/>
      </w:pPr>
      <w:r>
        <w:t xml:space="preserve">This report </w:t>
      </w:r>
      <w:r w:rsidR="009101D5">
        <w:t>navigates and explains</w:t>
      </w:r>
      <w:r>
        <w:t xml:space="preserve"> a relatively complex series of reporting pathways for information about local government’s role and performance in relation to waste and recycling</w:t>
      </w:r>
      <w:r w:rsidR="009101D5">
        <w:t xml:space="preserve"> within each Australian jurisdiction</w:t>
      </w:r>
      <w:r>
        <w:t xml:space="preserve">. </w:t>
      </w:r>
      <w:r w:rsidR="009101D5">
        <w:t xml:space="preserve">The degree to which these mechanisms serve the needs of potential users of the relevant information is also </w:t>
      </w:r>
      <w:r w:rsidR="009101D5" w:rsidRPr="006C4DA0">
        <w:t>assessed.</w:t>
      </w:r>
      <w:r w:rsidR="00765B0E" w:rsidRPr="006C4DA0">
        <w:t xml:space="preserve"> However, the quality of the available information has not been assessed.</w:t>
      </w:r>
      <w:r w:rsidR="00765B0E">
        <w:t xml:space="preserve"> </w:t>
      </w:r>
    </w:p>
    <w:p w:rsidR="00BF20FD" w:rsidRDefault="00765B0E" w:rsidP="00043CF2">
      <w:pPr>
        <w:pStyle w:val="ParaIndent"/>
        <w:jc w:val="both"/>
      </w:pPr>
      <w:r>
        <w:t xml:space="preserve">Local government plays a critical role in Australian waste management and recycling. </w:t>
      </w:r>
      <w:r w:rsidR="005D3929">
        <w:t>It is hoped that</w:t>
      </w:r>
      <w:r>
        <w:t>,</w:t>
      </w:r>
      <w:r w:rsidR="005D3929">
        <w:t xml:space="preserve"> by identifying various mechanisms used across </w:t>
      </w:r>
      <w:r w:rsidR="009101D5">
        <w:t xml:space="preserve">the </w:t>
      </w:r>
      <w:r w:rsidR="005D3929">
        <w:t>different jurisdictions,</w:t>
      </w:r>
      <w:r w:rsidR="009101D5">
        <w:t xml:space="preserve"> </w:t>
      </w:r>
      <w:r w:rsidR="005D3929">
        <w:t xml:space="preserve">this report will aid in the identification of opportunities to provide a more streamlined and standardised approach to the collection and assessment of information about </w:t>
      </w:r>
      <w:r>
        <w:t xml:space="preserve">council roles and </w:t>
      </w:r>
      <w:r w:rsidR="005D3929">
        <w:t>performance</w:t>
      </w:r>
      <w:r>
        <w:t>.</w:t>
      </w:r>
      <w:r w:rsidR="005D3929">
        <w:t xml:space="preserve"> </w:t>
      </w:r>
    </w:p>
    <w:sectPr w:rsidR="00BF20FD" w:rsidSect="00A441BA">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11" w:rsidRDefault="00166111" w:rsidP="00737A4B">
      <w:pPr>
        <w:pStyle w:val="ParaMargin"/>
      </w:pPr>
      <w:r>
        <w:separator/>
      </w:r>
    </w:p>
  </w:endnote>
  <w:endnote w:type="continuationSeparator" w:id="0">
    <w:p w:rsidR="00166111" w:rsidRDefault="00166111" w:rsidP="00737A4B">
      <w:pPr>
        <w:pStyle w:val="ParaMargin"/>
      </w:pPr>
      <w:r>
        <w:continuationSeparator/>
      </w:r>
    </w:p>
  </w:endnote>
  <w:endnote w:type="continuationNotice" w:id="1">
    <w:p w:rsidR="00166111" w:rsidRDefault="0016611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swiss"/>
    <w:notTrueType/>
    <w:pitch w:val="default"/>
    <w:sig w:usb0="00000003" w:usb1="00000000" w:usb2="00000000" w:usb3="00000000" w:csb0="00000001" w:csb1="00000000"/>
  </w:font>
  <w:font w:name="FagoCoRegula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1134"/>
      <w:gridCol w:w="8505"/>
    </w:tblGrid>
    <w:tr w:rsidR="00166111" w:rsidRPr="007C6281" w:rsidTr="007C6281">
      <w:tc>
        <w:tcPr>
          <w:tcW w:w="1134" w:type="dxa"/>
          <w:tcBorders>
            <w:bottom w:val="single" w:sz="8" w:space="0" w:color="00519E"/>
          </w:tcBorders>
        </w:tcPr>
        <w:p w:rsidR="00166111" w:rsidRPr="007C6281" w:rsidRDefault="00166111" w:rsidP="00350310">
          <w:pPr>
            <w:pStyle w:val="Footer0"/>
            <w:rPr>
              <w:sz w:val="8"/>
              <w:szCs w:val="8"/>
            </w:rPr>
          </w:pPr>
        </w:p>
      </w:tc>
      <w:tc>
        <w:tcPr>
          <w:tcW w:w="8505" w:type="dxa"/>
          <w:tcBorders>
            <w:bottom w:val="single" w:sz="8" w:space="0" w:color="00519E"/>
          </w:tcBorders>
        </w:tcPr>
        <w:p w:rsidR="00166111" w:rsidRPr="007C6281" w:rsidRDefault="00166111" w:rsidP="004A3C7F">
          <w:pPr>
            <w:pStyle w:val="Footer0"/>
            <w:jc w:val="right"/>
            <w:rPr>
              <w:sz w:val="8"/>
              <w:szCs w:val="8"/>
            </w:rPr>
          </w:pPr>
        </w:p>
      </w:tc>
    </w:tr>
    <w:tr w:rsidR="00166111" w:rsidRPr="00FD2172" w:rsidTr="007C6281">
      <w:tc>
        <w:tcPr>
          <w:tcW w:w="1134" w:type="dxa"/>
          <w:tcBorders>
            <w:top w:val="single" w:sz="8" w:space="0" w:color="00519E"/>
          </w:tcBorders>
        </w:tcPr>
        <w:p w:rsidR="00166111" w:rsidRPr="00FD2172" w:rsidRDefault="00166111" w:rsidP="00350310">
          <w:pPr>
            <w:pStyle w:val="Footer0"/>
          </w:pPr>
        </w:p>
      </w:tc>
      <w:tc>
        <w:tcPr>
          <w:tcW w:w="8505" w:type="dxa"/>
          <w:tcBorders>
            <w:top w:val="single" w:sz="8" w:space="0" w:color="00519E"/>
          </w:tcBorders>
        </w:tcPr>
        <w:p w:rsidR="00166111" w:rsidRPr="00FD2172" w:rsidRDefault="00ED6CA0" w:rsidP="004A3C7F">
          <w:pPr>
            <w:pStyle w:val="Footer0"/>
            <w:jc w:val="right"/>
          </w:pPr>
          <w:fldSimple w:instr=" DOCPROPERTY &quot;Project&quot;  \* MERGEFORMAT ">
            <w:r w:rsidR="00166111">
              <w:t>Role and Performance of Local Government</w:t>
            </w:r>
          </w:fldSimple>
          <w:r w:rsidR="00166111">
            <w:t>—</w:t>
          </w:r>
          <w:fldSimple w:instr=" DOCPROPERTY &quot;Title&quot;  \* MERGEFORMAT ">
            <w:r w:rsidR="00166111">
              <w:t>Waste and recycling related data and information</w:t>
            </w:r>
          </w:fldSimple>
          <w:r w:rsidR="00166111" w:rsidRPr="00FD2172">
            <w:t xml:space="preserve">  </w:t>
          </w:r>
          <w:fldSimple w:instr=" DOCPROPERTY &quot;RevisionText&quot;  \* MERGEFORMAT ">
            <w:r w:rsidR="00166111">
              <w:t xml:space="preserve"> </w:t>
            </w:r>
          </w:fldSimple>
          <w:r w:rsidR="00166111" w:rsidRPr="00FD2172">
            <w:t xml:space="preserve">  </w:t>
          </w:r>
          <w:fldSimple w:instr=" DOCPROPERTY &quot;RevisionInfo&quot;  \* MERGEFORMAT  ">
            <w:r w:rsidR="00166111">
              <w:t xml:space="preserve"> </w:t>
            </w:r>
          </w:fldSimple>
        </w:p>
      </w:tc>
    </w:tr>
    <w:tr w:rsidR="00166111" w:rsidRPr="00FD2172">
      <w:tc>
        <w:tcPr>
          <w:tcW w:w="1134" w:type="dxa"/>
        </w:tcPr>
        <w:p w:rsidR="00166111" w:rsidRPr="00FD2172" w:rsidRDefault="00166111" w:rsidP="00350310">
          <w:pPr>
            <w:pStyle w:val="Footer0"/>
          </w:pPr>
          <w:r w:rsidRPr="00FD2172">
            <w:t xml:space="preserve">Page </w:t>
          </w:r>
          <w:r w:rsidR="00ED6CA0" w:rsidRPr="00FD2172">
            <w:rPr>
              <w:rStyle w:val="PageNumber"/>
            </w:rPr>
            <w:fldChar w:fldCharType="begin"/>
          </w:r>
          <w:r w:rsidRPr="00FD2172">
            <w:rPr>
              <w:rStyle w:val="PageNumber"/>
            </w:rPr>
            <w:instrText xml:space="preserve"> PAGE </w:instrText>
          </w:r>
          <w:r w:rsidR="00ED6CA0" w:rsidRPr="00FD2172">
            <w:rPr>
              <w:rStyle w:val="PageNumber"/>
            </w:rPr>
            <w:fldChar w:fldCharType="separate"/>
          </w:r>
          <w:r w:rsidR="00AD6832">
            <w:rPr>
              <w:rStyle w:val="PageNumber"/>
              <w:noProof/>
            </w:rPr>
            <w:t>98</w:t>
          </w:r>
          <w:r w:rsidR="00ED6CA0" w:rsidRPr="00FD2172">
            <w:rPr>
              <w:rStyle w:val="PageNumber"/>
            </w:rPr>
            <w:fldChar w:fldCharType="end"/>
          </w:r>
        </w:p>
      </w:tc>
      <w:tc>
        <w:tcPr>
          <w:tcW w:w="8505" w:type="dxa"/>
        </w:tcPr>
        <w:p w:rsidR="00166111" w:rsidRPr="00FD2172" w:rsidRDefault="00ED6CA0" w:rsidP="004A3C7F">
          <w:pPr>
            <w:pStyle w:val="Footer0"/>
            <w:jc w:val="right"/>
          </w:pPr>
          <w:r>
            <w:fldChar w:fldCharType="begin"/>
          </w:r>
          <w:r w:rsidR="00166111">
            <w:instrText xml:space="preserve"> INCLUDETEXT "C:\\Program Files\\Microsoft Office\\Templates\\Info.doc" CoName \* MERGEFORMAT </w:instrText>
          </w:r>
          <w:r>
            <w:fldChar w:fldCharType="separate"/>
          </w:r>
          <w:proofErr w:type="spellStart"/>
          <w:r w:rsidR="00166111">
            <w:t>Hyder</w:t>
          </w:r>
          <w:proofErr w:type="spellEnd"/>
          <w:r w:rsidR="00166111">
            <w:t xml:space="preserve"> Consulting Pty Ltd</w:t>
          </w:r>
          <w:r>
            <w:fldChar w:fldCharType="end"/>
          </w:r>
          <w:r w:rsidR="00166111">
            <w:t xml:space="preserve"> </w:t>
          </w:r>
          <w:r w:rsidR="00166111" w:rsidRPr="00FD2172">
            <w:noBreakHyphen/>
          </w:r>
          <w:r w:rsidR="00166111">
            <w:t xml:space="preserve"> </w:t>
          </w:r>
          <w:fldSimple w:instr=" INCLUDETEXT &quot;C:\\Program Files\\Microsoft Office\\Templates\\Info.doc&quot; CoNo \* MERGEFORMAT ">
            <w:r w:rsidR="00166111">
              <w:t>ABN 76 104 485 289</w:t>
            </w:r>
          </w:fldSimple>
        </w:p>
      </w:tc>
    </w:tr>
    <w:tr w:rsidR="00166111" w:rsidRPr="00350310">
      <w:tc>
        <w:tcPr>
          <w:tcW w:w="1134" w:type="dxa"/>
        </w:tcPr>
        <w:p w:rsidR="00166111" w:rsidRPr="00FD2172" w:rsidRDefault="00166111" w:rsidP="00350310">
          <w:pPr>
            <w:pStyle w:val="Footer0"/>
          </w:pPr>
        </w:p>
      </w:tc>
      <w:tc>
        <w:tcPr>
          <w:tcW w:w="8505" w:type="dxa"/>
        </w:tcPr>
        <w:p w:rsidR="00166111" w:rsidRPr="00350310" w:rsidRDefault="00166111" w:rsidP="004A3C7F">
          <w:pPr>
            <w:pStyle w:val="PathFileName"/>
            <w:jc w:val="right"/>
          </w:pPr>
          <w:r>
            <w:t>AA004201</w:t>
          </w:r>
        </w:p>
      </w:tc>
    </w:tr>
  </w:tbl>
  <w:p w:rsidR="00166111" w:rsidRPr="00350310" w:rsidRDefault="00166111" w:rsidP="00350310">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505"/>
      <w:gridCol w:w="1134"/>
    </w:tblGrid>
    <w:tr w:rsidR="00166111" w:rsidRPr="00FD2172" w:rsidTr="007C6281">
      <w:tc>
        <w:tcPr>
          <w:tcW w:w="8505" w:type="dxa"/>
          <w:tcBorders>
            <w:bottom w:val="single" w:sz="8" w:space="0" w:color="00519E"/>
          </w:tcBorders>
        </w:tcPr>
        <w:p w:rsidR="00166111" w:rsidRPr="007C6281" w:rsidRDefault="00166111" w:rsidP="008503D1">
          <w:pPr>
            <w:pStyle w:val="Footer0"/>
            <w:rPr>
              <w:sz w:val="8"/>
              <w:szCs w:val="8"/>
            </w:rPr>
          </w:pPr>
        </w:p>
      </w:tc>
      <w:tc>
        <w:tcPr>
          <w:tcW w:w="1134" w:type="dxa"/>
          <w:tcBorders>
            <w:bottom w:val="single" w:sz="8" w:space="0" w:color="00519E"/>
          </w:tcBorders>
        </w:tcPr>
        <w:p w:rsidR="00166111" w:rsidRPr="007C6281" w:rsidRDefault="00166111" w:rsidP="004A3C7F">
          <w:pPr>
            <w:pStyle w:val="Footer0"/>
            <w:jc w:val="right"/>
            <w:rPr>
              <w:sz w:val="8"/>
              <w:szCs w:val="8"/>
            </w:rPr>
          </w:pPr>
        </w:p>
      </w:tc>
    </w:tr>
    <w:tr w:rsidR="00166111" w:rsidRPr="00FD2172" w:rsidTr="007C6281">
      <w:tc>
        <w:tcPr>
          <w:tcW w:w="8505" w:type="dxa"/>
          <w:tcBorders>
            <w:top w:val="single" w:sz="8" w:space="0" w:color="00519E"/>
          </w:tcBorders>
        </w:tcPr>
        <w:p w:rsidR="00166111" w:rsidRPr="00FD2172" w:rsidRDefault="00ED6CA0" w:rsidP="008503D1">
          <w:pPr>
            <w:pStyle w:val="Footer0"/>
          </w:pPr>
          <w:fldSimple w:instr=" DOCPROPERTY &quot;Project&quot;  \* MERGEFORMAT ">
            <w:r w:rsidR="00166111">
              <w:t>Role and Performance of Local Government</w:t>
            </w:r>
          </w:fldSimple>
          <w:r w:rsidR="00166111">
            <w:t>—</w:t>
          </w:r>
          <w:fldSimple w:instr=" DOCPROPERTY &quot;Title&quot;  \* MERGEFORMAT ">
            <w:r w:rsidR="00166111">
              <w:t>Waste and recycling related data and information</w:t>
            </w:r>
          </w:fldSimple>
          <w:r w:rsidR="00166111" w:rsidRPr="00FD2172">
            <w:t xml:space="preserve">  </w:t>
          </w:r>
          <w:fldSimple w:instr=" DOCPROPERTY &quot;RevisionText&quot;  \* MERGEFORMAT ">
            <w:r w:rsidR="00166111">
              <w:t xml:space="preserve"> </w:t>
            </w:r>
          </w:fldSimple>
          <w:r w:rsidR="00166111" w:rsidRPr="00FD2172">
            <w:t xml:space="preserve">  </w:t>
          </w:r>
          <w:fldSimple w:instr=" DOCPROPERTY &quot;RevisionInfo&quot;  \* MERGEFORMAT  ">
            <w:r w:rsidR="00166111">
              <w:t xml:space="preserve"> </w:t>
            </w:r>
          </w:fldSimple>
        </w:p>
      </w:tc>
      <w:tc>
        <w:tcPr>
          <w:tcW w:w="1134" w:type="dxa"/>
          <w:tcBorders>
            <w:top w:val="single" w:sz="8" w:space="0" w:color="00519E"/>
          </w:tcBorders>
        </w:tcPr>
        <w:p w:rsidR="00166111" w:rsidRPr="00FD2172" w:rsidRDefault="00166111" w:rsidP="004A3C7F">
          <w:pPr>
            <w:pStyle w:val="Footer0"/>
            <w:jc w:val="right"/>
          </w:pPr>
        </w:p>
      </w:tc>
    </w:tr>
    <w:tr w:rsidR="00166111" w:rsidRPr="00FD2172">
      <w:tc>
        <w:tcPr>
          <w:tcW w:w="8505" w:type="dxa"/>
        </w:tcPr>
        <w:p w:rsidR="00166111" w:rsidRPr="00FD2172" w:rsidRDefault="00ED6CA0" w:rsidP="008503D1">
          <w:pPr>
            <w:pStyle w:val="Footer0"/>
          </w:pPr>
          <w:r>
            <w:fldChar w:fldCharType="begin"/>
          </w:r>
          <w:r w:rsidR="00166111">
            <w:instrText xml:space="preserve"> INCLUDETEXT "C:\\Program Files\\Microsoft Office\\Templates\\Info.doc" CoName \* MERGEFORMAT </w:instrText>
          </w:r>
          <w:r>
            <w:fldChar w:fldCharType="separate"/>
          </w:r>
          <w:proofErr w:type="spellStart"/>
          <w:r w:rsidR="00166111" w:rsidRPr="00ED5F2A">
            <w:rPr>
              <w:bCs/>
              <w:lang w:val="en-US"/>
            </w:rPr>
            <w:t>Hyder</w:t>
          </w:r>
          <w:proofErr w:type="spellEnd"/>
          <w:r w:rsidR="00166111">
            <w:t xml:space="preserve"> Consulting Pty Ltd</w:t>
          </w:r>
          <w:r>
            <w:fldChar w:fldCharType="end"/>
          </w:r>
          <w:r w:rsidR="00166111">
            <w:t xml:space="preserve"> </w:t>
          </w:r>
          <w:r w:rsidR="00166111" w:rsidRPr="00FD2172">
            <w:noBreakHyphen/>
          </w:r>
          <w:r w:rsidR="00166111">
            <w:t xml:space="preserve"> </w:t>
          </w:r>
          <w:fldSimple w:instr=" INCLUDETEXT &quot;C:\\Program Files\\Microsoft Office\\Templates\\Info.doc&quot; CoNo \* MERGEFORMAT ">
            <w:r w:rsidR="00166111" w:rsidRPr="00ED5F2A">
              <w:rPr>
                <w:bCs/>
                <w:lang w:val="en-US"/>
              </w:rPr>
              <w:t>ABN</w:t>
            </w:r>
            <w:r w:rsidR="00166111">
              <w:t xml:space="preserve"> 76 104 485 289</w:t>
            </w:r>
          </w:fldSimple>
        </w:p>
      </w:tc>
      <w:tc>
        <w:tcPr>
          <w:tcW w:w="1134" w:type="dxa"/>
        </w:tcPr>
        <w:p w:rsidR="00166111" w:rsidRPr="00FD2172" w:rsidRDefault="00166111" w:rsidP="004A3C7F">
          <w:pPr>
            <w:pStyle w:val="Footer0"/>
            <w:jc w:val="right"/>
          </w:pPr>
        </w:p>
      </w:tc>
    </w:tr>
    <w:tr w:rsidR="00166111">
      <w:tc>
        <w:tcPr>
          <w:tcW w:w="8505" w:type="dxa"/>
        </w:tcPr>
        <w:p w:rsidR="00166111" w:rsidRDefault="00166111" w:rsidP="00A95103">
          <w:pPr>
            <w:pStyle w:val="PathFileName"/>
          </w:pPr>
          <w:r>
            <w:t>AA004201</w:t>
          </w:r>
        </w:p>
      </w:tc>
      <w:tc>
        <w:tcPr>
          <w:tcW w:w="1134" w:type="dxa"/>
        </w:tcPr>
        <w:p w:rsidR="00166111" w:rsidRDefault="00166111" w:rsidP="004A3C7F">
          <w:pPr>
            <w:pStyle w:val="Footer0"/>
            <w:jc w:val="right"/>
          </w:pPr>
        </w:p>
      </w:tc>
    </w:tr>
  </w:tbl>
  <w:p w:rsidR="00166111" w:rsidRDefault="00166111" w:rsidP="007C0C1E">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505"/>
      <w:gridCol w:w="1134"/>
    </w:tblGrid>
    <w:tr w:rsidR="00166111" w:rsidRPr="007C6281" w:rsidTr="007C6281">
      <w:tc>
        <w:tcPr>
          <w:tcW w:w="8505" w:type="dxa"/>
          <w:tcBorders>
            <w:bottom w:val="single" w:sz="8" w:space="0" w:color="00519E"/>
          </w:tcBorders>
        </w:tcPr>
        <w:p w:rsidR="00166111" w:rsidRPr="007C6281" w:rsidRDefault="00166111" w:rsidP="008503D1">
          <w:pPr>
            <w:pStyle w:val="Footer0"/>
            <w:rPr>
              <w:sz w:val="8"/>
              <w:szCs w:val="8"/>
            </w:rPr>
          </w:pPr>
        </w:p>
      </w:tc>
      <w:tc>
        <w:tcPr>
          <w:tcW w:w="1134" w:type="dxa"/>
          <w:tcBorders>
            <w:bottom w:val="single" w:sz="8" w:space="0" w:color="00519E"/>
          </w:tcBorders>
        </w:tcPr>
        <w:p w:rsidR="00166111" w:rsidRPr="007C6281" w:rsidRDefault="00166111" w:rsidP="004A3C7F">
          <w:pPr>
            <w:pStyle w:val="Footer0"/>
            <w:jc w:val="right"/>
            <w:rPr>
              <w:sz w:val="8"/>
              <w:szCs w:val="8"/>
            </w:rPr>
          </w:pPr>
        </w:p>
      </w:tc>
    </w:tr>
    <w:tr w:rsidR="00166111" w:rsidRPr="00FD2172" w:rsidTr="007C6281">
      <w:tc>
        <w:tcPr>
          <w:tcW w:w="8505" w:type="dxa"/>
          <w:tcBorders>
            <w:top w:val="single" w:sz="8" w:space="0" w:color="00519E"/>
          </w:tcBorders>
        </w:tcPr>
        <w:p w:rsidR="00166111" w:rsidRPr="00FD2172" w:rsidRDefault="00ED6CA0" w:rsidP="008503D1">
          <w:pPr>
            <w:pStyle w:val="Footer0"/>
          </w:pPr>
          <w:fldSimple w:instr=" DOCPROPERTY &quot;Project&quot;  \* MERGEFORMAT ">
            <w:r w:rsidR="00166111">
              <w:t>Role and Performance of Local Government</w:t>
            </w:r>
          </w:fldSimple>
          <w:r w:rsidR="00166111">
            <w:t>—</w:t>
          </w:r>
          <w:fldSimple w:instr=" DOCPROPERTY &quot;Title&quot;  \* MERGEFORMAT ">
            <w:r w:rsidR="00166111">
              <w:t>Waste and recycling related data and information</w:t>
            </w:r>
          </w:fldSimple>
          <w:r w:rsidR="00166111" w:rsidRPr="00FD2172">
            <w:t xml:space="preserve">  </w:t>
          </w:r>
          <w:fldSimple w:instr=" DOCPROPERTY &quot;RevisionText&quot;  \* MERGEFORMAT ">
            <w:r w:rsidR="00166111">
              <w:t xml:space="preserve"> </w:t>
            </w:r>
          </w:fldSimple>
          <w:r w:rsidR="00166111" w:rsidRPr="00FD2172">
            <w:t xml:space="preserve">  </w:t>
          </w:r>
          <w:fldSimple w:instr=" DOCPROPERTY &quot;RevisionInfo&quot;  \* MERGEFORMAT  ">
            <w:r w:rsidR="00166111">
              <w:t xml:space="preserve"> </w:t>
            </w:r>
          </w:fldSimple>
        </w:p>
      </w:tc>
      <w:tc>
        <w:tcPr>
          <w:tcW w:w="1134" w:type="dxa"/>
          <w:tcBorders>
            <w:top w:val="single" w:sz="8" w:space="0" w:color="00519E"/>
          </w:tcBorders>
        </w:tcPr>
        <w:p w:rsidR="00166111" w:rsidRPr="00FD2172" w:rsidRDefault="00166111" w:rsidP="004A3C7F">
          <w:pPr>
            <w:pStyle w:val="Footer0"/>
            <w:jc w:val="right"/>
          </w:pPr>
        </w:p>
      </w:tc>
    </w:tr>
    <w:tr w:rsidR="00166111" w:rsidRPr="00FD2172">
      <w:tc>
        <w:tcPr>
          <w:tcW w:w="8505" w:type="dxa"/>
        </w:tcPr>
        <w:p w:rsidR="00166111" w:rsidRPr="00FD2172" w:rsidRDefault="00ED6CA0" w:rsidP="008503D1">
          <w:pPr>
            <w:pStyle w:val="Footer0"/>
          </w:pPr>
          <w:r>
            <w:fldChar w:fldCharType="begin"/>
          </w:r>
          <w:r w:rsidR="00166111">
            <w:instrText xml:space="preserve"> INCLUDETEXT "C:\\Program Files\\Microsoft Office\\Templates\\Info.doc" CoName \* MERGEFORMAT </w:instrText>
          </w:r>
          <w:r>
            <w:fldChar w:fldCharType="separate"/>
          </w:r>
          <w:proofErr w:type="spellStart"/>
          <w:r w:rsidR="00166111" w:rsidRPr="00ED5F2A">
            <w:rPr>
              <w:bCs/>
              <w:lang w:val="en-US"/>
            </w:rPr>
            <w:t>Hyder</w:t>
          </w:r>
          <w:proofErr w:type="spellEnd"/>
          <w:r w:rsidR="00166111">
            <w:t xml:space="preserve"> Consulting Pty Ltd</w:t>
          </w:r>
          <w:r>
            <w:fldChar w:fldCharType="end"/>
          </w:r>
          <w:r w:rsidR="00166111">
            <w:t xml:space="preserve"> </w:t>
          </w:r>
          <w:r w:rsidR="00166111" w:rsidRPr="00FD2172">
            <w:noBreakHyphen/>
          </w:r>
          <w:r w:rsidR="00166111">
            <w:t xml:space="preserve"> </w:t>
          </w:r>
          <w:fldSimple w:instr=" INCLUDETEXT &quot;C:\\Program Files\\Microsoft Office\\Templates\\Info.doc&quot; CoNo \* MERGEFORMAT ">
            <w:r w:rsidR="00166111" w:rsidRPr="00ED5F2A">
              <w:rPr>
                <w:bCs/>
                <w:lang w:val="en-US"/>
              </w:rPr>
              <w:t>ABN</w:t>
            </w:r>
            <w:r w:rsidR="00166111">
              <w:t xml:space="preserve"> 76 104 485 289</w:t>
            </w:r>
          </w:fldSimple>
        </w:p>
      </w:tc>
      <w:tc>
        <w:tcPr>
          <w:tcW w:w="1134" w:type="dxa"/>
        </w:tcPr>
        <w:p w:rsidR="00166111" w:rsidRPr="00FD2172" w:rsidRDefault="00166111" w:rsidP="004A3C7F">
          <w:pPr>
            <w:pStyle w:val="Footer0"/>
            <w:jc w:val="right"/>
          </w:pPr>
          <w:r w:rsidRPr="00FD2172">
            <w:t xml:space="preserve">Page </w:t>
          </w:r>
          <w:r w:rsidR="00ED6CA0" w:rsidRPr="00FD2172">
            <w:rPr>
              <w:rStyle w:val="PageNumber"/>
            </w:rPr>
            <w:fldChar w:fldCharType="begin"/>
          </w:r>
          <w:r w:rsidRPr="00FD2172">
            <w:rPr>
              <w:rStyle w:val="PageNumber"/>
            </w:rPr>
            <w:instrText xml:space="preserve"> PAGE </w:instrText>
          </w:r>
          <w:r w:rsidR="00ED6CA0" w:rsidRPr="00FD2172">
            <w:rPr>
              <w:rStyle w:val="PageNumber"/>
            </w:rPr>
            <w:fldChar w:fldCharType="separate"/>
          </w:r>
          <w:r w:rsidR="00AD6832">
            <w:rPr>
              <w:rStyle w:val="PageNumber"/>
              <w:noProof/>
            </w:rPr>
            <w:t>3</w:t>
          </w:r>
          <w:r w:rsidR="00ED6CA0" w:rsidRPr="00FD2172">
            <w:rPr>
              <w:rStyle w:val="PageNumber"/>
            </w:rPr>
            <w:fldChar w:fldCharType="end"/>
          </w:r>
        </w:p>
      </w:tc>
    </w:tr>
    <w:tr w:rsidR="00166111">
      <w:tc>
        <w:tcPr>
          <w:tcW w:w="8505" w:type="dxa"/>
        </w:tcPr>
        <w:p w:rsidR="00166111" w:rsidRDefault="00166111" w:rsidP="00A95103">
          <w:pPr>
            <w:pStyle w:val="PathFileName"/>
          </w:pPr>
          <w:r>
            <w:t>AA004201</w:t>
          </w:r>
        </w:p>
      </w:tc>
      <w:tc>
        <w:tcPr>
          <w:tcW w:w="1134" w:type="dxa"/>
        </w:tcPr>
        <w:p w:rsidR="00166111" w:rsidRDefault="00166111" w:rsidP="004A3C7F">
          <w:pPr>
            <w:pStyle w:val="Footer0"/>
            <w:jc w:val="right"/>
          </w:pPr>
        </w:p>
      </w:tc>
    </w:tr>
  </w:tbl>
  <w:p w:rsidR="00166111" w:rsidRDefault="00166111" w:rsidP="007C0C1E">
    <w:pPr>
      <w:pStyle w:val="Foo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1E0"/>
    </w:tblPr>
    <w:tblGrid>
      <w:gridCol w:w="8505"/>
      <w:gridCol w:w="1134"/>
    </w:tblGrid>
    <w:tr w:rsidR="00166111" w:rsidRPr="007C6281" w:rsidTr="007C6281">
      <w:tc>
        <w:tcPr>
          <w:tcW w:w="8505" w:type="dxa"/>
          <w:tcBorders>
            <w:bottom w:val="single" w:sz="8" w:space="0" w:color="00519E"/>
          </w:tcBorders>
        </w:tcPr>
        <w:p w:rsidR="00166111" w:rsidRPr="007C6281" w:rsidRDefault="00166111" w:rsidP="008503D1">
          <w:pPr>
            <w:pStyle w:val="Footer0"/>
            <w:rPr>
              <w:sz w:val="8"/>
              <w:szCs w:val="8"/>
            </w:rPr>
          </w:pPr>
        </w:p>
      </w:tc>
      <w:tc>
        <w:tcPr>
          <w:tcW w:w="1134" w:type="dxa"/>
          <w:tcBorders>
            <w:bottom w:val="single" w:sz="8" w:space="0" w:color="00519E"/>
          </w:tcBorders>
        </w:tcPr>
        <w:p w:rsidR="00166111" w:rsidRPr="007C6281" w:rsidRDefault="00166111" w:rsidP="004A3C7F">
          <w:pPr>
            <w:pStyle w:val="Footer0"/>
            <w:jc w:val="right"/>
            <w:rPr>
              <w:sz w:val="8"/>
              <w:szCs w:val="8"/>
            </w:rPr>
          </w:pPr>
        </w:p>
      </w:tc>
    </w:tr>
    <w:tr w:rsidR="00166111" w:rsidRPr="00FD2172" w:rsidTr="007C6281">
      <w:tc>
        <w:tcPr>
          <w:tcW w:w="8505" w:type="dxa"/>
          <w:tcBorders>
            <w:top w:val="single" w:sz="8" w:space="0" w:color="00519E"/>
          </w:tcBorders>
        </w:tcPr>
        <w:p w:rsidR="00166111" w:rsidRPr="00FD2172" w:rsidRDefault="00ED6CA0" w:rsidP="008503D1">
          <w:pPr>
            <w:pStyle w:val="Footer0"/>
          </w:pPr>
          <w:fldSimple w:instr=" DOCPROPERTY &quot;Project&quot;  \* MERGEFORMAT ">
            <w:r w:rsidR="00166111">
              <w:t>Role and Performance of Local Government</w:t>
            </w:r>
          </w:fldSimple>
          <w:r w:rsidR="00166111">
            <w:t>—</w:t>
          </w:r>
          <w:fldSimple w:instr=" DOCPROPERTY &quot;Title&quot;  \* MERGEFORMAT ">
            <w:r w:rsidR="00166111">
              <w:t>Waste and recycling related data and information</w:t>
            </w:r>
          </w:fldSimple>
          <w:r w:rsidR="00166111" w:rsidRPr="00FD2172">
            <w:t xml:space="preserve">  </w:t>
          </w:r>
          <w:fldSimple w:instr=" DOCPROPERTY &quot;RevisionText&quot;  \* MERGEFORMAT ">
            <w:r w:rsidR="00166111">
              <w:t xml:space="preserve"> </w:t>
            </w:r>
          </w:fldSimple>
          <w:r w:rsidR="00166111" w:rsidRPr="00FD2172">
            <w:t xml:space="preserve">  </w:t>
          </w:r>
          <w:fldSimple w:instr=" DOCPROPERTY &quot;RevisionInfo&quot;  \* MERGEFORMAT  ">
            <w:r w:rsidR="00166111">
              <w:t xml:space="preserve"> </w:t>
            </w:r>
          </w:fldSimple>
        </w:p>
      </w:tc>
      <w:tc>
        <w:tcPr>
          <w:tcW w:w="1134" w:type="dxa"/>
          <w:tcBorders>
            <w:top w:val="single" w:sz="8" w:space="0" w:color="00519E"/>
          </w:tcBorders>
        </w:tcPr>
        <w:p w:rsidR="00166111" w:rsidRPr="00FD2172" w:rsidRDefault="00166111" w:rsidP="004A3C7F">
          <w:pPr>
            <w:pStyle w:val="Footer0"/>
            <w:jc w:val="right"/>
          </w:pPr>
        </w:p>
      </w:tc>
    </w:tr>
    <w:tr w:rsidR="00166111" w:rsidRPr="00FD2172">
      <w:tc>
        <w:tcPr>
          <w:tcW w:w="8505" w:type="dxa"/>
        </w:tcPr>
        <w:p w:rsidR="00166111" w:rsidRPr="00FD2172" w:rsidRDefault="00ED6CA0" w:rsidP="008503D1">
          <w:pPr>
            <w:pStyle w:val="Footer0"/>
          </w:pPr>
          <w:r>
            <w:fldChar w:fldCharType="begin"/>
          </w:r>
          <w:r w:rsidR="00166111">
            <w:instrText xml:space="preserve"> INCLUDETEXT "C:\\Program Files\\Microsoft Office\\Templates\\Info.doc" CoName \* MERGEFORMAT </w:instrText>
          </w:r>
          <w:r>
            <w:fldChar w:fldCharType="separate"/>
          </w:r>
          <w:proofErr w:type="spellStart"/>
          <w:r w:rsidR="00166111" w:rsidRPr="00ED5F2A">
            <w:rPr>
              <w:bCs/>
              <w:lang w:val="en-US"/>
            </w:rPr>
            <w:t>Hyder</w:t>
          </w:r>
          <w:proofErr w:type="spellEnd"/>
          <w:r w:rsidR="00166111">
            <w:t xml:space="preserve"> Consulting Pty Ltd</w:t>
          </w:r>
          <w:r>
            <w:fldChar w:fldCharType="end"/>
          </w:r>
          <w:r w:rsidR="00166111">
            <w:t xml:space="preserve"> </w:t>
          </w:r>
          <w:r w:rsidR="00166111" w:rsidRPr="00FD2172">
            <w:noBreakHyphen/>
          </w:r>
          <w:r w:rsidR="00166111">
            <w:t xml:space="preserve"> </w:t>
          </w:r>
          <w:fldSimple w:instr=" INCLUDETEXT &quot;C:\\Program Files\\Microsoft Office\\Templates\\Info.doc&quot; CoNo \* MERGEFORMAT ">
            <w:r w:rsidR="00166111" w:rsidRPr="00ED5F2A">
              <w:rPr>
                <w:bCs/>
                <w:lang w:val="en-US"/>
              </w:rPr>
              <w:t>ABN</w:t>
            </w:r>
            <w:r w:rsidR="00166111">
              <w:t xml:space="preserve"> 76 104 485 289</w:t>
            </w:r>
          </w:fldSimple>
        </w:p>
      </w:tc>
      <w:tc>
        <w:tcPr>
          <w:tcW w:w="1134" w:type="dxa"/>
        </w:tcPr>
        <w:p w:rsidR="00166111" w:rsidRPr="00FD2172" w:rsidRDefault="00166111" w:rsidP="004A3C7F">
          <w:pPr>
            <w:pStyle w:val="Footer0"/>
            <w:jc w:val="right"/>
          </w:pPr>
          <w:r w:rsidRPr="00FD2172">
            <w:t xml:space="preserve">Page </w:t>
          </w:r>
          <w:r w:rsidR="00ED6CA0" w:rsidRPr="00FD2172">
            <w:rPr>
              <w:rStyle w:val="PageNumber"/>
            </w:rPr>
            <w:fldChar w:fldCharType="begin"/>
          </w:r>
          <w:r w:rsidRPr="00FD2172">
            <w:rPr>
              <w:rStyle w:val="PageNumber"/>
            </w:rPr>
            <w:instrText xml:space="preserve"> PAGE </w:instrText>
          </w:r>
          <w:r w:rsidR="00ED6CA0" w:rsidRPr="00FD2172">
            <w:rPr>
              <w:rStyle w:val="PageNumber"/>
            </w:rPr>
            <w:fldChar w:fldCharType="separate"/>
          </w:r>
          <w:r w:rsidR="00AD6832">
            <w:rPr>
              <w:rStyle w:val="PageNumber"/>
              <w:noProof/>
            </w:rPr>
            <w:t>97</w:t>
          </w:r>
          <w:r w:rsidR="00ED6CA0" w:rsidRPr="00FD2172">
            <w:rPr>
              <w:rStyle w:val="PageNumber"/>
            </w:rPr>
            <w:fldChar w:fldCharType="end"/>
          </w:r>
        </w:p>
      </w:tc>
    </w:tr>
    <w:tr w:rsidR="00166111">
      <w:tc>
        <w:tcPr>
          <w:tcW w:w="8505" w:type="dxa"/>
        </w:tcPr>
        <w:p w:rsidR="00166111" w:rsidRDefault="00166111" w:rsidP="00A95103">
          <w:pPr>
            <w:pStyle w:val="PathFileName"/>
          </w:pPr>
          <w:r>
            <w:t>AA004201</w:t>
          </w:r>
        </w:p>
      </w:tc>
      <w:tc>
        <w:tcPr>
          <w:tcW w:w="1134" w:type="dxa"/>
        </w:tcPr>
        <w:p w:rsidR="00166111" w:rsidRDefault="00166111" w:rsidP="004A3C7F">
          <w:pPr>
            <w:pStyle w:val="Footer0"/>
            <w:jc w:val="right"/>
          </w:pPr>
        </w:p>
      </w:tc>
    </w:tr>
  </w:tbl>
  <w:p w:rsidR="00166111" w:rsidRDefault="00166111" w:rsidP="007C0C1E">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11" w:rsidRDefault="00166111" w:rsidP="00737A4B">
      <w:pPr>
        <w:pStyle w:val="ParaMargin"/>
      </w:pPr>
      <w:r>
        <w:separator/>
      </w:r>
    </w:p>
  </w:footnote>
  <w:footnote w:type="continuationSeparator" w:id="0">
    <w:p w:rsidR="00166111" w:rsidRDefault="00166111" w:rsidP="00737A4B">
      <w:pPr>
        <w:pStyle w:val="ParaMargin"/>
      </w:pPr>
      <w:r>
        <w:continuationSeparator/>
      </w:r>
    </w:p>
  </w:footnote>
  <w:footnote w:type="continuationNotice" w:id="1">
    <w:p w:rsidR="00166111" w:rsidRDefault="00166111">
      <w:pPr>
        <w:spacing w:after="0" w:line="240" w:lineRule="auto"/>
      </w:pPr>
    </w:p>
  </w:footnote>
  <w:footnote w:id="2">
    <w:p w:rsidR="00166111" w:rsidRDefault="00166111" w:rsidP="00016FA8">
      <w:pPr>
        <w:pStyle w:val="FootnoteText"/>
        <w:tabs>
          <w:tab w:val="left" w:pos="1418"/>
        </w:tabs>
        <w:spacing w:after="0" w:line="240" w:lineRule="auto"/>
        <w:ind w:left="1418" w:hanging="284"/>
      </w:pPr>
      <w:r w:rsidRPr="0028427A">
        <w:rPr>
          <w:sz w:val="16"/>
          <w:szCs w:val="16"/>
        </w:rPr>
        <w:footnoteRef/>
      </w:r>
      <w:r>
        <w:rPr>
          <w:sz w:val="16"/>
          <w:szCs w:val="16"/>
        </w:rPr>
        <w:t>.</w:t>
      </w:r>
      <w:r>
        <w:rPr>
          <w:sz w:val="16"/>
          <w:szCs w:val="16"/>
        </w:rPr>
        <w:tab/>
        <w:t>In the</w:t>
      </w:r>
      <w:r w:rsidRPr="008D66E1">
        <w:rPr>
          <w:sz w:val="16"/>
          <w:szCs w:val="16"/>
        </w:rPr>
        <w:t xml:space="preserve"> ACT </w:t>
      </w:r>
      <w:r>
        <w:rPr>
          <w:sz w:val="16"/>
          <w:szCs w:val="16"/>
        </w:rPr>
        <w:t>the role of local government is performed by the territory government</w:t>
      </w:r>
      <w:r w:rsidRPr="008D66E1">
        <w:rPr>
          <w:sz w:val="16"/>
          <w:szCs w:val="16"/>
        </w:rPr>
        <w:t>.</w:t>
      </w:r>
      <w:r>
        <w:rPr>
          <w:sz w:val="16"/>
          <w:szCs w:val="16"/>
        </w:rPr>
        <w:t xml:space="preserve"> However, this report does provide a summary of available information regarding waste and recycling in the ACT.</w:t>
      </w:r>
    </w:p>
  </w:footnote>
  <w:footnote w:id="3">
    <w:p w:rsidR="00166111" w:rsidRDefault="00166111">
      <w:pPr>
        <w:pStyle w:val="FootnoteText"/>
      </w:pPr>
      <w:r>
        <w:rPr>
          <w:rStyle w:val="FootnoteReference"/>
        </w:rPr>
        <w:footnoteRef/>
      </w:r>
      <w:r>
        <w:t xml:space="preserve"> </w:t>
      </w:r>
      <w:proofErr w:type="gramStart"/>
      <w:r>
        <w:t xml:space="preserve">Australian Local Government Association (ALGA, 2009), </w:t>
      </w:r>
      <w:r w:rsidRPr="00AD6AD0">
        <w:rPr>
          <w:i/>
        </w:rPr>
        <w:t>Submission to the House Legal and Constitutional Affairs Committee Review of the Effectiveness of Legislation Administering the Conduct of Referendums</w:t>
      </w:r>
      <w:r>
        <w:t>.</w:t>
      </w:r>
      <w:proofErr w:type="gramEnd"/>
    </w:p>
  </w:footnote>
  <w:footnote w:id="4">
    <w:p w:rsidR="00166111" w:rsidRDefault="00166111">
      <w:pPr>
        <w:pStyle w:val="FootnoteText"/>
      </w:pPr>
      <w:r>
        <w:rPr>
          <w:rStyle w:val="FootnoteReference"/>
        </w:rPr>
        <w:footnoteRef/>
      </w:r>
      <w:r>
        <w:t xml:space="preserve"> For example, Australia has no equivalent of the Waste Data Flow system in the United Kingdom, which accepts, validates and reports council-by-council data on waste and recycling - </w:t>
      </w:r>
      <w:hyperlink r:id="rId1" w:history="1">
        <w:r w:rsidRPr="00D35190">
          <w:rPr>
            <w:rStyle w:val="Hyperlink"/>
          </w:rPr>
          <w:t>www.wastedataflow.org</w:t>
        </w:r>
      </w:hyperlink>
      <w:r>
        <w:t xml:space="preserve"> </w:t>
      </w:r>
    </w:p>
  </w:footnote>
  <w:footnote w:id="5">
    <w:p w:rsidR="00166111" w:rsidRPr="002C4081" w:rsidRDefault="00166111" w:rsidP="00801138">
      <w:pPr>
        <w:pStyle w:val="FootnoteText"/>
        <w:rPr>
          <w:lang w:val="en-US"/>
        </w:rPr>
      </w:pPr>
      <w:r>
        <w:rPr>
          <w:rStyle w:val="FootnoteReference"/>
        </w:rPr>
        <w:footnoteRef/>
      </w:r>
      <w:r>
        <w:t xml:space="preserve"> </w:t>
      </w:r>
      <w:proofErr w:type="spellStart"/>
      <w:proofErr w:type="gramStart"/>
      <w:r w:rsidRPr="002C4081">
        <w:rPr>
          <w:bCs/>
          <w:iCs/>
          <w:lang w:val="en-US"/>
        </w:rPr>
        <w:t>drum</w:t>
      </w:r>
      <w:r w:rsidRPr="002C4081">
        <w:rPr>
          <w:iCs/>
          <w:lang w:val="en-US"/>
        </w:rPr>
        <w:t>MUSTER</w:t>
      </w:r>
      <w:proofErr w:type="spellEnd"/>
      <w:proofErr w:type="gramEnd"/>
      <w:r w:rsidRPr="002C4081">
        <w:rPr>
          <w:lang w:val="en-US"/>
        </w:rPr>
        <w:t xml:space="preserve"> is </w:t>
      </w:r>
      <w:r>
        <w:rPr>
          <w:lang w:val="en-US"/>
        </w:rPr>
        <w:t>a</w:t>
      </w:r>
      <w:r w:rsidRPr="002C4081">
        <w:rPr>
          <w:lang w:val="en-US"/>
        </w:rPr>
        <w:t xml:space="preserve"> </w:t>
      </w:r>
      <w:r>
        <w:rPr>
          <w:lang w:val="en-US"/>
        </w:rPr>
        <w:t>n</w:t>
      </w:r>
      <w:r w:rsidRPr="002C4081">
        <w:rPr>
          <w:lang w:val="en-US"/>
        </w:rPr>
        <w:t>ational program for</w:t>
      </w:r>
      <w:r>
        <w:rPr>
          <w:lang w:val="en-US"/>
        </w:rPr>
        <w:t xml:space="preserve"> </w:t>
      </w:r>
      <w:r w:rsidRPr="002C4081">
        <w:rPr>
          <w:lang w:val="en-US"/>
        </w:rPr>
        <w:t>the collection and recycling of cleaned</w:t>
      </w:r>
      <w:r>
        <w:rPr>
          <w:lang w:val="en-US"/>
        </w:rPr>
        <w:t xml:space="preserve">, non returnable </w:t>
      </w:r>
      <w:r w:rsidRPr="002C4081">
        <w:rPr>
          <w:lang w:val="en-US"/>
        </w:rPr>
        <w:t xml:space="preserve">chemical containers </w:t>
      </w:r>
      <w:r>
        <w:rPr>
          <w:lang w:val="en-US"/>
        </w:rPr>
        <w:t xml:space="preserve">that have been used for products relating to </w:t>
      </w:r>
      <w:r w:rsidRPr="002C4081">
        <w:rPr>
          <w:lang w:val="en-US"/>
        </w:rPr>
        <w:t>crop produ</w:t>
      </w:r>
      <w:r>
        <w:rPr>
          <w:lang w:val="en-US"/>
        </w:rPr>
        <w:t>ction and on-farm animal health</w:t>
      </w:r>
      <w:r w:rsidRPr="002C4081">
        <w:rPr>
          <w:lang w:val="en-US"/>
        </w:rPr>
        <w:t>.</w:t>
      </w:r>
    </w:p>
  </w:footnote>
  <w:footnote w:id="6">
    <w:p w:rsidR="00166111" w:rsidRDefault="00166111">
      <w:pPr>
        <w:pStyle w:val="FootnoteText"/>
      </w:pPr>
      <w:r>
        <w:rPr>
          <w:rStyle w:val="FootnoteReference"/>
        </w:rPr>
        <w:footnoteRef/>
      </w:r>
      <w:r>
        <w:t xml:space="preserve"> </w:t>
      </w:r>
      <w:r w:rsidRPr="000865F7">
        <w:t>www.lgsa.org.au/www/html/255-state-of-the-environment-reporting.asp</w:t>
      </w:r>
    </w:p>
  </w:footnote>
  <w:footnote w:id="7">
    <w:p w:rsidR="00166111" w:rsidRPr="00D63836" w:rsidRDefault="00166111" w:rsidP="00D63836">
      <w:pPr>
        <w:pStyle w:val="FootnoteText"/>
      </w:pPr>
      <w:r>
        <w:rPr>
          <w:rStyle w:val="FootnoteReference"/>
        </w:rPr>
        <w:footnoteRef/>
      </w:r>
      <w:r>
        <w:t xml:space="preserve"> The </w:t>
      </w:r>
      <w:r w:rsidRPr="00FB31B5">
        <w:t xml:space="preserve">NSW </w:t>
      </w:r>
      <w:r w:rsidRPr="00D63836">
        <w:rPr>
          <w:i/>
        </w:rPr>
        <w:t>Local Government Waste and Resource Recovery Data Report 2009-2010</w:t>
      </w:r>
      <w:r>
        <w:rPr>
          <w:i/>
        </w:rPr>
        <w:t xml:space="preserve"> </w:t>
      </w:r>
      <w:r>
        <w:t>includes a prominent disclaimer that information within the report is entirely dependent on the accuracy of data supplied by councils. While population data is based on ABS projections as at 30 June 2009, it is understood that data relating to the number of households is supplied by individual councils. The apparent number of occupants per household ranges from a minimum of 1.74 (Snowy River) to a maximum of 3.44 (Uralla).</w:t>
      </w:r>
    </w:p>
  </w:footnote>
  <w:footnote w:id="8">
    <w:p w:rsidR="00166111" w:rsidRDefault="00166111">
      <w:pPr>
        <w:pStyle w:val="FootnoteText"/>
      </w:pPr>
      <w:r>
        <w:rPr>
          <w:rStyle w:val="FootnoteReference"/>
        </w:rPr>
        <w:footnoteRef/>
      </w:r>
      <w:r>
        <w:t xml:space="preserve"> </w:t>
      </w:r>
      <w:hyperlink r:id="rId2" w:history="1">
        <w:r w:rsidRPr="00D35190">
          <w:rPr>
            <w:rStyle w:val="Hyperlink"/>
          </w:rPr>
          <w:t>www.dpcd.vic.gov.au/localgovernment/guide-to-local-government/what-councils-do/waste-management</w:t>
        </w:r>
      </w:hyperlink>
      <w:r>
        <w:t xml:space="preserve"> </w:t>
      </w:r>
    </w:p>
  </w:footnote>
  <w:footnote w:id="9">
    <w:p w:rsidR="00166111" w:rsidRDefault="00166111">
      <w:pPr>
        <w:pStyle w:val="FootnoteText"/>
      </w:pPr>
      <w:r>
        <w:rPr>
          <w:rStyle w:val="FootnoteReference"/>
        </w:rPr>
        <w:footnoteRef/>
      </w:r>
      <w:r>
        <w:t xml:space="preserve"> The </w:t>
      </w:r>
      <w:r w:rsidRPr="00CA0E41">
        <w:t xml:space="preserve">Victorian Government has introduced into Parliament the </w:t>
      </w:r>
      <w:hyperlink r:id="rId3" w:tgtFrame="_blank" w:history="1">
        <w:r w:rsidRPr="00CA0E41">
          <w:t>Environment Protection Amendment (Landfill Levies) Bill 2011</w:t>
        </w:r>
      </w:hyperlink>
      <w:r w:rsidRPr="00CA0E41">
        <w:t xml:space="preserve">. If passed, this Bill will amend the </w:t>
      </w:r>
      <w:r w:rsidRPr="00CA0E41">
        <w:rPr>
          <w:i/>
          <w:iCs/>
        </w:rPr>
        <w:t>Environment Protection Act 1970</w:t>
      </w:r>
      <w:r w:rsidRPr="00CA0E41">
        <w:t>, bringing forward increases to the municipal and industrial landfill levy over the next four years</w:t>
      </w:r>
      <w:r>
        <w:t>.</w:t>
      </w:r>
    </w:p>
  </w:footnote>
  <w:footnote w:id="10">
    <w:p w:rsidR="00166111" w:rsidRDefault="00166111" w:rsidP="00C14957">
      <w:pPr>
        <w:pStyle w:val="FootnoteText"/>
      </w:pPr>
      <w:r>
        <w:rPr>
          <w:rStyle w:val="FootnoteReference"/>
        </w:rPr>
        <w:footnoteRef/>
      </w:r>
      <w:r>
        <w:t xml:space="preserve"> </w:t>
      </w:r>
      <w:r w:rsidRPr="00742DD3">
        <w:rPr>
          <w:sz w:val="16"/>
          <w:szCs w:val="16"/>
        </w:rPr>
        <w:t>http://www.dpcd.vic.gov.au</w:t>
      </w:r>
    </w:p>
  </w:footnote>
  <w:footnote w:id="11">
    <w:p w:rsidR="00166111" w:rsidRDefault="00166111" w:rsidP="00FC4CE7">
      <w:pPr>
        <w:pStyle w:val="FootnoteText"/>
        <w:jc w:val="both"/>
      </w:pPr>
      <w:r>
        <w:rPr>
          <w:rStyle w:val="FootnoteReference"/>
        </w:rPr>
        <w:footnoteRef/>
      </w:r>
      <w:r>
        <w:t xml:space="preserve"> Note that Brisbane City Council is Australia’s most populous council, and accounts for 24% of Queensland’s total population. The Gold Coast City Council accounts for a further 12% of the state’s population.</w:t>
      </w:r>
    </w:p>
  </w:footnote>
  <w:footnote w:id="12">
    <w:p w:rsidR="00166111" w:rsidRDefault="00166111" w:rsidP="006E78EF">
      <w:r>
        <w:rPr>
          <w:rStyle w:val="FootnoteReference"/>
        </w:rPr>
        <w:footnoteRef/>
      </w:r>
      <w:r>
        <w:t xml:space="preserve"> </w:t>
      </w:r>
      <w:proofErr w:type="gramStart"/>
      <w:r w:rsidRPr="00550094">
        <w:rPr>
          <w:i/>
          <w:sz w:val="18"/>
        </w:rPr>
        <w:t>Population by Age and Sex, Regions of Australia</w:t>
      </w:r>
      <w:r w:rsidRPr="00550094">
        <w:rPr>
          <w:sz w:val="18"/>
        </w:rPr>
        <w:t xml:space="preserve"> (</w:t>
      </w:r>
      <w:r>
        <w:rPr>
          <w:sz w:val="18"/>
        </w:rPr>
        <w:t xml:space="preserve">ABS </w:t>
      </w:r>
      <w:r w:rsidRPr="00550094">
        <w:rPr>
          <w:sz w:val="18"/>
        </w:rPr>
        <w:t>cat. no. 3235.0)</w:t>
      </w:r>
      <w:r>
        <w:rPr>
          <w:sz w:val="18"/>
        </w:rPr>
        <w:t>,</w:t>
      </w:r>
      <w:r w:rsidRPr="00550094">
        <w:rPr>
          <w:sz w:val="18"/>
        </w:rPr>
        <w:t xml:space="preserve"> published August</w:t>
      </w:r>
      <w:r>
        <w:rPr>
          <w:sz w:val="18"/>
        </w:rPr>
        <w:t>,</w:t>
      </w:r>
      <w:r w:rsidRPr="00550094">
        <w:rPr>
          <w:sz w:val="18"/>
        </w:rPr>
        <w:t xml:space="preserve"> 2010.</w:t>
      </w:r>
      <w:proofErr w:type="gramEnd"/>
    </w:p>
  </w:footnote>
  <w:footnote w:id="13">
    <w:p w:rsidR="00166111" w:rsidRPr="00EF2990" w:rsidRDefault="00166111" w:rsidP="001F4F2D">
      <w:pPr>
        <w:pStyle w:val="FootnoteText"/>
        <w:rPr>
          <w:sz w:val="16"/>
          <w:szCs w:val="16"/>
        </w:rPr>
      </w:pPr>
      <w:r>
        <w:rPr>
          <w:rStyle w:val="FootnoteReference"/>
        </w:rPr>
        <w:footnoteRef/>
      </w:r>
      <w:r>
        <w:t xml:space="preserve"> </w:t>
      </w:r>
      <w:r w:rsidRPr="00EF2990">
        <w:rPr>
          <w:sz w:val="16"/>
          <w:szCs w:val="16"/>
        </w:rPr>
        <w:t>Loca</w:t>
      </w:r>
      <w:r>
        <w:rPr>
          <w:sz w:val="16"/>
          <w:szCs w:val="16"/>
        </w:rPr>
        <w:t xml:space="preserve">l Government Grants Commission South Australia (2011) </w:t>
      </w:r>
      <w:r w:rsidRPr="00EF2990">
        <w:rPr>
          <w:i/>
          <w:sz w:val="16"/>
          <w:szCs w:val="16"/>
        </w:rPr>
        <w:t>Annual Report 2009</w:t>
      </w:r>
      <w:r>
        <w:rPr>
          <w:i/>
          <w:sz w:val="16"/>
          <w:szCs w:val="16"/>
        </w:rPr>
        <w:t>–</w:t>
      </w:r>
      <w:r w:rsidRPr="00EF2990">
        <w:rPr>
          <w:i/>
          <w:sz w:val="16"/>
          <w:szCs w:val="16"/>
        </w:rPr>
        <w:t>10</w:t>
      </w:r>
    </w:p>
  </w:footnote>
  <w:footnote w:id="14">
    <w:p w:rsidR="00166111" w:rsidRDefault="00166111" w:rsidP="001F4F2D">
      <w:pPr>
        <w:pStyle w:val="FootnoteText"/>
      </w:pPr>
      <w:r>
        <w:rPr>
          <w:rStyle w:val="FootnoteReference"/>
        </w:rPr>
        <w:footnoteRef/>
      </w:r>
      <w:r>
        <w:t xml:space="preserve"> </w:t>
      </w:r>
      <w:hyperlink r:id="rId4" w:history="1">
        <w:r w:rsidRPr="00EF2990">
          <w:rPr>
            <w:rStyle w:val="Hyperlink"/>
            <w:sz w:val="16"/>
            <w:szCs w:val="16"/>
          </w:rPr>
          <w:t>http://www.lga.sa.gov.au</w:t>
        </w:r>
      </w:hyperlink>
      <w:r>
        <w:rPr>
          <w:sz w:val="16"/>
          <w:szCs w:val="16"/>
        </w:rPr>
        <w:t xml:space="preserve"> </w:t>
      </w:r>
    </w:p>
  </w:footnote>
  <w:footnote w:id="15">
    <w:p w:rsidR="00166111" w:rsidRDefault="00166111">
      <w:pPr>
        <w:pStyle w:val="FootnoteText"/>
      </w:pPr>
      <w:r>
        <w:rPr>
          <w:rStyle w:val="FootnoteReference"/>
        </w:rPr>
        <w:footnoteRef/>
      </w:r>
      <w:r>
        <w:t xml:space="preserve"> </w:t>
      </w:r>
      <w:r w:rsidRPr="00550094">
        <w:rPr>
          <w:i/>
        </w:rPr>
        <w:t>Population by Age and Sex, Regions of Australia</w:t>
      </w:r>
      <w:r w:rsidRPr="00550094">
        <w:t xml:space="preserve"> (</w:t>
      </w:r>
      <w:r>
        <w:t xml:space="preserve">ABS </w:t>
      </w:r>
      <w:r w:rsidRPr="00550094">
        <w:t>cat. no. 3235.0)</w:t>
      </w:r>
      <w:r>
        <w:t>,</w:t>
      </w:r>
      <w:r w:rsidRPr="00550094">
        <w:t xml:space="preserve"> published August</w:t>
      </w:r>
      <w:r>
        <w:t>,</w:t>
      </w:r>
      <w:r w:rsidRPr="00550094">
        <w:t xml:space="preserve"> 2010</w:t>
      </w:r>
    </w:p>
  </w:footnote>
  <w:footnote w:id="16">
    <w:p w:rsidR="00166111" w:rsidRDefault="00166111">
      <w:pPr>
        <w:pStyle w:val="FootnoteText"/>
      </w:pPr>
      <w:r>
        <w:rPr>
          <w:rStyle w:val="FootnoteReference"/>
        </w:rPr>
        <w:footnoteRef/>
      </w:r>
      <w:r>
        <w:t xml:space="preserve"> Personal communications between </w:t>
      </w:r>
      <w:proofErr w:type="spellStart"/>
      <w:r>
        <w:t>Hyder</w:t>
      </w:r>
      <w:proofErr w:type="spellEnd"/>
      <w:r>
        <w:t xml:space="preserve"> and DEC staff, July 2011</w:t>
      </w:r>
    </w:p>
  </w:footnote>
  <w:footnote w:id="17">
    <w:p w:rsidR="00166111" w:rsidRDefault="00166111" w:rsidP="001F4F2D">
      <w:pPr>
        <w:pStyle w:val="FootnoteText"/>
      </w:pPr>
      <w:r>
        <w:rPr>
          <w:rStyle w:val="FootnoteReference"/>
        </w:rPr>
        <w:footnoteRef/>
      </w:r>
      <w:r>
        <w:t xml:space="preserve"> </w:t>
      </w:r>
      <w:r w:rsidRPr="004377E4">
        <w:rPr>
          <w:sz w:val="16"/>
          <w:szCs w:val="16"/>
        </w:rPr>
        <w:t xml:space="preserve">WALGGC(22 August 2005) </w:t>
      </w:r>
      <w:r w:rsidRPr="00756E56">
        <w:rPr>
          <w:i/>
          <w:sz w:val="16"/>
          <w:szCs w:val="16"/>
        </w:rPr>
        <w:t>Non-rate revenue working party report</w:t>
      </w:r>
      <w:r w:rsidRPr="004377E4">
        <w:rPr>
          <w:sz w:val="16"/>
          <w:szCs w:val="16"/>
        </w:rPr>
        <w:t>, circular #7, 05-06</w:t>
      </w:r>
    </w:p>
  </w:footnote>
  <w:footnote w:id="18">
    <w:p w:rsidR="00166111" w:rsidRDefault="00166111" w:rsidP="001F4F2D">
      <w:pPr>
        <w:pStyle w:val="FootnoteText"/>
      </w:pPr>
      <w:r>
        <w:rPr>
          <w:rStyle w:val="FootnoteReference"/>
        </w:rPr>
        <w:footnoteRef/>
      </w:r>
      <w:r>
        <w:t xml:space="preserve"> </w:t>
      </w:r>
      <w:r w:rsidRPr="002A3387">
        <w:rPr>
          <w:sz w:val="16"/>
          <w:szCs w:val="16"/>
        </w:rPr>
        <w:t>Department of Local Government Australian Bureau of Statistics Information Return 2009</w:t>
      </w:r>
      <w:r>
        <w:rPr>
          <w:sz w:val="16"/>
          <w:szCs w:val="16"/>
        </w:rPr>
        <w:t>–</w:t>
      </w:r>
      <w:r w:rsidRPr="002A3387">
        <w:rPr>
          <w:sz w:val="16"/>
          <w:szCs w:val="16"/>
        </w:rPr>
        <w:t>10</w:t>
      </w:r>
    </w:p>
  </w:footnote>
  <w:footnote w:id="19">
    <w:p w:rsidR="00166111" w:rsidRDefault="00166111" w:rsidP="001F4F2D">
      <w:pPr>
        <w:pStyle w:val="FootnoteText"/>
      </w:pPr>
      <w:r>
        <w:rPr>
          <w:rStyle w:val="FootnoteReference"/>
        </w:rPr>
        <w:footnoteRef/>
      </w:r>
      <w:r>
        <w:t xml:space="preserve"> </w:t>
      </w:r>
      <w:r w:rsidRPr="002A3387">
        <w:rPr>
          <w:sz w:val="16"/>
          <w:szCs w:val="16"/>
        </w:rPr>
        <w:t>Department of Local Government</w:t>
      </w:r>
      <w:r>
        <w:rPr>
          <w:sz w:val="16"/>
          <w:szCs w:val="16"/>
        </w:rPr>
        <w:t xml:space="preserve"> (2011) Western Australian Local Government Accounting Manual Edition 2</w:t>
      </w:r>
    </w:p>
  </w:footnote>
  <w:footnote w:id="20">
    <w:p w:rsidR="00166111" w:rsidRPr="002F0E9D" w:rsidRDefault="00166111" w:rsidP="002F0E9D">
      <w:pPr>
        <w:pStyle w:val="FootnoteText"/>
        <w:spacing w:after="60" w:line="240" w:lineRule="atLeast"/>
        <w:rPr>
          <w:i/>
        </w:rPr>
      </w:pPr>
      <w:r w:rsidRPr="002F0E9D">
        <w:rPr>
          <w:rStyle w:val="FootnoteReference"/>
          <w:i/>
        </w:rPr>
        <w:footnoteRef/>
      </w:r>
      <w:r>
        <w:rPr>
          <w:i/>
        </w:rPr>
        <w:t xml:space="preserve"> </w:t>
      </w:r>
      <w:r w:rsidRPr="002F0E9D">
        <w:rPr>
          <w:rStyle w:val="HTMLCite"/>
          <w:rFonts w:cs="Arial"/>
          <w:i w:val="0"/>
        </w:rPr>
        <w:t>www.northtas</w:t>
      </w:r>
      <w:r w:rsidRPr="002F0E9D">
        <w:rPr>
          <w:rStyle w:val="HTMLCite"/>
          <w:rFonts w:cs="Arial"/>
          <w:bCs/>
          <w:i w:val="0"/>
        </w:rPr>
        <w:t>waste</w:t>
      </w:r>
      <w:r>
        <w:rPr>
          <w:rStyle w:val="HTMLCite"/>
          <w:rFonts w:cs="Arial"/>
          <w:i w:val="0"/>
        </w:rPr>
        <w:t>.com.au</w:t>
      </w:r>
    </w:p>
  </w:footnote>
  <w:footnote w:id="21">
    <w:p w:rsidR="00166111" w:rsidRDefault="00166111">
      <w:pPr>
        <w:pStyle w:val="FootnoteText"/>
      </w:pPr>
      <w:r>
        <w:rPr>
          <w:rStyle w:val="FootnoteReference"/>
        </w:rPr>
        <w:footnoteRef/>
      </w:r>
      <w:r>
        <w:t xml:space="preserve"> </w:t>
      </w:r>
      <w:r w:rsidRPr="00550094">
        <w:rPr>
          <w:i/>
        </w:rPr>
        <w:t>Population by Age and Sex, Regions of Australia</w:t>
      </w:r>
      <w:r w:rsidRPr="00550094">
        <w:t xml:space="preserve"> (</w:t>
      </w:r>
      <w:r>
        <w:t xml:space="preserve">ABS </w:t>
      </w:r>
      <w:r w:rsidRPr="00550094">
        <w:t>cat. no. 3235.0)</w:t>
      </w:r>
      <w:r>
        <w:t>,</w:t>
      </w:r>
      <w:r w:rsidRPr="00550094">
        <w:t xml:space="preserve"> published August</w:t>
      </w:r>
      <w:r>
        <w:t>,</w:t>
      </w:r>
      <w:r w:rsidRPr="00550094">
        <w:t xml:space="preserve"> 2010</w:t>
      </w:r>
    </w:p>
  </w:footnote>
  <w:footnote w:id="22">
    <w:p w:rsidR="00166111" w:rsidRDefault="00166111" w:rsidP="0093095F">
      <w:pPr>
        <w:pStyle w:val="FootnoteText"/>
      </w:pPr>
      <w:r>
        <w:rPr>
          <w:rStyle w:val="FootnoteReference"/>
        </w:rPr>
        <w:footnoteRef/>
      </w:r>
      <w:r>
        <w:t xml:space="preserve"> </w:t>
      </w:r>
      <w:r w:rsidRPr="004F38D0">
        <w:rPr>
          <w:sz w:val="16"/>
          <w:szCs w:val="16"/>
        </w:rPr>
        <w:t xml:space="preserve">Local Government Division Department of Premier &amp; Cabinet (2009) </w:t>
      </w:r>
      <w:r w:rsidRPr="00BF44B3">
        <w:rPr>
          <w:i/>
          <w:sz w:val="16"/>
          <w:szCs w:val="16"/>
        </w:rPr>
        <w:t>Measuring Council Performance in Tasmania 2007 - 2008</w:t>
      </w:r>
    </w:p>
  </w:footnote>
  <w:footnote w:id="23">
    <w:p w:rsidR="00166111" w:rsidRDefault="00166111" w:rsidP="0093095F">
      <w:pPr>
        <w:pStyle w:val="FootnoteText"/>
      </w:pPr>
      <w:r>
        <w:rPr>
          <w:rStyle w:val="FootnoteReference"/>
        </w:rPr>
        <w:footnoteRef/>
      </w:r>
      <w:r>
        <w:t xml:space="preserve"> </w:t>
      </w:r>
      <w:hyperlink r:id="rId5" w:history="1">
        <w:r w:rsidRPr="00D35190">
          <w:rPr>
            <w:rStyle w:val="Hyperlink"/>
            <w:sz w:val="16"/>
            <w:szCs w:val="16"/>
          </w:rPr>
          <w:t>http://www.dpac.tas.gov.au/divisions/lgd/measuring_council_performance</w:t>
        </w:r>
      </w:hyperlink>
      <w:r>
        <w:rPr>
          <w:sz w:val="16"/>
          <w:szCs w:val="16"/>
        </w:rPr>
        <w:t xml:space="preserve"> </w:t>
      </w:r>
    </w:p>
  </w:footnote>
  <w:footnote w:id="24">
    <w:p w:rsidR="00166111" w:rsidRDefault="00166111" w:rsidP="001F4F2D">
      <w:pPr>
        <w:pStyle w:val="FootnoteText"/>
      </w:pPr>
      <w:r>
        <w:rPr>
          <w:rStyle w:val="FootnoteReference"/>
        </w:rPr>
        <w:footnoteRef/>
      </w:r>
      <w:r>
        <w:t xml:space="preserve"> </w:t>
      </w:r>
      <w:r w:rsidRPr="00513260">
        <w:rPr>
          <w:sz w:val="16"/>
          <w:szCs w:val="16"/>
        </w:rPr>
        <w:t>State Grants Commission’s Annual Report</w:t>
      </w:r>
      <w:r>
        <w:rPr>
          <w:sz w:val="16"/>
          <w:szCs w:val="16"/>
        </w:rPr>
        <w:t xml:space="preserve"> 2010-11</w:t>
      </w:r>
    </w:p>
  </w:footnote>
  <w:footnote w:id="25">
    <w:p w:rsidR="00166111" w:rsidRDefault="00166111">
      <w:pPr>
        <w:pStyle w:val="FootnoteText"/>
      </w:pPr>
      <w:r>
        <w:rPr>
          <w:rStyle w:val="FootnoteReference"/>
        </w:rPr>
        <w:footnoteRef/>
      </w:r>
      <w:r>
        <w:t xml:space="preserve"> </w:t>
      </w:r>
      <w:hyperlink r:id="rId6" w:history="1">
        <w:r w:rsidRPr="001F146F">
          <w:rPr>
            <w:rStyle w:val="Hyperlink"/>
            <w:sz w:val="16"/>
            <w:szCs w:val="16"/>
          </w:rPr>
          <w:t>www.legassembly.act.gov.au/education/role-of-the-assembly.asp</w:t>
        </w:r>
      </w:hyperlink>
      <w:r>
        <w:t xml:space="preserve"> </w:t>
      </w:r>
    </w:p>
  </w:footnote>
  <w:footnote w:id="26">
    <w:p w:rsidR="00166111" w:rsidRPr="001F146F" w:rsidRDefault="00166111">
      <w:pPr>
        <w:pStyle w:val="FootnoteText"/>
      </w:pPr>
      <w:r>
        <w:rPr>
          <w:rStyle w:val="FootnoteReference"/>
        </w:rPr>
        <w:footnoteRef/>
      </w:r>
      <w:r>
        <w:t xml:space="preserve"> </w:t>
      </w:r>
      <w:r w:rsidRPr="001F146F">
        <w:rPr>
          <w:i/>
          <w:sz w:val="16"/>
          <w:szCs w:val="16"/>
        </w:rPr>
        <w:t>National Waste Data Systems Requirements Study</w:t>
      </w:r>
      <w:r w:rsidRPr="001F146F">
        <w:rPr>
          <w:sz w:val="16"/>
          <w:szCs w:val="16"/>
        </w:rPr>
        <w:t xml:space="preserve"> (2009), prepared by </w:t>
      </w:r>
      <w:proofErr w:type="spellStart"/>
      <w:r w:rsidRPr="001F146F">
        <w:rPr>
          <w:sz w:val="16"/>
          <w:szCs w:val="16"/>
        </w:rPr>
        <w:t>NetBalance</w:t>
      </w:r>
      <w:proofErr w:type="spellEnd"/>
      <w:r w:rsidRPr="001F146F">
        <w:rPr>
          <w:sz w:val="16"/>
          <w:szCs w:val="16"/>
        </w:rPr>
        <w:t xml:space="preserve"> for the Australian Government</w:t>
      </w:r>
    </w:p>
  </w:footnote>
  <w:footnote w:id="27">
    <w:p w:rsidR="00166111" w:rsidRDefault="00166111" w:rsidP="00C10A36">
      <w:pPr>
        <w:pStyle w:val="FootnoteText"/>
      </w:pPr>
      <w:r>
        <w:rPr>
          <w:rStyle w:val="FootnoteReference"/>
        </w:rPr>
        <w:footnoteRef/>
      </w:r>
      <w:r>
        <w:t xml:space="preserve"> </w:t>
      </w:r>
      <w:r w:rsidRPr="00577E2D">
        <w:rPr>
          <w:sz w:val="16"/>
          <w:szCs w:val="16"/>
        </w:rPr>
        <w:t>Northern Territory Grants Commission Annual Report 2009-10</w:t>
      </w:r>
    </w:p>
  </w:footnote>
  <w:footnote w:id="28">
    <w:p w:rsidR="00166111" w:rsidRDefault="00166111" w:rsidP="00D159EE">
      <w:pPr>
        <w:pStyle w:val="FootnoteText"/>
      </w:pPr>
      <w:r>
        <w:rPr>
          <w:rStyle w:val="FootnoteReference"/>
        </w:rPr>
        <w:footnoteRef/>
      </w:r>
      <w:r>
        <w:t xml:space="preserve"> Due to the low number of survey responses, this figure is skewed by one metropolitan council operating seven transfer stations.</w:t>
      </w:r>
    </w:p>
  </w:footnote>
  <w:footnote w:id="29">
    <w:p w:rsidR="00166111" w:rsidRDefault="00166111">
      <w:pPr>
        <w:pStyle w:val="FootnoteText"/>
      </w:pPr>
      <w:r>
        <w:rPr>
          <w:rStyle w:val="FootnoteReference"/>
        </w:rPr>
        <w:footnoteRef/>
      </w:r>
      <w:r>
        <w:t xml:space="preserve"> </w:t>
      </w:r>
      <w:proofErr w:type="spellStart"/>
      <w:r>
        <w:t>IBISWorld</w:t>
      </w:r>
      <w:proofErr w:type="spellEnd"/>
      <w:r>
        <w:t xml:space="preserve"> Industry Report, May 2009: </w:t>
      </w:r>
      <w:r w:rsidRPr="008D2EC5">
        <w:rPr>
          <w:i/>
        </w:rPr>
        <w:t>Waste Disposal Services in Australia</w:t>
      </w:r>
    </w:p>
  </w:footnote>
  <w:footnote w:id="30">
    <w:p w:rsidR="00166111" w:rsidRDefault="00166111">
      <w:pPr>
        <w:pStyle w:val="FootnoteText"/>
      </w:pPr>
      <w:r>
        <w:rPr>
          <w:rStyle w:val="FootnoteReference"/>
        </w:rPr>
        <w:footnoteRef/>
      </w:r>
      <w:r>
        <w:t xml:space="preserve"> </w:t>
      </w:r>
      <w:hyperlink r:id="rId7" w:history="1">
        <w:r w:rsidRPr="00796418">
          <w:rPr>
            <w:rStyle w:val="Hyperlink"/>
          </w:rPr>
          <w:t>www.insidewaste.com.au/storyview.asp?storyid=447673</w:t>
        </w:r>
      </w:hyperlink>
      <w:r>
        <w:t xml:space="preserve"> </w:t>
      </w:r>
    </w:p>
  </w:footnote>
  <w:footnote w:id="31">
    <w:p w:rsidR="00166111" w:rsidRDefault="00166111" w:rsidP="00180874">
      <w:pPr>
        <w:pStyle w:val="FootnoteText"/>
      </w:pPr>
      <w:r>
        <w:rPr>
          <w:rStyle w:val="FootnoteReference"/>
        </w:rPr>
        <w:footnoteRef/>
      </w:r>
      <w:r>
        <w:t xml:space="preserve"> Methodology for the ABS data collection, and limitations to the ABS scope, are outlined in Section </w:t>
      </w:r>
      <w:r w:rsidR="00ED6CA0">
        <w:fldChar w:fldCharType="begin"/>
      </w:r>
      <w:r>
        <w:instrText xml:space="preserve"> REF _Ref300209865 \r \h </w:instrText>
      </w:r>
      <w:r w:rsidR="00ED6CA0">
        <w:fldChar w:fldCharType="separate"/>
      </w:r>
      <w:r>
        <w:t>5.2.5</w:t>
      </w:r>
      <w:r w:rsidR="00ED6CA0">
        <w:fldChar w:fldCharType="end"/>
      </w:r>
      <w:r>
        <w:t>.</w:t>
      </w:r>
    </w:p>
  </w:footnote>
  <w:footnote w:id="32">
    <w:p w:rsidR="00166111" w:rsidRDefault="00166111">
      <w:pPr>
        <w:pStyle w:val="FootnoteText"/>
      </w:pPr>
      <w:r>
        <w:rPr>
          <w:rStyle w:val="FootnoteReference"/>
        </w:rPr>
        <w:footnoteRef/>
      </w:r>
      <w:r>
        <w:t xml:space="preserve"> This includes all waste streams, not only municipal wastes</w:t>
      </w:r>
    </w:p>
  </w:footnote>
  <w:footnote w:id="33">
    <w:p w:rsidR="00166111" w:rsidRDefault="00166111">
      <w:pPr>
        <w:pStyle w:val="FootnoteText"/>
      </w:pPr>
      <w:r>
        <w:rPr>
          <w:rStyle w:val="FootnoteReference"/>
        </w:rPr>
        <w:footnoteRef/>
      </w:r>
      <w:r>
        <w:t xml:space="preserve"> ABS 2003: </w:t>
      </w:r>
      <w:r w:rsidRPr="00552679">
        <w:rPr>
          <w:i/>
        </w:rPr>
        <w:t>Waste Management Services, Australia, 2002-03</w:t>
      </w:r>
    </w:p>
  </w:footnote>
  <w:footnote w:id="34">
    <w:p w:rsidR="00166111" w:rsidRDefault="00166111">
      <w:pPr>
        <w:pStyle w:val="FootnoteText"/>
      </w:pPr>
      <w:r>
        <w:rPr>
          <w:rStyle w:val="FootnoteReference"/>
        </w:rPr>
        <w:footnoteRef/>
      </w:r>
      <w:r>
        <w:t xml:space="preserve"> Information published in the </w:t>
      </w:r>
      <w:r w:rsidRPr="00055866">
        <w:rPr>
          <w:i/>
        </w:rPr>
        <w:t>Inside Waste Industry Report 2011</w:t>
      </w:r>
      <w:r>
        <w:rPr>
          <w:i/>
        </w:rPr>
        <w:t>-</w:t>
      </w:r>
      <w:r w:rsidRPr="00055866">
        <w:rPr>
          <w:i/>
        </w:rPr>
        <w:t>12</w:t>
      </w:r>
      <w:r>
        <w:t xml:space="preserve"> is based on survey responses from 58 Australian local governments.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2E2B0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9A699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803B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E6A6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5E469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3AAB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812D5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F3C17E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A8F556"/>
    <w:lvl w:ilvl="0">
      <w:start w:val="1"/>
      <w:numFmt w:val="decimal"/>
      <w:pStyle w:val="ListNumber"/>
      <w:lvlText w:val="%1."/>
      <w:lvlJc w:val="left"/>
      <w:pPr>
        <w:tabs>
          <w:tab w:val="num" w:pos="360"/>
        </w:tabs>
        <w:ind w:left="360" w:hanging="360"/>
      </w:pPr>
    </w:lvl>
  </w:abstractNum>
  <w:abstractNum w:abstractNumId="9">
    <w:nsid w:val="FFFFFF89"/>
    <w:multiLevelType w:val="singleLevel"/>
    <w:tmpl w:val="089ED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65395"/>
    <w:multiLevelType w:val="hybridMultilevel"/>
    <w:tmpl w:val="9A54142E"/>
    <w:lvl w:ilvl="0" w:tplc="D96451CE">
      <w:start w:val="1"/>
      <w:numFmt w:val="bullet"/>
      <w:lvlText w:val=""/>
      <w:lvlJc w:val="left"/>
      <w:pPr>
        <w:ind w:left="2421" w:hanging="360"/>
      </w:pPr>
      <w:rPr>
        <w:rFonts w:ascii="Wingdings" w:hAnsi="Wingdings" w:hint="default"/>
        <w:color w:val="auto"/>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nsid w:val="07C53BA8"/>
    <w:multiLevelType w:val="hybridMultilevel"/>
    <w:tmpl w:val="9E9097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08333D20"/>
    <w:multiLevelType w:val="hybridMultilevel"/>
    <w:tmpl w:val="443E9020"/>
    <w:lvl w:ilvl="0" w:tplc="D96451CE">
      <w:start w:val="1"/>
      <w:numFmt w:val="bullet"/>
      <w:lvlText w:val=""/>
      <w:lvlJc w:val="left"/>
      <w:pPr>
        <w:ind w:left="2421" w:hanging="360"/>
      </w:pPr>
      <w:rPr>
        <w:rFonts w:ascii="Wingdings" w:hAnsi="Wingdings" w:hint="default"/>
        <w:color w:val="auto"/>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3">
    <w:nsid w:val="0AA638F2"/>
    <w:multiLevelType w:val="hybridMultilevel"/>
    <w:tmpl w:val="A17EE1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0AC37AC4"/>
    <w:multiLevelType w:val="hybridMultilevel"/>
    <w:tmpl w:val="FEB0340A"/>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nsid w:val="0C3F7112"/>
    <w:multiLevelType w:val="hybridMultilevel"/>
    <w:tmpl w:val="2FECBD70"/>
    <w:lvl w:ilvl="0" w:tplc="F38CCCA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5B7C2D"/>
    <w:multiLevelType w:val="hybridMultilevel"/>
    <w:tmpl w:val="12360CF8"/>
    <w:lvl w:ilvl="0" w:tplc="426C8216">
      <w:start w:val="1"/>
      <w:numFmt w:val="bullet"/>
      <w:pStyle w:val="TablePoints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396DC6"/>
    <w:multiLevelType w:val="multilevel"/>
    <w:tmpl w:val="0BB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1731BF"/>
    <w:multiLevelType w:val="singleLevel"/>
    <w:tmpl w:val="9C5C17E8"/>
    <w:lvl w:ilvl="0">
      <w:start w:val="1"/>
      <w:numFmt w:val="bullet"/>
      <w:pStyle w:val="BulletPoints"/>
      <w:lvlText w:val=""/>
      <w:lvlJc w:val="left"/>
      <w:pPr>
        <w:tabs>
          <w:tab w:val="num" w:pos="567"/>
        </w:tabs>
        <w:ind w:left="567" w:hanging="567"/>
      </w:pPr>
      <w:rPr>
        <w:rFonts w:ascii="Wingdings" w:hAnsi="Wingdings" w:hint="default"/>
      </w:rPr>
    </w:lvl>
  </w:abstractNum>
  <w:abstractNum w:abstractNumId="19">
    <w:nsid w:val="143D1D11"/>
    <w:multiLevelType w:val="hybridMultilevel"/>
    <w:tmpl w:val="7480C5E2"/>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nsid w:val="166849E4"/>
    <w:multiLevelType w:val="hybridMultilevel"/>
    <w:tmpl w:val="0968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AC6696"/>
    <w:multiLevelType w:val="hybridMultilevel"/>
    <w:tmpl w:val="BC14DC3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nsid w:val="1D155310"/>
    <w:multiLevelType w:val="hybridMultilevel"/>
    <w:tmpl w:val="738EA6A0"/>
    <w:lvl w:ilvl="0" w:tplc="29F0430A">
      <w:start w:val="1"/>
      <w:numFmt w:val="lowerLetter"/>
      <w:pStyle w:val="TablePointsAlpha"/>
      <w:lvlText w:val="%1"/>
      <w:lvlJc w:val="left"/>
      <w:pPr>
        <w:tabs>
          <w:tab w:val="num" w:pos="284"/>
        </w:tabs>
        <w:ind w:left="284" w:hanging="284"/>
      </w:pPr>
      <w:rPr>
        <w:rFonts w:ascii="Arial" w:hAnsi="Arial"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DA570E4"/>
    <w:multiLevelType w:val="hybridMultilevel"/>
    <w:tmpl w:val="E1A6284E"/>
    <w:lvl w:ilvl="0" w:tplc="4AC4AA00">
      <w:start w:val="1"/>
      <w:numFmt w:val="decimal"/>
      <w:pStyle w:val="TablePointsNumbers"/>
      <w:lvlText w:val="%1"/>
      <w:lvlJc w:val="left"/>
      <w:pPr>
        <w:tabs>
          <w:tab w:val="num" w:pos="284"/>
        </w:tabs>
        <w:ind w:left="284" w:hanging="284"/>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EB71752"/>
    <w:multiLevelType w:val="hybridMultilevel"/>
    <w:tmpl w:val="46361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28D4134"/>
    <w:multiLevelType w:val="hybridMultilevel"/>
    <w:tmpl w:val="4A087C3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nsid w:val="29ED3099"/>
    <w:multiLevelType w:val="singleLevel"/>
    <w:tmpl w:val="C456D138"/>
    <w:lvl w:ilvl="0">
      <w:start w:val="1"/>
      <w:numFmt w:val="decimal"/>
      <w:pStyle w:val="NumberPoints"/>
      <w:lvlText w:val="%1"/>
      <w:lvlJc w:val="left"/>
      <w:pPr>
        <w:tabs>
          <w:tab w:val="num" w:pos="567"/>
        </w:tabs>
        <w:ind w:left="567" w:hanging="567"/>
      </w:pPr>
      <w:rPr>
        <w:rFonts w:ascii="Arial" w:hAnsi="Arial" w:hint="default"/>
        <w:b/>
        <w:i w:val="0"/>
        <w:sz w:val="22"/>
      </w:rPr>
    </w:lvl>
  </w:abstractNum>
  <w:abstractNum w:abstractNumId="27">
    <w:nsid w:val="2DCC2B7C"/>
    <w:multiLevelType w:val="multilevel"/>
    <w:tmpl w:val="B972D6F2"/>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nsid w:val="303C20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36F21CDB"/>
    <w:multiLevelType w:val="hybridMultilevel"/>
    <w:tmpl w:val="6D1A06A2"/>
    <w:lvl w:ilvl="0" w:tplc="03D42318">
      <w:start w:val="1"/>
      <w:numFmt w:val="decimal"/>
      <w:pStyle w:val="PointsNumbers"/>
      <w:lvlText w:val="%1"/>
      <w:lvlJc w:val="left"/>
      <w:pPr>
        <w:tabs>
          <w:tab w:val="num" w:pos="1701"/>
        </w:tabs>
        <w:ind w:left="1701" w:hanging="567"/>
      </w:pPr>
      <w:rPr>
        <w:rFonts w:ascii="Arial" w:hAnsi="Arial"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7D50B4"/>
    <w:multiLevelType w:val="hybridMultilevel"/>
    <w:tmpl w:val="677C6A80"/>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04302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5F45262"/>
    <w:multiLevelType w:val="hybridMultilevel"/>
    <w:tmpl w:val="A1BC153A"/>
    <w:lvl w:ilvl="0" w:tplc="0C09000F">
      <w:start w:val="1"/>
      <w:numFmt w:val="decimal"/>
      <w:lvlText w:val="%1."/>
      <w:lvlJc w:val="left"/>
      <w:pPr>
        <w:ind w:left="2421" w:hanging="360"/>
      </w:pPr>
      <w:rPr>
        <w:rFonts w:hint="default"/>
        <w:color w:val="auto"/>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3">
    <w:nsid w:val="4C4068CF"/>
    <w:multiLevelType w:val="hybridMultilevel"/>
    <w:tmpl w:val="2BDE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064663"/>
    <w:multiLevelType w:val="hybridMultilevel"/>
    <w:tmpl w:val="2B54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34793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9945647"/>
    <w:multiLevelType w:val="multilevel"/>
    <w:tmpl w:val="DEA4E10E"/>
    <w:lvl w:ilvl="0">
      <w:start w:val="1"/>
      <w:numFmt w:val="decimal"/>
      <w:pStyle w:val="PSALevel1"/>
      <w:lvlText w:val="%1."/>
      <w:lvlJc w:val="left"/>
      <w:pPr>
        <w:tabs>
          <w:tab w:val="num" w:pos="397"/>
        </w:tabs>
        <w:ind w:left="397" w:hanging="397"/>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701"/>
        </w:tabs>
        <w:ind w:left="1701"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701"/>
        </w:tabs>
        <w:ind w:left="1701" w:hanging="1134"/>
      </w:pPr>
      <w:rPr>
        <w:rFonts w:hint="default"/>
      </w:rPr>
    </w:lvl>
    <w:lvl w:ilvl="5">
      <w:start w:val="1"/>
      <w:numFmt w:val="decimal"/>
      <w:lvlText w:val="%1.%2.%3.%4.%5.%6"/>
      <w:lvlJc w:val="left"/>
      <w:pPr>
        <w:tabs>
          <w:tab w:val="num" w:pos="1701"/>
        </w:tabs>
        <w:ind w:left="1701" w:hanging="1134"/>
      </w:pPr>
      <w:rPr>
        <w:rFonts w:hint="default"/>
      </w:rPr>
    </w:lvl>
    <w:lvl w:ilvl="6">
      <w:start w:val="1"/>
      <w:numFmt w:val="decimal"/>
      <w:lvlText w:val="%1.%2.%3.%4.%5.%6.%7"/>
      <w:lvlJc w:val="left"/>
      <w:pPr>
        <w:tabs>
          <w:tab w:val="num" w:pos="1701"/>
        </w:tabs>
        <w:ind w:left="1701" w:hanging="1134"/>
      </w:pPr>
      <w:rPr>
        <w:rFonts w:hint="default"/>
      </w:rPr>
    </w:lvl>
    <w:lvl w:ilvl="7">
      <w:start w:val="1"/>
      <w:numFmt w:val="decimal"/>
      <w:lvlText w:val="%1.%2.%3.%4.%5.%6.%7.%8"/>
      <w:lvlJc w:val="left"/>
      <w:pPr>
        <w:tabs>
          <w:tab w:val="num" w:pos="1701"/>
        </w:tabs>
        <w:ind w:left="1701" w:hanging="1134"/>
      </w:pPr>
      <w:rPr>
        <w:rFonts w:hint="default"/>
      </w:rPr>
    </w:lvl>
    <w:lvl w:ilvl="8">
      <w:start w:val="1"/>
      <w:numFmt w:val="decimal"/>
      <w:lvlText w:val="%1.%2.%3.%4.%5.%6.%7.%8.%9"/>
      <w:lvlJc w:val="left"/>
      <w:pPr>
        <w:tabs>
          <w:tab w:val="num" w:pos="1701"/>
        </w:tabs>
        <w:ind w:left="1701" w:hanging="1134"/>
      </w:pPr>
      <w:rPr>
        <w:rFonts w:hint="default"/>
      </w:rPr>
    </w:lvl>
  </w:abstractNum>
  <w:abstractNum w:abstractNumId="37">
    <w:nsid w:val="5C700DCF"/>
    <w:multiLevelType w:val="hybridMultilevel"/>
    <w:tmpl w:val="03DC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A569C5"/>
    <w:multiLevelType w:val="singleLevel"/>
    <w:tmpl w:val="7F0C5AFA"/>
    <w:lvl w:ilvl="0">
      <w:start w:val="1"/>
      <w:numFmt w:val="lowerLetter"/>
      <w:pStyle w:val="AlphaPoints"/>
      <w:lvlText w:val="%1"/>
      <w:lvlJc w:val="left"/>
      <w:pPr>
        <w:tabs>
          <w:tab w:val="num" w:pos="567"/>
        </w:tabs>
        <w:ind w:left="567" w:hanging="567"/>
      </w:pPr>
      <w:rPr>
        <w:rFonts w:ascii="Arial" w:hAnsi="Arial" w:hint="default"/>
        <w:b/>
        <w:i w:val="0"/>
        <w:sz w:val="22"/>
      </w:rPr>
    </w:lvl>
  </w:abstractNum>
  <w:abstractNum w:abstractNumId="39">
    <w:nsid w:val="6D7B45AE"/>
    <w:multiLevelType w:val="hybridMultilevel"/>
    <w:tmpl w:val="AC6AFA60"/>
    <w:lvl w:ilvl="0" w:tplc="D96451CE">
      <w:start w:val="1"/>
      <w:numFmt w:val="bullet"/>
      <w:lvlText w:val=""/>
      <w:lvlJc w:val="left"/>
      <w:pPr>
        <w:ind w:left="1854" w:hanging="360"/>
      </w:pPr>
      <w:rPr>
        <w:rFonts w:ascii="Wingdings" w:hAnsi="Wingdings" w:hint="default"/>
        <w:color w:val="auto"/>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0">
    <w:nsid w:val="6E4800BB"/>
    <w:multiLevelType w:val="hybridMultilevel"/>
    <w:tmpl w:val="4F1E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83F17"/>
    <w:multiLevelType w:val="multilevel"/>
    <w:tmpl w:val="08528C44"/>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lvlText w:val="%1.%2.%3.%4"/>
      <w:lvlJc w:val="left"/>
      <w:pPr>
        <w:tabs>
          <w:tab w:val="num" w:pos="1080"/>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42">
    <w:nsid w:val="70E42082"/>
    <w:multiLevelType w:val="hybridMultilevel"/>
    <w:tmpl w:val="AB78C68A"/>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3">
    <w:nsid w:val="7211407A"/>
    <w:multiLevelType w:val="hybridMultilevel"/>
    <w:tmpl w:val="8BFCEEE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nsid w:val="73EB482F"/>
    <w:multiLevelType w:val="hybridMultilevel"/>
    <w:tmpl w:val="F538E968"/>
    <w:lvl w:ilvl="0" w:tplc="C2C21E92">
      <w:start w:val="1"/>
      <w:numFmt w:val="lowerLetter"/>
      <w:pStyle w:val="PointsAlpha"/>
      <w:lvlText w:val="%1"/>
      <w:lvlJc w:val="left"/>
      <w:pPr>
        <w:tabs>
          <w:tab w:val="num" w:pos="1701"/>
        </w:tabs>
        <w:ind w:left="1701" w:hanging="567"/>
      </w:pPr>
      <w:rPr>
        <w:rFonts w:ascii="Arial" w:hAnsi="Arial" w:hint="default"/>
        <w:b/>
        <w:i w:val="0"/>
        <w:sz w:val="20"/>
      </w:rPr>
    </w:lvl>
    <w:lvl w:ilvl="1" w:tplc="40962A30" w:tentative="1">
      <w:start w:val="1"/>
      <w:numFmt w:val="lowerLetter"/>
      <w:lvlText w:val="%2."/>
      <w:lvlJc w:val="left"/>
      <w:pPr>
        <w:tabs>
          <w:tab w:val="num" w:pos="1440"/>
        </w:tabs>
        <w:ind w:left="1440" w:hanging="360"/>
      </w:pPr>
    </w:lvl>
    <w:lvl w:ilvl="2" w:tplc="DD4A023E" w:tentative="1">
      <w:start w:val="1"/>
      <w:numFmt w:val="lowerRoman"/>
      <w:lvlText w:val="%3."/>
      <w:lvlJc w:val="right"/>
      <w:pPr>
        <w:tabs>
          <w:tab w:val="num" w:pos="2160"/>
        </w:tabs>
        <w:ind w:left="2160" w:hanging="180"/>
      </w:pPr>
    </w:lvl>
    <w:lvl w:ilvl="3" w:tplc="78BAEECC" w:tentative="1">
      <w:start w:val="1"/>
      <w:numFmt w:val="decimal"/>
      <w:lvlText w:val="%4."/>
      <w:lvlJc w:val="left"/>
      <w:pPr>
        <w:tabs>
          <w:tab w:val="num" w:pos="2880"/>
        </w:tabs>
        <w:ind w:left="2880" w:hanging="360"/>
      </w:pPr>
    </w:lvl>
    <w:lvl w:ilvl="4" w:tplc="AE4AD878" w:tentative="1">
      <w:start w:val="1"/>
      <w:numFmt w:val="lowerLetter"/>
      <w:lvlText w:val="%5."/>
      <w:lvlJc w:val="left"/>
      <w:pPr>
        <w:tabs>
          <w:tab w:val="num" w:pos="3600"/>
        </w:tabs>
        <w:ind w:left="3600" w:hanging="360"/>
      </w:pPr>
    </w:lvl>
    <w:lvl w:ilvl="5" w:tplc="17DC9F90" w:tentative="1">
      <w:start w:val="1"/>
      <w:numFmt w:val="lowerRoman"/>
      <w:lvlText w:val="%6."/>
      <w:lvlJc w:val="right"/>
      <w:pPr>
        <w:tabs>
          <w:tab w:val="num" w:pos="4320"/>
        </w:tabs>
        <w:ind w:left="4320" w:hanging="180"/>
      </w:pPr>
    </w:lvl>
    <w:lvl w:ilvl="6" w:tplc="FE4AE59C" w:tentative="1">
      <w:start w:val="1"/>
      <w:numFmt w:val="decimal"/>
      <w:lvlText w:val="%7."/>
      <w:lvlJc w:val="left"/>
      <w:pPr>
        <w:tabs>
          <w:tab w:val="num" w:pos="5040"/>
        </w:tabs>
        <w:ind w:left="5040" w:hanging="360"/>
      </w:pPr>
    </w:lvl>
    <w:lvl w:ilvl="7" w:tplc="4A18EE92" w:tentative="1">
      <w:start w:val="1"/>
      <w:numFmt w:val="lowerLetter"/>
      <w:lvlText w:val="%8."/>
      <w:lvlJc w:val="left"/>
      <w:pPr>
        <w:tabs>
          <w:tab w:val="num" w:pos="5760"/>
        </w:tabs>
        <w:ind w:left="5760" w:hanging="360"/>
      </w:pPr>
    </w:lvl>
    <w:lvl w:ilvl="8" w:tplc="0B6C9E42" w:tentative="1">
      <w:start w:val="1"/>
      <w:numFmt w:val="lowerRoman"/>
      <w:lvlText w:val="%9."/>
      <w:lvlJc w:val="right"/>
      <w:pPr>
        <w:tabs>
          <w:tab w:val="num" w:pos="6480"/>
        </w:tabs>
        <w:ind w:left="6480" w:hanging="180"/>
      </w:pPr>
    </w:lvl>
  </w:abstractNum>
  <w:abstractNum w:abstractNumId="45">
    <w:nsid w:val="757B31EC"/>
    <w:multiLevelType w:val="hybridMultilevel"/>
    <w:tmpl w:val="ECF4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5C5B60"/>
    <w:multiLevelType w:val="hybridMultilevel"/>
    <w:tmpl w:val="7340FB08"/>
    <w:lvl w:ilvl="0" w:tplc="0C09000F">
      <w:start w:val="1"/>
      <w:numFmt w:val="decimal"/>
      <w:lvlText w:val="%1."/>
      <w:lvlJc w:val="left"/>
      <w:pPr>
        <w:ind w:left="1854" w:hanging="360"/>
      </w:pPr>
      <w:rPr>
        <w:rFonts w:hint="default"/>
        <w:color w:val="auto"/>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nsid w:val="77AD6EA4"/>
    <w:multiLevelType w:val="hybridMultilevel"/>
    <w:tmpl w:val="BE4CDBE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8">
    <w:nsid w:val="7BE2624D"/>
    <w:multiLevelType w:val="hybridMultilevel"/>
    <w:tmpl w:val="AD52ADDE"/>
    <w:lvl w:ilvl="0" w:tplc="3036FC92">
      <w:start w:val="23"/>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44"/>
  </w:num>
  <w:num w:numId="2">
    <w:abstractNumId w:val="30"/>
  </w:num>
  <w:num w:numId="3">
    <w:abstractNumId w:val="29"/>
  </w:num>
  <w:num w:numId="4">
    <w:abstractNumId w:val="22"/>
  </w:num>
  <w:num w:numId="5">
    <w:abstractNumId w:val="16"/>
  </w:num>
  <w:num w:numId="6">
    <w:abstractNumId w:val="23"/>
  </w:num>
  <w:num w:numId="7">
    <w:abstractNumId w:val="31"/>
  </w:num>
  <w:num w:numId="8">
    <w:abstractNumId w:val="35"/>
  </w:num>
  <w:num w:numId="9">
    <w:abstractNumId w:val="38"/>
  </w:num>
  <w:num w:numId="10">
    <w:abstractNumId w:val="28"/>
  </w:num>
  <w:num w:numId="11">
    <w:abstractNumId w:val="18"/>
  </w:num>
  <w:num w:numId="12">
    <w:abstractNumId w:val="4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36"/>
  </w:num>
  <w:num w:numId="25">
    <w:abstractNumId w:val="42"/>
  </w:num>
  <w:num w:numId="26">
    <w:abstractNumId w:val="39"/>
  </w:num>
  <w:num w:numId="27">
    <w:abstractNumId w:val="48"/>
  </w:num>
  <w:num w:numId="28">
    <w:abstractNumId w:val="19"/>
  </w:num>
  <w:num w:numId="29">
    <w:abstractNumId w:val="10"/>
  </w:num>
  <w:num w:numId="30">
    <w:abstractNumId w:val="12"/>
  </w:num>
  <w:num w:numId="31">
    <w:abstractNumId w:val="32"/>
  </w:num>
  <w:num w:numId="32">
    <w:abstractNumId w:val="47"/>
  </w:num>
  <w:num w:numId="33">
    <w:abstractNumId w:val="27"/>
  </w:num>
  <w:num w:numId="34">
    <w:abstractNumId w:val="13"/>
  </w:num>
  <w:num w:numId="35">
    <w:abstractNumId w:val="17"/>
  </w:num>
  <w:num w:numId="36">
    <w:abstractNumId w:val="43"/>
  </w:num>
  <w:num w:numId="37">
    <w:abstractNumId w:val="21"/>
  </w:num>
  <w:num w:numId="38">
    <w:abstractNumId w:val="25"/>
  </w:num>
  <w:num w:numId="39">
    <w:abstractNumId w:val="46"/>
  </w:num>
  <w:num w:numId="40">
    <w:abstractNumId w:val="14"/>
  </w:num>
  <w:num w:numId="41">
    <w:abstractNumId w:val="11"/>
  </w:num>
  <w:num w:numId="42">
    <w:abstractNumId w:val="15"/>
  </w:num>
  <w:num w:numId="43">
    <w:abstractNumId w:val="33"/>
  </w:num>
  <w:num w:numId="44">
    <w:abstractNumId w:val="40"/>
  </w:num>
  <w:num w:numId="45">
    <w:abstractNumId w:val="20"/>
  </w:num>
  <w:num w:numId="46">
    <w:abstractNumId w:val="45"/>
  </w:num>
  <w:num w:numId="47">
    <w:abstractNumId w:val="37"/>
  </w:num>
  <w:num w:numId="48">
    <w:abstractNumId w:val="34"/>
  </w:num>
  <w:num w:numId="49">
    <w:abstractNumId w:val="2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attachedTemplate r:id="rId1"/>
  <w:stylePaneFormatFilter w:val="0002"/>
  <w:defaultTabStop w:val="567"/>
  <w:evenAndOddHeaders/>
  <w:drawingGridHorizontalSpacing w:val="100"/>
  <w:displayHorizontalDrawingGridEvery w:val="2"/>
  <w:characterSpacingControl w:val="doNotCompress"/>
  <w:hdrShapeDefaults>
    <o:shapedefaults v:ext="edit" spidmax="14337">
      <o:colormru v:ext="edit" colors="#00519e,#b8b8ac,#009ee0"/>
    </o:shapedefaults>
  </w:hdrShapeDefaults>
  <w:footnotePr>
    <w:footnote w:id="-1"/>
    <w:footnote w:id="0"/>
    <w:footnote w:id="1"/>
  </w:footnotePr>
  <w:endnotePr>
    <w:endnote w:id="-1"/>
    <w:endnote w:id="0"/>
    <w:endnote w:id="1"/>
  </w:endnotePr>
  <w:compat/>
  <w:rsids>
    <w:rsidRoot w:val="00016FA8"/>
    <w:rsid w:val="00001132"/>
    <w:rsid w:val="0000132D"/>
    <w:rsid w:val="000020A4"/>
    <w:rsid w:val="000052B4"/>
    <w:rsid w:val="0000730D"/>
    <w:rsid w:val="00010652"/>
    <w:rsid w:val="000126C8"/>
    <w:rsid w:val="000132BD"/>
    <w:rsid w:val="000135C4"/>
    <w:rsid w:val="00016FA8"/>
    <w:rsid w:val="000225C3"/>
    <w:rsid w:val="00022938"/>
    <w:rsid w:val="00022A85"/>
    <w:rsid w:val="00026507"/>
    <w:rsid w:val="00031180"/>
    <w:rsid w:val="00040BFF"/>
    <w:rsid w:val="00041CD0"/>
    <w:rsid w:val="00042360"/>
    <w:rsid w:val="00042AAE"/>
    <w:rsid w:val="00042E6F"/>
    <w:rsid w:val="000436F5"/>
    <w:rsid w:val="00043CF2"/>
    <w:rsid w:val="00043DD9"/>
    <w:rsid w:val="00043E17"/>
    <w:rsid w:val="00043F7A"/>
    <w:rsid w:val="00052A5B"/>
    <w:rsid w:val="00052D54"/>
    <w:rsid w:val="00053A33"/>
    <w:rsid w:val="00055866"/>
    <w:rsid w:val="00056098"/>
    <w:rsid w:val="000564EA"/>
    <w:rsid w:val="0006111E"/>
    <w:rsid w:val="00061189"/>
    <w:rsid w:val="0006529A"/>
    <w:rsid w:val="00066307"/>
    <w:rsid w:val="0006687F"/>
    <w:rsid w:val="00066D13"/>
    <w:rsid w:val="00074144"/>
    <w:rsid w:val="00083617"/>
    <w:rsid w:val="000843ED"/>
    <w:rsid w:val="00085083"/>
    <w:rsid w:val="00085D2C"/>
    <w:rsid w:val="000865F7"/>
    <w:rsid w:val="00086803"/>
    <w:rsid w:val="000908CA"/>
    <w:rsid w:val="00090FD4"/>
    <w:rsid w:val="000968E9"/>
    <w:rsid w:val="00097E0D"/>
    <w:rsid w:val="000A5969"/>
    <w:rsid w:val="000A6667"/>
    <w:rsid w:val="000A7C39"/>
    <w:rsid w:val="000A7FFA"/>
    <w:rsid w:val="000B013A"/>
    <w:rsid w:val="000B0B34"/>
    <w:rsid w:val="000B1FF7"/>
    <w:rsid w:val="000B502D"/>
    <w:rsid w:val="000B5361"/>
    <w:rsid w:val="000C3055"/>
    <w:rsid w:val="000C3056"/>
    <w:rsid w:val="000C3076"/>
    <w:rsid w:val="000C56AF"/>
    <w:rsid w:val="000C7B1C"/>
    <w:rsid w:val="000D21CE"/>
    <w:rsid w:val="000D223F"/>
    <w:rsid w:val="000D4C28"/>
    <w:rsid w:val="000D562F"/>
    <w:rsid w:val="000D5AF7"/>
    <w:rsid w:val="000D64D1"/>
    <w:rsid w:val="000E19C7"/>
    <w:rsid w:val="000E26CD"/>
    <w:rsid w:val="000E4AC6"/>
    <w:rsid w:val="000F0B7A"/>
    <w:rsid w:val="000F71D7"/>
    <w:rsid w:val="00100545"/>
    <w:rsid w:val="00100B7C"/>
    <w:rsid w:val="00101C06"/>
    <w:rsid w:val="00104230"/>
    <w:rsid w:val="001051FC"/>
    <w:rsid w:val="00106180"/>
    <w:rsid w:val="00107F62"/>
    <w:rsid w:val="001108C3"/>
    <w:rsid w:val="00112302"/>
    <w:rsid w:val="00112468"/>
    <w:rsid w:val="00112CB4"/>
    <w:rsid w:val="001132F2"/>
    <w:rsid w:val="00120519"/>
    <w:rsid w:val="00122836"/>
    <w:rsid w:val="00123D13"/>
    <w:rsid w:val="001249B5"/>
    <w:rsid w:val="001267CE"/>
    <w:rsid w:val="00137202"/>
    <w:rsid w:val="001375B0"/>
    <w:rsid w:val="00143203"/>
    <w:rsid w:val="0014336A"/>
    <w:rsid w:val="001451E0"/>
    <w:rsid w:val="001463DD"/>
    <w:rsid w:val="001473F4"/>
    <w:rsid w:val="00147568"/>
    <w:rsid w:val="00151581"/>
    <w:rsid w:val="00155B36"/>
    <w:rsid w:val="001579C1"/>
    <w:rsid w:val="00157DAB"/>
    <w:rsid w:val="00161A53"/>
    <w:rsid w:val="00161CA5"/>
    <w:rsid w:val="00163D89"/>
    <w:rsid w:val="00166111"/>
    <w:rsid w:val="00167DBC"/>
    <w:rsid w:val="0017461C"/>
    <w:rsid w:val="00174734"/>
    <w:rsid w:val="0017511A"/>
    <w:rsid w:val="00176DBA"/>
    <w:rsid w:val="00177363"/>
    <w:rsid w:val="00180874"/>
    <w:rsid w:val="00181629"/>
    <w:rsid w:val="00187524"/>
    <w:rsid w:val="00191C5B"/>
    <w:rsid w:val="00194B1C"/>
    <w:rsid w:val="0019568F"/>
    <w:rsid w:val="001A2874"/>
    <w:rsid w:val="001A416C"/>
    <w:rsid w:val="001A67C1"/>
    <w:rsid w:val="001A75C3"/>
    <w:rsid w:val="001B0C5F"/>
    <w:rsid w:val="001B113D"/>
    <w:rsid w:val="001B587C"/>
    <w:rsid w:val="001C38E4"/>
    <w:rsid w:val="001C3D81"/>
    <w:rsid w:val="001C5565"/>
    <w:rsid w:val="001D2351"/>
    <w:rsid w:val="001D4B03"/>
    <w:rsid w:val="001D51A3"/>
    <w:rsid w:val="001D5A8C"/>
    <w:rsid w:val="001D6052"/>
    <w:rsid w:val="001D6601"/>
    <w:rsid w:val="001E0880"/>
    <w:rsid w:val="001E0913"/>
    <w:rsid w:val="001E0AF6"/>
    <w:rsid w:val="001E20D7"/>
    <w:rsid w:val="001E4CBF"/>
    <w:rsid w:val="001E5E88"/>
    <w:rsid w:val="001E600C"/>
    <w:rsid w:val="001F146F"/>
    <w:rsid w:val="001F1C43"/>
    <w:rsid w:val="001F20F2"/>
    <w:rsid w:val="001F4F2D"/>
    <w:rsid w:val="001F64E7"/>
    <w:rsid w:val="002021D5"/>
    <w:rsid w:val="002022C3"/>
    <w:rsid w:val="0020316B"/>
    <w:rsid w:val="00206AAC"/>
    <w:rsid w:val="00210185"/>
    <w:rsid w:val="00214281"/>
    <w:rsid w:val="002153D7"/>
    <w:rsid w:val="0021698A"/>
    <w:rsid w:val="00217542"/>
    <w:rsid w:val="0021790D"/>
    <w:rsid w:val="00223CF1"/>
    <w:rsid w:val="00224FB0"/>
    <w:rsid w:val="00226378"/>
    <w:rsid w:val="002307AD"/>
    <w:rsid w:val="00230A12"/>
    <w:rsid w:val="00236153"/>
    <w:rsid w:val="00240DB2"/>
    <w:rsid w:val="00243C72"/>
    <w:rsid w:val="002465B5"/>
    <w:rsid w:val="00247CA5"/>
    <w:rsid w:val="0025235E"/>
    <w:rsid w:val="002545A8"/>
    <w:rsid w:val="002565A5"/>
    <w:rsid w:val="00256AA9"/>
    <w:rsid w:val="00260024"/>
    <w:rsid w:val="00261F2B"/>
    <w:rsid w:val="002620EF"/>
    <w:rsid w:val="0026379B"/>
    <w:rsid w:val="00265FD2"/>
    <w:rsid w:val="002740C5"/>
    <w:rsid w:val="00275E6A"/>
    <w:rsid w:val="00280DA3"/>
    <w:rsid w:val="00286A4F"/>
    <w:rsid w:val="00287A42"/>
    <w:rsid w:val="0029255C"/>
    <w:rsid w:val="00293771"/>
    <w:rsid w:val="0029434D"/>
    <w:rsid w:val="002954AC"/>
    <w:rsid w:val="00295595"/>
    <w:rsid w:val="00295CF5"/>
    <w:rsid w:val="002A12D1"/>
    <w:rsid w:val="002A19A8"/>
    <w:rsid w:val="002A1D14"/>
    <w:rsid w:val="002A2643"/>
    <w:rsid w:val="002A3E9B"/>
    <w:rsid w:val="002A4021"/>
    <w:rsid w:val="002A7C1F"/>
    <w:rsid w:val="002A7C59"/>
    <w:rsid w:val="002B010C"/>
    <w:rsid w:val="002B05C3"/>
    <w:rsid w:val="002B07B9"/>
    <w:rsid w:val="002B1738"/>
    <w:rsid w:val="002B3830"/>
    <w:rsid w:val="002B3E4B"/>
    <w:rsid w:val="002B47F3"/>
    <w:rsid w:val="002B6E9B"/>
    <w:rsid w:val="002C048E"/>
    <w:rsid w:val="002C4081"/>
    <w:rsid w:val="002D2F10"/>
    <w:rsid w:val="002D3A44"/>
    <w:rsid w:val="002D4ECF"/>
    <w:rsid w:val="002D56D2"/>
    <w:rsid w:val="002D58FB"/>
    <w:rsid w:val="002D65BF"/>
    <w:rsid w:val="002E08A1"/>
    <w:rsid w:val="002E0AEB"/>
    <w:rsid w:val="002E2567"/>
    <w:rsid w:val="002E44C3"/>
    <w:rsid w:val="002E529F"/>
    <w:rsid w:val="002E598F"/>
    <w:rsid w:val="002F0E9D"/>
    <w:rsid w:val="002F4DF3"/>
    <w:rsid w:val="002F5179"/>
    <w:rsid w:val="002F7B77"/>
    <w:rsid w:val="0030118C"/>
    <w:rsid w:val="0030549A"/>
    <w:rsid w:val="00305535"/>
    <w:rsid w:val="003063C7"/>
    <w:rsid w:val="003140AE"/>
    <w:rsid w:val="00321CA0"/>
    <w:rsid w:val="003264BE"/>
    <w:rsid w:val="00327312"/>
    <w:rsid w:val="00332FCC"/>
    <w:rsid w:val="00334A15"/>
    <w:rsid w:val="00347D98"/>
    <w:rsid w:val="00350310"/>
    <w:rsid w:val="003509AD"/>
    <w:rsid w:val="00355D4C"/>
    <w:rsid w:val="00362E4A"/>
    <w:rsid w:val="00363B7C"/>
    <w:rsid w:val="0036461D"/>
    <w:rsid w:val="003649F5"/>
    <w:rsid w:val="0036689C"/>
    <w:rsid w:val="003722BE"/>
    <w:rsid w:val="0037234F"/>
    <w:rsid w:val="00375BB4"/>
    <w:rsid w:val="00376990"/>
    <w:rsid w:val="003769BA"/>
    <w:rsid w:val="00376E20"/>
    <w:rsid w:val="003804F4"/>
    <w:rsid w:val="00380E73"/>
    <w:rsid w:val="003825F7"/>
    <w:rsid w:val="00383072"/>
    <w:rsid w:val="003836F0"/>
    <w:rsid w:val="00384F4F"/>
    <w:rsid w:val="00385539"/>
    <w:rsid w:val="00386248"/>
    <w:rsid w:val="0038725B"/>
    <w:rsid w:val="003924D5"/>
    <w:rsid w:val="00393119"/>
    <w:rsid w:val="0039399F"/>
    <w:rsid w:val="00394C82"/>
    <w:rsid w:val="003A0F34"/>
    <w:rsid w:val="003A3034"/>
    <w:rsid w:val="003A5F6E"/>
    <w:rsid w:val="003B0B49"/>
    <w:rsid w:val="003B12E9"/>
    <w:rsid w:val="003B175E"/>
    <w:rsid w:val="003B1BC2"/>
    <w:rsid w:val="003B2C49"/>
    <w:rsid w:val="003B40BE"/>
    <w:rsid w:val="003B4519"/>
    <w:rsid w:val="003B5019"/>
    <w:rsid w:val="003B60A1"/>
    <w:rsid w:val="003C2C0A"/>
    <w:rsid w:val="003C2EEA"/>
    <w:rsid w:val="003C48B4"/>
    <w:rsid w:val="003C72EA"/>
    <w:rsid w:val="003D0E69"/>
    <w:rsid w:val="003D1334"/>
    <w:rsid w:val="003D1832"/>
    <w:rsid w:val="003D4E24"/>
    <w:rsid w:val="003D6713"/>
    <w:rsid w:val="003E1206"/>
    <w:rsid w:val="003E2431"/>
    <w:rsid w:val="003E7242"/>
    <w:rsid w:val="003E73DD"/>
    <w:rsid w:val="003F404A"/>
    <w:rsid w:val="003F7B3A"/>
    <w:rsid w:val="00403509"/>
    <w:rsid w:val="004038E0"/>
    <w:rsid w:val="0040632C"/>
    <w:rsid w:val="004101C7"/>
    <w:rsid w:val="004106E3"/>
    <w:rsid w:val="00411D55"/>
    <w:rsid w:val="00414C58"/>
    <w:rsid w:val="00424D3A"/>
    <w:rsid w:val="0042615B"/>
    <w:rsid w:val="004313D9"/>
    <w:rsid w:val="0043206A"/>
    <w:rsid w:val="004333CF"/>
    <w:rsid w:val="00434014"/>
    <w:rsid w:val="00435FA5"/>
    <w:rsid w:val="00435FFA"/>
    <w:rsid w:val="00437385"/>
    <w:rsid w:val="00437FE1"/>
    <w:rsid w:val="0044035A"/>
    <w:rsid w:val="00441892"/>
    <w:rsid w:val="004430D1"/>
    <w:rsid w:val="004458CB"/>
    <w:rsid w:val="00446603"/>
    <w:rsid w:val="00455AF1"/>
    <w:rsid w:val="00456BD6"/>
    <w:rsid w:val="00457757"/>
    <w:rsid w:val="00461E13"/>
    <w:rsid w:val="00462E12"/>
    <w:rsid w:val="0046354E"/>
    <w:rsid w:val="00464371"/>
    <w:rsid w:val="00464F70"/>
    <w:rsid w:val="00465C10"/>
    <w:rsid w:val="00470D18"/>
    <w:rsid w:val="00471613"/>
    <w:rsid w:val="004718F8"/>
    <w:rsid w:val="00473F9B"/>
    <w:rsid w:val="00476718"/>
    <w:rsid w:val="0048101B"/>
    <w:rsid w:val="0048219A"/>
    <w:rsid w:val="0048462A"/>
    <w:rsid w:val="004874E7"/>
    <w:rsid w:val="004948A9"/>
    <w:rsid w:val="004957E5"/>
    <w:rsid w:val="0049739A"/>
    <w:rsid w:val="004A037B"/>
    <w:rsid w:val="004A0B36"/>
    <w:rsid w:val="004A1651"/>
    <w:rsid w:val="004A35C9"/>
    <w:rsid w:val="004A3C7F"/>
    <w:rsid w:val="004A3CB6"/>
    <w:rsid w:val="004A6410"/>
    <w:rsid w:val="004A786D"/>
    <w:rsid w:val="004B0B82"/>
    <w:rsid w:val="004B2C54"/>
    <w:rsid w:val="004B377E"/>
    <w:rsid w:val="004B506C"/>
    <w:rsid w:val="004B51FF"/>
    <w:rsid w:val="004C0741"/>
    <w:rsid w:val="004C1242"/>
    <w:rsid w:val="004C4847"/>
    <w:rsid w:val="004C6B48"/>
    <w:rsid w:val="004D0A0A"/>
    <w:rsid w:val="004D0A48"/>
    <w:rsid w:val="004D0EE1"/>
    <w:rsid w:val="004D217E"/>
    <w:rsid w:val="004D5A0F"/>
    <w:rsid w:val="004E00D6"/>
    <w:rsid w:val="004E2E7B"/>
    <w:rsid w:val="004E2FBB"/>
    <w:rsid w:val="004E544A"/>
    <w:rsid w:val="004E71DA"/>
    <w:rsid w:val="004F0083"/>
    <w:rsid w:val="004F0879"/>
    <w:rsid w:val="004F3CDB"/>
    <w:rsid w:val="004F7673"/>
    <w:rsid w:val="005018E4"/>
    <w:rsid w:val="005027D7"/>
    <w:rsid w:val="00503D7A"/>
    <w:rsid w:val="00505AF9"/>
    <w:rsid w:val="00510C28"/>
    <w:rsid w:val="005121A6"/>
    <w:rsid w:val="00513576"/>
    <w:rsid w:val="0051478B"/>
    <w:rsid w:val="005217CC"/>
    <w:rsid w:val="005238BF"/>
    <w:rsid w:val="00530CED"/>
    <w:rsid w:val="00532EF8"/>
    <w:rsid w:val="00532F84"/>
    <w:rsid w:val="00534A37"/>
    <w:rsid w:val="00543ED4"/>
    <w:rsid w:val="005454E8"/>
    <w:rsid w:val="00550094"/>
    <w:rsid w:val="00551494"/>
    <w:rsid w:val="00552679"/>
    <w:rsid w:val="00552E89"/>
    <w:rsid w:val="00555F17"/>
    <w:rsid w:val="00557D28"/>
    <w:rsid w:val="00560617"/>
    <w:rsid w:val="0056371C"/>
    <w:rsid w:val="0057062E"/>
    <w:rsid w:val="005752C0"/>
    <w:rsid w:val="00582ED5"/>
    <w:rsid w:val="0058303C"/>
    <w:rsid w:val="005830B3"/>
    <w:rsid w:val="005850D4"/>
    <w:rsid w:val="00587A10"/>
    <w:rsid w:val="00593D01"/>
    <w:rsid w:val="00594ADE"/>
    <w:rsid w:val="005A0E78"/>
    <w:rsid w:val="005A34AC"/>
    <w:rsid w:val="005A58B4"/>
    <w:rsid w:val="005A590A"/>
    <w:rsid w:val="005B171E"/>
    <w:rsid w:val="005B29B4"/>
    <w:rsid w:val="005B3DD4"/>
    <w:rsid w:val="005B78CB"/>
    <w:rsid w:val="005C06DC"/>
    <w:rsid w:val="005C0725"/>
    <w:rsid w:val="005C0B4D"/>
    <w:rsid w:val="005C1F78"/>
    <w:rsid w:val="005C217C"/>
    <w:rsid w:val="005C3521"/>
    <w:rsid w:val="005C361F"/>
    <w:rsid w:val="005C6E2B"/>
    <w:rsid w:val="005C7A79"/>
    <w:rsid w:val="005D0738"/>
    <w:rsid w:val="005D1CEC"/>
    <w:rsid w:val="005D3929"/>
    <w:rsid w:val="005D7237"/>
    <w:rsid w:val="005D7D0A"/>
    <w:rsid w:val="005E758E"/>
    <w:rsid w:val="005E7775"/>
    <w:rsid w:val="005F5A14"/>
    <w:rsid w:val="005F6B37"/>
    <w:rsid w:val="005F70E4"/>
    <w:rsid w:val="0060300A"/>
    <w:rsid w:val="00603BB6"/>
    <w:rsid w:val="006043D8"/>
    <w:rsid w:val="00606A40"/>
    <w:rsid w:val="00607C4B"/>
    <w:rsid w:val="0061081D"/>
    <w:rsid w:val="00611544"/>
    <w:rsid w:val="006153BC"/>
    <w:rsid w:val="00615E42"/>
    <w:rsid w:val="00620B08"/>
    <w:rsid w:val="00624286"/>
    <w:rsid w:val="006255FD"/>
    <w:rsid w:val="00627935"/>
    <w:rsid w:val="00630944"/>
    <w:rsid w:val="00632CDB"/>
    <w:rsid w:val="00633A3B"/>
    <w:rsid w:val="00635110"/>
    <w:rsid w:val="006355B4"/>
    <w:rsid w:val="00642F5F"/>
    <w:rsid w:val="0064400C"/>
    <w:rsid w:val="00644462"/>
    <w:rsid w:val="006454C7"/>
    <w:rsid w:val="0064732A"/>
    <w:rsid w:val="00650E68"/>
    <w:rsid w:val="006549B9"/>
    <w:rsid w:val="00657ACF"/>
    <w:rsid w:val="00663006"/>
    <w:rsid w:val="0066386C"/>
    <w:rsid w:val="006659DF"/>
    <w:rsid w:val="0067186F"/>
    <w:rsid w:val="00680C3E"/>
    <w:rsid w:val="00681D5F"/>
    <w:rsid w:val="006827AD"/>
    <w:rsid w:val="006830F4"/>
    <w:rsid w:val="006851A4"/>
    <w:rsid w:val="00685C7B"/>
    <w:rsid w:val="00685CDF"/>
    <w:rsid w:val="0069036D"/>
    <w:rsid w:val="00690B3D"/>
    <w:rsid w:val="00691625"/>
    <w:rsid w:val="00691E24"/>
    <w:rsid w:val="00692838"/>
    <w:rsid w:val="00692ABF"/>
    <w:rsid w:val="006968FC"/>
    <w:rsid w:val="006A0755"/>
    <w:rsid w:val="006A1959"/>
    <w:rsid w:val="006A290C"/>
    <w:rsid w:val="006A408C"/>
    <w:rsid w:val="006A5D60"/>
    <w:rsid w:val="006A7907"/>
    <w:rsid w:val="006B0C32"/>
    <w:rsid w:val="006B1B39"/>
    <w:rsid w:val="006B26AC"/>
    <w:rsid w:val="006B7B46"/>
    <w:rsid w:val="006C3980"/>
    <w:rsid w:val="006C4DA0"/>
    <w:rsid w:val="006C6AB2"/>
    <w:rsid w:val="006D1B32"/>
    <w:rsid w:val="006D243A"/>
    <w:rsid w:val="006D5406"/>
    <w:rsid w:val="006D55B2"/>
    <w:rsid w:val="006D5B85"/>
    <w:rsid w:val="006E02F2"/>
    <w:rsid w:val="006E12BE"/>
    <w:rsid w:val="006E57FA"/>
    <w:rsid w:val="006E6844"/>
    <w:rsid w:val="006E6B6B"/>
    <w:rsid w:val="006E78EF"/>
    <w:rsid w:val="006F3B57"/>
    <w:rsid w:val="006F4BF0"/>
    <w:rsid w:val="006F7277"/>
    <w:rsid w:val="00701709"/>
    <w:rsid w:val="00701B0C"/>
    <w:rsid w:val="00701D69"/>
    <w:rsid w:val="00702E53"/>
    <w:rsid w:val="007157AE"/>
    <w:rsid w:val="00721FC6"/>
    <w:rsid w:val="00723FDF"/>
    <w:rsid w:val="00724739"/>
    <w:rsid w:val="007247F5"/>
    <w:rsid w:val="0072505A"/>
    <w:rsid w:val="00730342"/>
    <w:rsid w:val="00733817"/>
    <w:rsid w:val="007345D0"/>
    <w:rsid w:val="00736EEE"/>
    <w:rsid w:val="00737A4B"/>
    <w:rsid w:val="00742B69"/>
    <w:rsid w:val="00742BD1"/>
    <w:rsid w:val="00746A9F"/>
    <w:rsid w:val="00746E5F"/>
    <w:rsid w:val="007475C4"/>
    <w:rsid w:val="00757C08"/>
    <w:rsid w:val="0076258D"/>
    <w:rsid w:val="00762976"/>
    <w:rsid w:val="00765B0E"/>
    <w:rsid w:val="007665D9"/>
    <w:rsid w:val="00770E4B"/>
    <w:rsid w:val="00771D2B"/>
    <w:rsid w:val="00771F4F"/>
    <w:rsid w:val="00772DC1"/>
    <w:rsid w:val="007738FB"/>
    <w:rsid w:val="00774320"/>
    <w:rsid w:val="00776610"/>
    <w:rsid w:val="0077687F"/>
    <w:rsid w:val="00780F6F"/>
    <w:rsid w:val="007815AA"/>
    <w:rsid w:val="00783BD5"/>
    <w:rsid w:val="00785235"/>
    <w:rsid w:val="00786894"/>
    <w:rsid w:val="0078765C"/>
    <w:rsid w:val="00791244"/>
    <w:rsid w:val="00791513"/>
    <w:rsid w:val="00793484"/>
    <w:rsid w:val="00793935"/>
    <w:rsid w:val="007953E0"/>
    <w:rsid w:val="00796E31"/>
    <w:rsid w:val="007A0090"/>
    <w:rsid w:val="007A33A7"/>
    <w:rsid w:val="007A35CE"/>
    <w:rsid w:val="007A36A9"/>
    <w:rsid w:val="007A5213"/>
    <w:rsid w:val="007C0C1E"/>
    <w:rsid w:val="007C0C37"/>
    <w:rsid w:val="007C1DE1"/>
    <w:rsid w:val="007C33EE"/>
    <w:rsid w:val="007C5B19"/>
    <w:rsid w:val="007C6281"/>
    <w:rsid w:val="007C6A8D"/>
    <w:rsid w:val="007D4DDA"/>
    <w:rsid w:val="007D554B"/>
    <w:rsid w:val="007E0CA9"/>
    <w:rsid w:val="007E15BE"/>
    <w:rsid w:val="007E1A0B"/>
    <w:rsid w:val="007E2248"/>
    <w:rsid w:val="007E245A"/>
    <w:rsid w:val="007E3A24"/>
    <w:rsid w:val="007E4AE4"/>
    <w:rsid w:val="007E5390"/>
    <w:rsid w:val="007E660C"/>
    <w:rsid w:val="007F1436"/>
    <w:rsid w:val="007F162F"/>
    <w:rsid w:val="007F2B3E"/>
    <w:rsid w:val="007F44D9"/>
    <w:rsid w:val="007F4A7A"/>
    <w:rsid w:val="007F60CD"/>
    <w:rsid w:val="00800F32"/>
    <w:rsid w:val="00801093"/>
    <w:rsid w:val="00801138"/>
    <w:rsid w:val="00801FF8"/>
    <w:rsid w:val="0080311C"/>
    <w:rsid w:val="00806A58"/>
    <w:rsid w:val="00807988"/>
    <w:rsid w:val="0081023B"/>
    <w:rsid w:val="00810CC3"/>
    <w:rsid w:val="008116C1"/>
    <w:rsid w:val="0081537B"/>
    <w:rsid w:val="008153EA"/>
    <w:rsid w:val="0081557D"/>
    <w:rsid w:val="00815C43"/>
    <w:rsid w:val="0082184F"/>
    <w:rsid w:val="008222AD"/>
    <w:rsid w:val="008247B3"/>
    <w:rsid w:val="00825115"/>
    <w:rsid w:val="00825668"/>
    <w:rsid w:val="0082587B"/>
    <w:rsid w:val="00825C79"/>
    <w:rsid w:val="00834B26"/>
    <w:rsid w:val="00834BFA"/>
    <w:rsid w:val="00837031"/>
    <w:rsid w:val="008403E5"/>
    <w:rsid w:val="008479F0"/>
    <w:rsid w:val="008503D1"/>
    <w:rsid w:val="0085055A"/>
    <w:rsid w:val="00850B9A"/>
    <w:rsid w:val="00850FAA"/>
    <w:rsid w:val="008530A9"/>
    <w:rsid w:val="00853914"/>
    <w:rsid w:val="00856258"/>
    <w:rsid w:val="00856B67"/>
    <w:rsid w:val="00863835"/>
    <w:rsid w:val="00864F03"/>
    <w:rsid w:val="008663EC"/>
    <w:rsid w:val="00866E7C"/>
    <w:rsid w:val="00872C25"/>
    <w:rsid w:val="0087327A"/>
    <w:rsid w:val="00876260"/>
    <w:rsid w:val="00877F7F"/>
    <w:rsid w:val="008819D9"/>
    <w:rsid w:val="00884E70"/>
    <w:rsid w:val="00886FEC"/>
    <w:rsid w:val="008908F2"/>
    <w:rsid w:val="00890F88"/>
    <w:rsid w:val="0089197C"/>
    <w:rsid w:val="00891D9A"/>
    <w:rsid w:val="0089242B"/>
    <w:rsid w:val="00893D91"/>
    <w:rsid w:val="008A09C1"/>
    <w:rsid w:val="008A1316"/>
    <w:rsid w:val="008A1403"/>
    <w:rsid w:val="008A184B"/>
    <w:rsid w:val="008A2FF6"/>
    <w:rsid w:val="008A4830"/>
    <w:rsid w:val="008A5351"/>
    <w:rsid w:val="008A5E52"/>
    <w:rsid w:val="008A657D"/>
    <w:rsid w:val="008A66A5"/>
    <w:rsid w:val="008C054C"/>
    <w:rsid w:val="008C12E8"/>
    <w:rsid w:val="008C18BD"/>
    <w:rsid w:val="008C1C84"/>
    <w:rsid w:val="008C2C5A"/>
    <w:rsid w:val="008C3047"/>
    <w:rsid w:val="008C3594"/>
    <w:rsid w:val="008C35F9"/>
    <w:rsid w:val="008C478D"/>
    <w:rsid w:val="008C4900"/>
    <w:rsid w:val="008C5170"/>
    <w:rsid w:val="008C6DBF"/>
    <w:rsid w:val="008D2893"/>
    <w:rsid w:val="008D2A08"/>
    <w:rsid w:val="008D2EC5"/>
    <w:rsid w:val="008D3221"/>
    <w:rsid w:val="008E2D41"/>
    <w:rsid w:val="008E3761"/>
    <w:rsid w:val="008E3BF0"/>
    <w:rsid w:val="008E63B1"/>
    <w:rsid w:val="008E677F"/>
    <w:rsid w:val="008F03B4"/>
    <w:rsid w:val="008F03F7"/>
    <w:rsid w:val="008F25DE"/>
    <w:rsid w:val="008F298D"/>
    <w:rsid w:val="008F5FB7"/>
    <w:rsid w:val="008F679C"/>
    <w:rsid w:val="008F7A7B"/>
    <w:rsid w:val="00903366"/>
    <w:rsid w:val="009035B1"/>
    <w:rsid w:val="00903DC1"/>
    <w:rsid w:val="00905EC2"/>
    <w:rsid w:val="009101D5"/>
    <w:rsid w:val="009102B1"/>
    <w:rsid w:val="00911017"/>
    <w:rsid w:val="0091336E"/>
    <w:rsid w:val="00915634"/>
    <w:rsid w:val="0092595D"/>
    <w:rsid w:val="00927369"/>
    <w:rsid w:val="00930624"/>
    <w:rsid w:val="0093095F"/>
    <w:rsid w:val="00931322"/>
    <w:rsid w:val="0093441B"/>
    <w:rsid w:val="009348BE"/>
    <w:rsid w:val="00937B61"/>
    <w:rsid w:val="00937BFE"/>
    <w:rsid w:val="009407BE"/>
    <w:rsid w:val="00941824"/>
    <w:rsid w:val="00942505"/>
    <w:rsid w:val="00942CCF"/>
    <w:rsid w:val="00942E2A"/>
    <w:rsid w:val="00943A64"/>
    <w:rsid w:val="009445BE"/>
    <w:rsid w:val="0094587B"/>
    <w:rsid w:val="009468F6"/>
    <w:rsid w:val="00952A30"/>
    <w:rsid w:val="009540ED"/>
    <w:rsid w:val="0095453E"/>
    <w:rsid w:val="009558DE"/>
    <w:rsid w:val="00957EAC"/>
    <w:rsid w:val="00960B4F"/>
    <w:rsid w:val="00960B9E"/>
    <w:rsid w:val="00960C37"/>
    <w:rsid w:val="00962486"/>
    <w:rsid w:val="00963B84"/>
    <w:rsid w:val="00963F22"/>
    <w:rsid w:val="00970F27"/>
    <w:rsid w:val="00974FE2"/>
    <w:rsid w:val="00975CBB"/>
    <w:rsid w:val="009768DA"/>
    <w:rsid w:val="00980063"/>
    <w:rsid w:val="00982FEA"/>
    <w:rsid w:val="009836BE"/>
    <w:rsid w:val="00984685"/>
    <w:rsid w:val="00986B79"/>
    <w:rsid w:val="00987A08"/>
    <w:rsid w:val="009917C7"/>
    <w:rsid w:val="00994358"/>
    <w:rsid w:val="0099625B"/>
    <w:rsid w:val="00996B46"/>
    <w:rsid w:val="00997261"/>
    <w:rsid w:val="009A0121"/>
    <w:rsid w:val="009A0E01"/>
    <w:rsid w:val="009A2553"/>
    <w:rsid w:val="009A4F15"/>
    <w:rsid w:val="009A5278"/>
    <w:rsid w:val="009B1924"/>
    <w:rsid w:val="009B22B7"/>
    <w:rsid w:val="009B286E"/>
    <w:rsid w:val="009B7FB4"/>
    <w:rsid w:val="009C079E"/>
    <w:rsid w:val="009C1170"/>
    <w:rsid w:val="009C1F4C"/>
    <w:rsid w:val="009C3706"/>
    <w:rsid w:val="009C5AC9"/>
    <w:rsid w:val="009C5F5E"/>
    <w:rsid w:val="009C7DFD"/>
    <w:rsid w:val="009D3360"/>
    <w:rsid w:val="009E030E"/>
    <w:rsid w:val="009E1C4D"/>
    <w:rsid w:val="009E248D"/>
    <w:rsid w:val="009E73BF"/>
    <w:rsid w:val="009F073C"/>
    <w:rsid w:val="009F2989"/>
    <w:rsid w:val="009F2DD2"/>
    <w:rsid w:val="009F440D"/>
    <w:rsid w:val="009F5340"/>
    <w:rsid w:val="009F6DBE"/>
    <w:rsid w:val="00A01211"/>
    <w:rsid w:val="00A0267A"/>
    <w:rsid w:val="00A0291C"/>
    <w:rsid w:val="00A03852"/>
    <w:rsid w:val="00A03FAD"/>
    <w:rsid w:val="00A058C9"/>
    <w:rsid w:val="00A0724B"/>
    <w:rsid w:val="00A121D1"/>
    <w:rsid w:val="00A12EC8"/>
    <w:rsid w:val="00A14AB1"/>
    <w:rsid w:val="00A15314"/>
    <w:rsid w:val="00A15EA8"/>
    <w:rsid w:val="00A2013E"/>
    <w:rsid w:val="00A20379"/>
    <w:rsid w:val="00A2099B"/>
    <w:rsid w:val="00A213B4"/>
    <w:rsid w:val="00A24C35"/>
    <w:rsid w:val="00A26C4D"/>
    <w:rsid w:val="00A2712E"/>
    <w:rsid w:val="00A276A7"/>
    <w:rsid w:val="00A30620"/>
    <w:rsid w:val="00A30655"/>
    <w:rsid w:val="00A31D03"/>
    <w:rsid w:val="00A35187"/>
    <w:rsid w:val="00A406B3"/>
    <w:rsid w:val="00A430A6"/>
    <w:rsid w:val="00A441BA"/>
    <w:rsid w:val="00A506DE"/>
    <w:rsid w:val="00A5158B"/>
    <w:rsid w:val="00A52637"/>
    <w:rsid w:val="00A54302"/>
    <w:rsid w:val="00A63B34"/>
    <w:rsid w:val="00A6459C"/>
    <w:rsid w:val="00A64C69"/>
    <w:rsid w:val="00A730CB"/>
    <w:rsid w:val="00A75A1A"/>
    <w:rsid w:val="00A81ED1"/>
    <w:rsid w:val="00A8433A"/>
    <w:rsid w:val="00A84BB4"/>
    <w:rsid w:val="00A8616A"/>
    <w:rsid w:val="00A863B5"/>
    <w:rsid w:val="00A86614"/>
    <w:rsid w:val="00A90130"/>
    <w:rsid w:val="00A9017D"/>
    <w:rsid w:val="00A91505"/>
    <w:rsid w:val="00A92EE4"/>
    <w:rsid w:val="00A95103"/>
    <w:rsid w:val="00A953BA"/>
    <w:rsid w:val="00A975F1"/>
    <w:rsid w:val="00A97EF3"/>
    <w:rsid w:val="00AA0F36"/>
    <w:rsid w:val="00AA187D"/>
    <w:rsid w:val="00AA2499"/>
    <w:rsid w:val="00AA2EFB"/>
    <w:rsid w:val="00AA2F44"/>
    <w:rsid w:val="00AB48C3"/>
    <w:rsid w:val="00AB5FB3"/>
    <w:rsid w:val="00AB7382"/>
    <w:rsid w:val="00AB7D97"/>
    <w:rsid w:val="00AC3229"/>
    <w:rsid w:val="00AC3881"/>
    <w:rsid w:val="00AC4757"/>
    <w:rsid w:val="00AC62CB"/>
    <w:rsid w:val="00AC7893"/>
    <w:rsid w:val="00AC7EC8"/>
    <w:rsid w:val="00AD3133"/>
    <w:rsid w:val="00AD6832"/>
    <w:rsid w:val="00AD6AD0"/>
    <w:rsid w:val="00AE087B"/>
    <w:rsid w:val="00AE2EF0"/>
    <w:rsid w:val="00AE5AB5"/>
    <w:rsid w:val="00AE6C58"/>
    <w:rsid w:val="00AF0951"/>
    <w:rsid w:val="00AF2CD2"/>
    <w:rsid w:val="00AF5F99"/>
    <w:rsid w:val="00AF6DB6"/>
    <w:rsid w:val="00B03360"/>
    <w:rsid w:val="00B067E7"/>
    <w:rsid w:val="00B10953"/>
    <w:rsid w:val="00B10BA5"/>
    <w:rsid w:val="00B13BD5"/>
    <w:rsid w:val="00B14346"/>
    <w:rsid w:val="00B149CD"/>
    <w:rsid w:val="00B15A93"/>
    <w:rsid w:val="00B16B9B"/>
    <w:rsid w:val="00B17574"/>
    <w:rsid w:val="00B206A1"/>
    <w:rsid w:val="00B2114D"/>
    <w:rsid w:val="00B22546"/>
    <w:rsid w:val="00B23878"/>
    <w:rsid w:val="00B23BCF"/>
    <w:rsid w:val="00B30608"/>
    <w:rsid w:val="00B330C0"/>
    <w:rsid w:val="00B33EC1"/>
    <w:rsid w:val="00B3611F"/>
    <w:rsid w:val="00B371C6"/>
    <w:rsid w:val="00B37735"/>
    <w:rsid w:val="00B37B43"/>
    <w:rsid w:val="00B37E46"/>
    <w:rsid w:val="00B4050E"/>
    <w:rsid w:val="00B43C43"/>
    <w:rsid w:val="00B443E1"/>
    <w:rsid w:val="00B471A9"/>
    <w:rsid w:val="00B50438"/>
    <w:rsid w:val="00B516F9"/>
    <w:rsid w:val="00B5170A"/>
    <w:rsid w:val="00B5378F"/>
    <w:rsid w:val="00B57733"/>
    <w:rsid w:val="00B60947"/>
    <w:rsid w:val="00B63482"/>
    <w:rsid w:val="00B6467B"/>
    <w:rsid w:val="00B67D90"/>
    <w:rsid w:val="00B71717"/>
    <w:rsid w:val="00B720EB"/>
    <w:rsid w:val="00B725F9"/>
    <w:rsid w:val="00B72680"/>
    <w:rsid w:val="00B72B38"/>
    <w:rsid w:val="00B8099D"/>
    <w:rsid w:val="00B80EE5"/>
    <w:rsid w:val="00B813D7"/>
    <w:rsid w:val="00B82E06"/>
    <w:rsid w:val="00B8345A"/>
    <w:rsid w:val="00B841E3"/>
    <w:rsid w:val="00B8475A"/>
    <w:rsid w:val="00B84E99"/>
    <w:rsid w:val="00B85A1D"/>
    <w:rsid w:val="00B85FC3"/>
    <w:rsid w:val="00B95007"/>
    <w:rsid w:val="00B9514A"/>
    <w:rsid w:val="00B95AE0"/>
    <w:rsid w:val="00B96E40"/>
    <w:rsid w:val="00BA4396"/>
    <w:rsid w:val="00BA4A15"/>
    <w:rsid w:val="00BB19AF"/>
    <w:rsid w:val="00BB2EDF"/>
    <w:rsid w:val="00BB558B"/>
    <w:rsid w:val="00BC4BC3"/>
    <w:rsid w:val="00BD04C7"/>
    <w:rsid w:val="00BD0ACC"/>
    <w:rsid w:val="00BD1B92"/>
    <w:rsid w:val="00BD3E2B"/>
    <w:rsid w:val="00BD5554"/>
    <w:rsid w:val="00BD7AFE"/>
    <w:rsid w:val="00BE0C12"/>
    <w:rsid w:val="00BE1092"/>
    <w:rsid w:val="00BE15A2"/>
    <w:rsid w:val="00BE37D4"/>
    <w:rsid w:val="00BE546A"/>
    <w:rsid w:val="00BE5AE8"/>
    <w:rsid w:val="00BE5DB7"/>
    <w:rsid w:val="00BE606E"/>
    <w:rsid w:val="00BF1567"/>
    <w:rsid w:val="00BF1DC8"/>
    <w:rsid w:val="00BF1F5D"/>
    <w:rsid w:val="00BF20FD"/>
    <w:rsid w:val="00BF44B3"/>
    <w:rsid w:val="00BF4A26"/>
    <w:rsid w:val="00BF57DD"/>
    <w:rsid w:val="00BF6304"/>
    <w:rsid w:val="00BF63F2"/>
    <w:rsid w:val="00BF6787"/>
    <w:rsid w:val="00BF7553"/>
    <w:rsid w:val="00BF7D0E"/>
    <w:rsid w:val="00C003CC"/>
    <w:rsid w:val="00C004E0"/>
    <w:rsid w:val="00C05A2B"/>
    <w:rsid w:val="00C10638"/>
    <w:rsid w:val="00C10A36"/>
    <w:rsid w:val="00C1299A"/>
    <w:rsid w:val="00C13CA3"/>
    <w:rsid w:val="00C14957"/>
    <w:rsid w:val="00C14E0E"/>
    <w:rsid w:val="00C15168"/>
    <w:rsid w:val="00C1582F"/>
    <w:rsid w:val="00C16486"/>
    <w:rsid w:val="00C17FCA"/>
    <w:rsid w:val="00C208DD"/>
    <w:rsid w:val="00C225B5"/>
    <w:rsid w:val="00C232CD"/>
    <w:rsid w:val="00C239C8"/>
    <w:rsid w:val="00C249C4"/>
    <w:rsid w:val="00C24C81"/>
    <w:rsid w:val="00C24E7C"/>
    <w:rsid w:val="00C255BD"/>
    <w:rsid w:val="00C26509"/>
    <w:rsid w:val="00C3004A"/>
    <w:rsid w:val="00C324B3"/>
    <w:rsid w:val="00C34194"/>
    <w:rsid w:val="00C40057"/>
    <w:rsid w:val="00C4125F"/>
    <w:rsid w:val="00C4244A"/>
    <w:rsid w:val="00C42EE9"/>
    <w:rsid w:val="00C434FF"/>
    <w:rsid w:val="00C45593"/>
    <w:rsid w:val="00C514D3"/>
    <w:rsid w:val="00C519AB"/>
    <w:rsid w:val="00C52894"/>
    <w:rsid w:val="00C534E4"/>
    <w:rsid w:val="00C57FC9"/>
    <w:rsid w:val="00C6004F"/>
    <w:rsid w:val="00C614F4"/>
    <w:rsid w:val="00C61952"/>
    <w:rsid w:val="00C64946"/>
    <w:rsid w:val="00C672A4"/>
    <w:rsid w:val="00C72AC3"/>
    <w:rsid w:val="00C77697"/>
    <w:rsid w:val="00C80524"/>
    <w:rsid w:val="00C811E3"/>
    <w:rsid w:val="00C81FB5"/>
    <w:rsid w:val="00C847CD"/>
    <w:rsid w:val="00C84D3B"/>
    <w:rsid w:val="00C8612F"/>
    <w:rsid w:val="00C87C4F"/>
    <w:rsid w:val="00C91319"/>
    <w:rsid w:val="00C91A36"/>
    <w:rsid w:val="00C93C8A"/>
    <w:rsid w:val="00C95896"/>
    <w:rsid w:val="00C972F6"/>
    <w:rsid w:val="00C974DE"/>
    <w:rsid w:val="00CA0E41"/>
    <w:rsid w:val="00CA496D"/>
    <w:rsid w:val="00CA5A45"/>
    <w:rsid w:val="00CB09AF"/>
    <w:rsid w:val="00CB346B"/>
    <w:rsid w:val="00CB43C5"/>
    <w:rsid w:val="00CB71CB"/>
    <w:rsid w:val="00CC0966"/>
    <w:rsid w:val="00CC1893"/>
    <w:rsid w:val="00CC22B0"/>
    <w:rsid w:val="00CC2455"/>
    <w:rsid w:val="00CC4B7E"/>
    <w:rsid w:val="00CC52AF"/>
    <w:rsid w:val="00CD0765"/>
    <w:rsid w:val="00CD10DD"/>
    <w:rsid w:val="00CD38E4"/>
    <w:rsid w:val="00CD5ECB"/>
    <w:rsid w:val="00CD6D9D"/>
    <w:rsid w:val="00CE03C4"/>
    <w:rsid w:val="00CE1460"/>
    <w:rsid w:val="00CE1859"/>
    <w:rsid w:val="00CE34D2"/>
    <w:rsid w:val="00CE43CD"/>
    <w:rsid w:val="00CE6017"/>
    <w:rsid w:val="00CE666F"/>
    <w:rsid w:val="00CE71F2"/>
    <w:rsid w:val="00CF00D6"/>
    <w:rsid w:val="00CF5BE5"/>
    <w:rsid w:val="00CF5C68"/>
    <w:rsid w:val="00CF7B31"/>
    <w:rsid w:val="00D07418"/>
    <w:rsid w:val="00D10E7A"/>
    <w:rsid w:val="00D11577"/>
    <w:rsid w:val="00D11B4E"/>
    <w:rsid w:val="00D159EE"/>
    <w:rsid w:val="00D17DF2"/>
    <w:rsid w:val="00D223AF"/>
    <w:rsid w:val="00D241F6"/>
    <w:rsid w:val="00D24576"/>
    <w:rsid w:val="00D26522"/>
    <w:rsid w:val="00D2660C"/>
    <w:rsid w:val="00D2695E"/>
    <w:rsid w:val="00D27965"/>
    <w:rsid w:val="00D32853"/>
    <w:rsid w:val="00D32A96"/>
    <w:rsid w:val="00D3340D"/>
    <w:rsid w:val="00D34756"/>
    <w:rsid w:val="00D37A8B"/>
    <w:rsid w:val="00D46FE4"/>
    <w:rsid w:val="00D51E86"/>
    <w:rsid w:val="00D52723"/>
    <w:rsid w:val="00D5403D"/>
    <w:rsid w:val="00D56794"/>
    <w:rsid w:val="00D56C84"/>
    <w:rsid w:val="00D606F5"/>
    <w:rsid w:val="00D60931"/>
    <w:rsid w:val="00D63836"/>
    <w:rsid w:val="00D6402E"/>
    <w:rsid w:val="00D647B0"/>
    <w:rsid w:val="00D66DB7"/>
    <w:rsid w:val="00D72B48"/>
    <w:rsid w:val="00D72F75"/>
    <w:rsid w:val="00D73388"/>
    <w:rsid w:val="00D75A3A"/>
    <w:rsid w:val="00D75DF3"/>
    <w:rsid w:val="00D763EA"/>
    <w:rsid w:val="00D804DD"/>
    <w:rsid w:val="00D80FEC"/>
    <w:rsid w:val="00D81C42"/>
    <w:rsid w:val="00D8238E"/>
    <w:rsid w:val="00D863FB"/>
    <w:rsid w:val="00D87C8F"/>
    <w:rsid w:val="00D87D5B"/>
    <w:rsid w:val="00D9079E"/>
    <w:rsid w:val="00D90E7A"/>
    <w:rsid w:val="00D957C5"/>
    <w:rsid w:val="00D95FE7"/>
    <w:rsid w:val="00D97841"/>
    <w:rsid w:val="00D97FA3"/>
    <w:rsid w:val="00DA147C"/>
    <w:rsid w:val="00DA30BD"/>
    <w:rsid w:val="00DA3452"/>
    <w:rsid w:val="00DA4068"/>
    <w:rsid w:val="00DA5156"/>
    <w:rsid w:val="00DA69C1"/>
    <w:rsid w:val="00DB1C2E"/>
    <w:rsid w:val="00DB1E8C"/>
    <w:rsid w:val="00DB4D47"/>
    <w:rsid w:val="00DC10D6"/>
    <w:rsid w:val="00DC7DBD"/>
    <w:rsid w:val="00DD0EB7"/>
    <w:rsid w:val="00DD2638"/>
    <w:rsid w:val="00DD4839"/>
    <w:rsid w:val="00DD7670"/>
    <w:rsid w:val="00DE2DEC"/>
    <w:rsid w:val="00DF1255"/>
    <w:rsid w:val="00DF3688"/>
    <w:rsid w:val="00DF4B14"/>
    <w:rsid w:val="00DF51FB"/>
    <w:rsid w:val="00E03407"/>
    <w:rsid w:val="00E04298"/>
    <w:rsid w:val="00E07C14"/>
    <w:rsid w:val="00E10083"/>
    <w:rsid w:val="00E1080D"/>
    <w:rsid w:val="00E11AAC"/>
    <w:rsid w:val="00E11D6C"/>
    <w:rsid w:val="00E12126"/>
    <w:rsid w:val="00E12F66"/>
    <w:rsid w:val="00E15394"/>
    <w:rsid w:val="00E227E5"/>
    <w:rsid w:val="00E23B4A"/>
    <w:rsid w:val="00E25143"/>
    <w:rsid w:val="00E25CA8"/>
    <w:rsid w:val="00E35345"/>
    <w:rsid w:val="00E37014"/>
    <w:rsid w:val="00E37834"/>
    <w:rsid w:val="00E4220D"/>
    <w:rsid w:val="00E4334A"/>
    <w:rsid w:val="00E43784"/>
    <w:rsid w:val="00E43E97"/>
    <w:rsid w:val="00E44E48"/>
    <w:rsid w:val="00E452F0"/>
    <w:rsid w:val="00E45506"/>
    <w:rsid w:val="00E508B6"/>
    <w:rsid w:val="00E50E2D"/>
    <w:rsid w:val="00E53162"/>
    <w:rsid w:val="00E53402"/>
    <w:rsid w:val="00E537F9"/>
    <w:rsid w:val="00E54AAD"/>
    <w:rsid w:val="00E54C6A"/>
    <w:rsid w:val="00E56D0B"/>
    <w:rsid w:val="00E6691C"/>
    <w:rsid w:val="00E71BC7"/>
    <w:rsid w:val="00E72026"/>
    <w:rsid w:val="00E75B46"/>
    <w:rsid w:val="00E77547"/>
    <w:rsid w:val="00E81450"/>
    <w:rsid w:val="00E82F14"/>
    <w:rsid w:val="00E85ECD"/>
    <w:rsid w:val="00E94173"/>
    <w:rsid w:val="00E96289"/>
    <w:rsid w:val="00EA0F9C"/>
    <w:rsid w:val="00EA1E25"/>
    <w:rsid w:val="00EA202B"/>
    <w:rsid w:val="00EA2F93"/>
    <w:rsid w:val="00EA6F04"/>
    <w:rsid w:val="00EA7A1C"/>
    <w:rsid w:val="00EB01CC"/>
    <w:rsid w:val="00EB1E66"/>
    <w:rsid w:val="00EB430F"/>
    <w:rsid w:val="00EB4818"/>
    <w:rsid w:val="00EC22E1"/>
    <w:rsid w:val="00EC57B5"/>
    <w:rsid w:val="00EC71AB"/>
    <w:rsid w:val="00ED5F2A"/>
    <w:rsid w:val="00ED6AD7"/>
    <w:rsid w:val="00ED6CA0"/>
    <w:rsid w:val="00ED6F6F"/>
    <w:rsid w:val="00ED78A4"/>
    <w:rsid w:val="00ED7D45"/>
    <w:rsid w:val="00EE3CBC"/>
    <w:rsid w:val="00EE44CD"/>
    <w:rsid w:val="00EE4FDA"/>
    <w:rsid w:val="00EE68A1"/>
    <w:rsid w:val="00EE6D8F"/>
    <w:rsid w:val="00EE795D"/>
    <w:rsid w:val="00EF2AEA"/>
    <w:rsid w:val="00EF2BF3"/>
    <w:rsid w:val="00EF2F97"/>
    <w:rsid w:val="00EF398F"/>
    <w:rsid w:val="00EF46FF"/>
    <w:rsid w:val="00EF4745"/>
    <w:rsid w:val="00EF60AB"/>
    <w:rsid w:val="00F00A4A"/>
    <w:rsid w:val="00F03DAB"/>
    <w:rsid w:val="00F05D2D"/>
    <w:rsid w:val="00F07F9E"/>
    <w:rsid w:val="00F11081"/>
    <w:rsid w:val="00F11D56"/>
    <w:rsid w:val="00F155B6"/>
    <w:rsid w:val="00F16405"/>
    <w:rsid w:val="00F16457"/>
    <w:rsid w:val="00F178AC"/>
    <w:rsid w:val="00F22CEE"/>
    <w:rsid w:val="00F23A21"/>
    <w:rsid w:val="00F23E77"/>
    <w:rsid w:val="00F255C5"/>
    <w:rsid w:val="00F26356"/>
    <w:rsid w:val="00F31091"/>
    <w:rsid w:val="00F32738"/>
    <w:rsid w:val="00F33463"/>
    <w:rsid w:val="00F40D66"/>
    <w:rsid w:val="00F41A6F"/>
    <w:rsid w:val="00F42A99"/>
    <w:rsid w:val="00F443FF"/>
    <w:rsid w:val="00F471FB"/>
    <w:rsid w:val="00F474E3"/>
    <w:rsid w:val="00F5150E"/>
    <w:rsid w:val="00F51F8B"/>
    <w:rsid w:val="00F52A54"/>
    <w:rsid w:val="00F54BAE"/>
    <w:rsid w:val="00F61F6E"/>
    <w:rsid w:val="00F62472"/>
    <w:rsid w:val="00F643D2"/>
    <w:rsid w:val="00F651C4"/>
    <w:rsid w:val="00F6579E"/>
    <w:rsid w:val="00F65AC1"/>
    <w:rsid w:val="00F6732E"/>
    <w:rsid w:val="00F67841"/>
    <w:rsid w:val="00F7057E"/>
    <w:rsid w:val="00F71793"/>
    <w:rsid w:val="00F71E2E"/>
    <w:rsid w:val="00F74457"/>
    <w:rsid w:val="00F75AA0"/>
    <w:rsid w:val="00F77A8F"/>
    <w:rsid w:val="00F77F7A"/>
    <w:rsid w:val="00F81996"/>
    <w:rsid w:val="00F81F60"/>
    <w:rsid w:val="00F83835"/>
    <w:rsid w:val="00F85367"/>
    <w:rsid w:val="00F85C3C"/>
    <w:rsid w:val="00F90EE3"/>
    <w:rsid w:val="00F90F97"/>
    <w:rsid w:val="00F95EAD"/>
    <w:rsid w:val="00F96C2F"/>
    <w:rsid w:val="00F97A6D"/>
    <w:rsid w:val="00FA1275"/>
    <w:rsid w:val="00FA1361"/>
    <w:rsid w:val="00FA1440"/>
    <w:rsid w:val="00FA2F26"/>
    <w:rsid w:val="00FA5BCB"/>
    <w:rsid w:val="00FA7051"/>
    <w:rsid w:val="00FB0BE4"/>
    <w:rsid w:val="00FB0DFE"/>
    <w:rsid w:val="00FB13CC"/>
    <w:rsid w:val="00FB1CF1"/>
    <w:rsid w:val="00FB31B5"/>
    <w:rsid w:val="00FB42A1"/>
    <w:rsid w:val="00FB541F"/>
    <w:rsid w:val="00FB575B"/>
    <w:rsid w:val="00FC1D0C"/>
    <w:rsid w:val="00FC2B4C"/>
    <w:rsid w:val="00FC4CE7"/>
    <w:rsid w:val="00FC6509"/>
    <w:rsid w:val="00FC71E8"/>
    <w:rsid w:val="00FC722B"/>
    <w:rsid w:val="00FC7E14"/>
    <w:rsid w:val="00FD2172"/>
    <w:rsid w:val="00FD516C"/>
    <w:rsid w:val="00FD6362"/>
    <w:rsid w:val="00FE0559"/>
    <w:rsid w:val="00FE2C68"/>
    <w:rsid w:val="00FE3A14"/>
    <w:rsid w:val="00FE4CFB"/>
    <w:rsid w:val="00FE53C5"/>
    <w:rsid w:val="00FE703F"/>
    <w:rsid w:val="00FE724C"/>
    <w:rsid w:val="00FF041D"/>
    <w:rsid w:val="00FF22D5"/>
    <w:rsid w:val="00FF5364"/>
    <w:rsid w:val="00FF751E"/>
    <w:rsid w:val="00FF7720"/>
    <w:rsid w:val="00FF7D82"/>
    <w:rsid w:val="00FF7FE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519e,#b8b8ac,#009ee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Default Paragraph Font" w:uiPriority="1"/>
    <w:lsdException w:name="Hyperlink" w:uiPriority="99"/>
    <w:lsdException w:name="Strong" w:uiPriority="22" w:qFormat="1"/>
    <w:lsdException w:name="Emphasis" w:uiPriority="20" w:qFormat="1"/>
    <w:lsdException w:name="Normal (Web)" w:uiPriority="99"/>
    <w:lsdException w:name="HTML Acronym" w:uiPriority="99"/>
    <w:lsdException w:name="HTML Cite" w:uiPriority="99"/>
    <w:lsdException w:name="No List" w:uiPriority="9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27D7"/>
    <w:pPr>
      <w:spacing w:after="180" w:line="260" w:lineRule="atLeast"/>
      <w:ind w:left="567"/>
    </w:pPr>
    <w:rPr>
      <w:rFonts w:ascii="Arial" w:hAnsi="Arial"/>
      <w:lang w:eastAsia="en-US"/>
    </w:rPr>
  </w:style>
  <w:style w:type="paragraph" w:styleId="Heading10">
    <w:name w:val="heading 1"/>
    <w:basedOn w:val="Normal"/>
    <w:next w:val="BodyText"/>
    <w:link w:val="Heading1Char"/>
    <w:uiPriority w:val="9"/>
    <w:qFormat/>
    <w:rsid w:val="005027D7"/>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link w:val="Heading2Char"/>
    <w:uiPriority w:val="9"/>
    <w:qFormat/>
    <w:rsid w:val="005027D7"/>
    <w:pPr>
      <w:keepNext/>
      <w:spacing w:before="240" w:after="120"/>
      <w:outlineLvl w:val="1"/>
    </w:pPr>
    <w:rPr>
      <w:rFonts w:ascii="Arial Narrow" w:hAnsi="Arial Narrow"/>
      <w:sz w:val="36"/>
    </w:rPr>
  </w:style>
  <w:style w:type="paragraph" w:styleId="Heading30">
    <w:name w:val="heading 3"/>
    <w:basedOn w:val="Normal"/>
    <w:next w:val="BodyText"/>
    <w:rsid w:val="005027D7"/>
    <w:pPr>
      <w:keepNext/>
      <w:spacing w:before="240" w:after="120"/>
      <w:outlineLvl w:val="2"/>
    </w:pPr>
    <w:rPr>
      <w:rFonts w:ascii="Arial Narrow" w:hAnsi="Arial Narrow"/>
      <w:sz w:val="32"/>
    </w:rPr>
  </w:style>
  <w:style w:type="paragraph" w:styleId="Heading4">
    <w:name w:val="heading 4"/>
    <w:basedOn w:val="Normal"/>
    <w:next w:val="BodyText"/>
    <w:rsid w:val="005027D7"/>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qFormat/>
    <w:rsid w:val="005027D7"/>
    <w:pPr>
      <w:numPr>
        <w:ilvl w:val="4"/>
        <w:numId w:val="12"/>
      </w:numPr>
      <w:spacing w:before="240" w:after="60"/>
      <w:outlineLvl w:val="4"/>
    </w:pPr>
    <w:rPr>
      <w:b/>
      <w:bCs/>
      <w:i/>
      <w:iCs/>
      <w:sz w:val="26"/>
      <w:szCs w:val="26"/>
    </w:rPr>
  </w:style>
  <w:style w:type="paragraph" w:styleId="Heading6">
    <w:name w:val="heading 6"/>
    <w:basedOn w:val="Normal"/>
    <w:next w:val="Normal"/>
    <w:qFormat/>
    <w:rsid w:val="005027D7"/>
    <w:pPr>
      <w:numPr>
        <w:ilvl w:val="5"/>
        <w:numId w:val="12"/>
      </w:numPr>
      <w:spacing w:before="240" w:after="60"/>
      <w:outlineLvl w:val="5"/>
    </w:pPr>
    <w:rPr>
      <w:b/>
      <w:bCs/>
      <w:sz w:val="22"/>
      <w:szCs w:val="22"/>
    </w:rPr>
  </w:style>
  <w:style w:type="paragraph" w:styleId="Heading7">
    <w:name w:val="heading 7"/>
    <w:basedOn w:val="Normal"/>
    <w:next w:val="Normal"/>
    <w:qFormat/>
    <w:rsid w:val="005027D7"/>
    <w:pPr>
      <w:numPr>
        <w:ilvl w:val="6"/>
        <w:numId w:val="12"/>
      </w:numPr>
      <w:spacing w:before="240" w:after="60"/>
      <w:outlineLvl w:val="6"/>
    </w:pPr>
  </w:style>
  <w:style w:type="paragraph" w:styleId="Heading8">
    <w:name w:val="heading 8"/>
    <w:basedOn w:val="Normal"/>
    <w:next w:val="Normal"/>
    <w:qFormat/>
    <w:rsid w:val="005027D7"/>
    <w:pPr>
      <w:numPr>
        <w:ilvl w:val="7"/>
        <w:numId w:val="12"/>
      </w:numPr>
      <w:spacing w:before="240" w:after="60"/>
      <w:outlineLvl w:val="7"/>
    </w:pPr>
    <w:rPr>
      <w:i/>
      <w:iCs/>
    </w:rPr>
  </w:style>
  <w:style w:type="paragraph" w:styleId="Heading9">
    <w:name w:val="heading 9"/>
    <w:basedOn w:val="Normal"/>
    <w:next w:val="Normal"/>
    <w:qFormat/>
    <w:rsid w:val="005027D7"/>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027D7"/>
    <w:pPr>
      <w:numPr>
        <w:numId w:val="7"/>
      </w:numPr>
    </w:pPr>
  </w:style>
  <w:style w:type="numbering" w:styleId="1ai">
    <w:name w:val="Outline List 1"/>
    <w:basedOn w:val="NoList"/>
    <w:rsid w:val="005027D7"/>
    <w:pPr>
      <w:numPr>
        <w:numId w:val="8"/>
      </w:numPr>
    </w:pPr>
  </w:style>
  <w:style w:type="numbering" w:styleId="ArticleSection">
    <w:name w:val="Outline List 3"/>
    <w:basedOn w:val="NoList"/>
    <w:rsid w:val="005027D7"/>
    <w:pPr>
      <w:numPr>
        <w:numId w:val="10"/>
      </w:numPr>
    </w:pPr>
  </w:style>
  <w:style w:type="paragraph" w:styleId="BlockText">
    <w:name w:val="Block Text"/>
    <w:basedOn w:val="Normal"/>
    <w:rsid w:val="005027D7"/>
    <w:pPr>
      <w:spacing w:after="120"/>
      <w:ind w:left="1440" w:right="1440"/>
    </w:pPr>
  </w:style>
  <w:style w:type="paragraph" w:styleId="BodyText">
    <w:name w:val="Body Text"/>
    <w:basedOn w:val="Normal"/>
    <w:rsid w:val="005027D7"/>
    <w:pPr>
      <w:spacing w:after="120"/>
    </w:pPr>
  </w:style>
  <w:style w:type="paragraph" w:styleId="BodyText2">
    <w:name w:val="Body Text 2"/>
    <w:basedOn w:val="Normal"/>
    <w:rsid w:val="005027D7"/>
    <w:pPr>
      <w:spacing w:after="120" w:line="480" w:lineRule="auto"/>
    </w:pPr>
  </w:style>
  <w:style w:type="paragraph" w:styleId="BodyText3">
    <w:name w:val="Body Text 3"/>
    <w:basedOn w:val="Normal"/>
    <w:rsid w:val="005027D7"/>
    <w:pPr>
      <w:spacing w:after="120"/>
    </w:pPr>
    <w:rPr>
      <w:sz w:val="16"/>
      <w:szCs w:val="16"/>
    </w:rPr>
  </w:style>
  <w:style w:type="paragraph" w:styleId="BodyTextFirstIndent">
    <w:name w:val="Body Text First Indent"/>
    <w:basedOn w:val="BodyText"/>
    <w:rsid w:val="005027D7"/>
    <w:pPr>
      <w:ind w:firstLine="210"/>
    </w:pPr>
  </w:style>
  <w:style w:type="paragraph" w:styleId="BodyTextIndent">
    <w:name w:val="Body Text Indent"/>
    <w:basedOn w:val="Normal"/>
    <w:rsid w:val="005027D7"/>
    <w:pPr>
      <w:spacing w:after="120"/>
      <w:ind w:left="283"/>
    </w:pPr>
  </w:style>
  <w:style w:type="paragraph" w:styleId="BodyTextFirstIndent2">
    <w:name w:val="Body Text First Indent 2"/>
    <w:basedOn w:val="BodyTextIndent"/>
    <w:rsid w:val="005027D7"/>
    <w:pPr>
      <w:ind w:firstLine="210"/>
    </w:pPr>
  </w:style>
  <w:style w:type="paragraph" w:styleId="BodyTextIndent2">
    <w:name w:val="Body Text Indent 2"/>
    <w:basedOn w:val="Normal"/>
    <w:rsid w:val="005027D7"/>
    <w:pPr>
      <w:spacing w:after="120" w:line="480" w:lineRule="auto"/>
      <w:ind w:left="283"/>
    </w:pPr>
  </w:style>
  <w:style w:type="paragraph" w:styleId="BodyTextIndent3">
    <w:name w:val="Body Text Indent 3"/>
    <w:basedOn w:val="Normal"/>
    <w:rsid w:val="005027D7"/>
    <w:pPr>
      <w:spacing w:after="120"/>
      <w:ind w:left="283"/>
    </w:pPr>
    <w:rPr>
      <w:sz w:val="16"/>
      <w:szCs w:val="16"/>
    </w:rPr>
  </w:style>
  <w:style w:type="paragraph" w:styleId="Closing">
    <w:name w:val="Closing"/>
    <w:basedOn w:val="Normal"/>
    <w:rsid w:val="005027D7"/>
    <w:pPr>
      <w:ind w:left="4252"/>
    </w:pPr>
  </w:style>
  <w:style w:type="paragraph" w:styleId="Date">
    <w:name w:val="Date"/>
    <w:basedOn w:val="Normal"/>
    <w:next w:val="Normal"/>
    <w:rsid w:val="005027D7"/>
  </w:style>
  <w:style w:type="paragraph" w:styleId="E-mailSignature">
    <w:name w:val="E-mail Signature"/>
    <w:basedOn w:val="Normal"/>
    <w:rsid w:val="005027D7"/>
  </w:style>
  <w:style w:type="character" w:styleId="Emphasis">
    <w:name w:val="Emphasis"/>
    <w:basedOn w:val="DefaultParagraphFont"/>
    <w:uiPriority w:val="20"/>
    <w:qFormat/>
    <w:rsid w:val="005027D7"/>
    <w:rPr>
      <w:i/>
      <w:iCs/>
    </w:rPr>
  </w:style>
  <w:style w:type="paragraph" w:styleId="EnvelopeAddress">
    <w:name w:val="envelope address"/>
    <w:basedOn w:val="Normal"/>
    <w:rsid w:val="005027D7"/>
    <w:pPr>
      <w:framePr w:w="7920" w:h="1980" w:hRule="exact" w:hSpace="180" w:wrap="auto" w:hAnchor="page" w:xAlign="center" w:yAlign="bottom"/>
      <w:ind w:left="2880"/>
    </w:pPr>
    <w:rPr>
      <w:rFonts w:cs="Arial"/>
    </w:rPr>
  </w:style>
  <w:style w:type="paragraph" w:styleId="EnvelopeReturn">
    <w:name w:val="envelope return"/>
    <w:basedOn w:val="Normal"/>
    <w:rsid w:val="005027D7"/>
    <w:rPr>
      <w:rFonts w:cs="Arial"/>
    </w:rPr>
  </w:style>
  <w:style w:type="character" w:styleId="FollowedHyperlink">
    <w:name w:val="FollowedHyperlink"/>
    <w:basedOn w:val="DefaultParagraphFont"/>
    <w:rsid w:val="005027D7"/>
    <w:rPr>
      <w:color w:val="800080"/>
      <w:u w:val="single"/>
    </w:rPr>
  </w:style>
  <w:style w:type="paragraph" w:styleId="Footer">
    <w:name w:val="footer"/>
    <w:basedOn w:val="Normal"/>
    <w:rsid w:val="005027D7"/>
    <w:pPr>
      <w:tabs>
        <w:tab w:val="center" w:pos="4320"/>
        <w:tab w:val="right" w:pos="8640"/>
      </w:tabs>
    </w:pPr>
  </w:style>
  <w:style w:type="paragraph" w:styleId="Header">
    <w:name w:val="header"/>
    <w:basedOn w:val="Normal"/>
    <w:rsid w:val="005027D7"/>
    <w:pPr>
      <w:tabs>
        <w:tab w:val="center" w:pos="4320"/>
        <w:tab w:val="right" w:pos="8640"/>
      </w:tabs>
    </w:pPr>
  </w:style>
  <w:style w:type="character" w:styleId="HTMLAcronym">
    <w:name w:val="HTML Acronym"/>
    <w:basedOn w:val="DefaultParagraphFont"/>
    <w:uiPriority w:val="99"/>
    <w:rsid w:val="005027D7"/>
  </w:style>
  <w:style w:type="paragraph" w:styleId="HTMLAddress">
    <w:name w:val="HTML Address"/>
    <w:basedOn w:val="Normal"/>
    <w:rsid w:val="005027D7"/>
    <w:rPr>
      <w:i/>
      <w:iCs/>
    </w:rPr>
  </w:style>
  <w:style w:type="character" w:styleId="HTMLCite">
    <w:name w:val="HTML Cite"/>
    <w:basedOn w:val="DefaultParagraphFont"/>
    <w:uiPriority w:val="99"/>
    <w:rsid w:val="005027D7"/>
    <w:rPr>
      <w:i/>
      <w:iCs/>
    </w:rPr>
  </w:style>
  <w:style w:type="character" w:styleId="HTMLCode">
    <w:name w:val="HTML Code"/>
    <w:basedOn w:val="DefaultParagraphFont"/>
    <w:rsid w:val="005027D7"/>
    <w:rPr>
      <w:rFonts w:ascii="Courier New" w:hAnsi="Courier New" w:cs="Courier New"/>
      <w:sz w:val="20"/>
      <w:szCs w:val="20"/>
    </w:rPr>
  </w:style>
  <w:style w:type="character" w:styleId="HTMLDefinition">
    <w:name w:val="HTML Definition"/>
    <w:basedOn w:val="DefaultParagraphFont"/>
    <w:rsid w:val="005027D7"/>
    <w:rPr>
      <w:i/>
      <w:iCs/>
    </w:rPr>
  </w:style>
  <w:style w:type="character" w:styleId="HTMLKeyboard">
    <w:name w:val="HTML Keyboard"/>
    <w:basedOn w:val="DefaultParagraphFont"/>
    <w:rsid w:val="005027D7"/>
    <w:rPr>
      <w:rFonts w:ascii="Courier New" w:hAnsi="Courier New" w:cs="Courier New"/>
      <w:sz w:val="20"/>
      <w:szCs w:val="20"/>
    </w:rPr>
  </w:style>
  <w:style w:type="paragraph" w:styleId="HTMLPreformatted">
    <w:name w:val="HTML Preformatted"/>
    <w:basedOn w:val="Normal"/>
    <w:rsid w:val="005027D7"/>
    <w:rPr>
      <w:rFonts w:ascii="Courier New" w:hAnsi="Courier New" w:cs="Courier New"/>
    </w:rPr>
  </w:style>
  <w:style w:type="character" w:styleId="HTMLSample">
    <w:name w:val="HTML Sample"/>
    <w:basedOn w:val="DefaultParagraphFont"/>
    <w:rsid w:val="005027D7"/>
    <w:rPr>
      <w:rFonts w:ascii="Courier New" w:hAnsi="Courier New" w:cs="Courier New"/>
    </w:rPr>
  </w:style>
  <w:style w:type="character" w:styleId="HTMLTypewriter">
    <w:name w:val="HTML Typewriter"/>
    <w:basedOn w:val="DefaultParagraphFont"/>
    <w:rsid w:val="005027D7"/>
    <w:rPr>
      <w:rFonts w:ascii="Courier New" w:hAnsi="Courier New" w:cs="Courier New"/>
      <w:sz w:val="20"/>
      <w:szCs w:val="20"/>
    </w:rPr>
  </w:style>
  <w:style w:type="character" w:styleId="HTMLVariable">
    <w:name w:val="HTML Variable"/>
    <w:basedOn w:val="DefaultParagraphFont"/>
    <w:rsid w:val="005027D7"/>
    <w:rPr>
      <w:i/>
      <w:iCs/>
    </w:rPr>
  </w:style>
  <w:style w:type="character" w:styleId="Hyperlink">
    <w:name w:val="Hyperlink"/>
    <w:basedOn w:val="DefaultParagraphFont"/>
    <w:uiPriority w:val="99"/>
    <w:rsid w:val="005027D7"/>
    <w:rPr>
      <w:color w:val="0000FF"/>
      <w:u w:val="single"/>
    </w:rPr>
  </w:style>
  <w:style w:type="character" w:styleId="LineNumber">
    <w:name w:val="line number"/>
    <w:basedOn w:val="DefaultParagraphFont"/>
    <w:rsid w:val="005027D7"/>
  </w:style>
  <w:style w:type="paragraph" w:styleId="List">
    <w:name w:val="List"/>
    <w:basedOn w:val="Normal"/>
    <w:rsid w:val="005027D7"/>
    <w:pPr>
      <w:ind w:left="283" w:hanging="283"/>
    </w:pPr>
  </w:style>
  <w:style w:type="paragraph" w:styleId="List2">
    <w:name w:val="List 2"/>
    <w:basedOn w:val="Normal"/>
    <w:rsid w:val="005027D7"/>
    <w:pPr>
      <w:ind w:left="566" w:hanging="283"/>
    </w:pPr>
  </w:style>
  <w:style w:type="paragraph" w:styleId="List3">
    <w:name w:val="List 3"/>
    <w:basedOn w:val="Normal"/>
    <w:rsid w:val="005027D7"/>
    <w:pPr>
      <w:ind w:left="849" w:hanging="283"/>
    </w:pPr>
  </w:style>
  <w:style w:type="paragraph" w:styleId="List4">
    <w:name w:val="List 4"/>
    <w:basedOn w:val="Normal"/>
    <w:rsid w:val="005027D7"/>
    <w:pPr>
      <w:ind w:left="1132" w:hanging="283"/>
    </w:pPr>
  </w:style>
  <w:style w:type="paragraph" w:styleId="List5">
    <w:name w:val="List 5"/>
    <w:basedOn w:val="Normal"/>
    <w:rsid w:val="005027D7"/>
    <w:pPr>
      <w:ind w:left="1415" w:hanging="283"/>
    </w:pPr>
  </w:style>
  <w:style w:type="paragraph" w:styleId="ListBullet">
    <w:name w:val="List Bullet"/>
    <w:basedOn w:val="Normal"/>
    <w:rsid w:val="005027D7"/>
    <w:pPr>
      <w:numPr>
        <w:numId w:val="13"/>
      </w:numPr>
    </w:pPr>
  </w:style>
  <w:style w:type="paragraph" w:styleId="ListBullet2">
    <w:name w:val="List Bullet 2"/>
    <w:basedOn w:val="Normal"/>
    <w:rsid w:val="005027D7"/>
    <w:pPr>
      <w:numPr>
        <w:numId w:val="14"/>
      </w:numPr>
    </w:pPr>
  </w:style>
  <w:style w:type="paragraph" w:styleId="ListBullet3">
    <w:name w:val="List Bullet 3"/>
    <w:basedOn w:val="Normal"/>
    <w:rsid w:val="005027D7"/>
    <w:pPr>
      <w:numPr>
        <w:numId w:val="15"/>
      </w:numPr>
    </w:pPr>
  </w:style>
  <w:style w:type="paragraph" w:styleId="ListBullet4">
    <w:name w:val="List Bullet 4"/>
    <w:basedOn w:val="Normal"/>
    <w:rsid w:val="005027D7"/>
    <w:pPr>
      <w:numPr>
        <w:numId w:val="16"/>
      </w:numPr>
    </w:pPr>
  </w:style>
  <w:style w:type="paragraph" w:styleId="ListBullet5">
    <w:name w:val="List Bullet 5"/>
    <w:basedOn w:val="Normal"/>
    <w:rsid w:val="005027D7"/>
    <w:pPr>
      <w:numPr>
        <w:numId w:val="17"/>
      </w:numPr>
    </w:pPr>
  </w:style>
  <w:style w:type="paragraph" w:styleId="ListContinue">
    <w:name w:val="List Continue"/>
    <w:basedOn w:val="Normal"/>
    <w:rsid w:val="005027D7"/>
    <w:pPr>
      <w:spacing w:after="120"/>
      <w:ind w:left="283"/>
    </w:pPr>
  </w:style>
  <w:style w:type="paragraph" w:styleId="ListContinue2">
    <w:name w:val="List Continue 2"/>
    <w:basedOn w:val="Normal"/>
    <w:rsid w:val="005027D7"/>
    <w:pPr>
      <w:spacing w:after="120"/>
      <w:ind w:left="566"/>
    </w:pPr>
  </w:style>
  <w:style w:type="paragraph" w:styleId="ListContinue3">
    <w:name w:val="List Continue 3"/>
    <w:basedOn w:val="Normal"/>
    <w:rsid w:val="005027D7"/>
    <w:pPr>
      <w:spacing w:after="120"/>
      <w:ind w:left="849"/>
    </w:pPr>
  </w:style>
  <w:style w:type="paragraph" w:styleId="ListContinue4">
    <w:name w:val="List Continue 4"/>
    <w:basedOn w:val="Normal"/>
    <w:rsid w:val="005027D7"/>
    <w:pPr>
      <w:spacing w:after="120"/>
      <w:ind w:left="1132"/>
    </w:pPr>
  </w:style>
  <w:style w:type="paragraph" w:styleId="ListContinue5">
    <w:name w:val="List Continue 5"/>
    <w:basedOn w:val="Normal"/>
    <w:rsid w:val="005027D7"/>
    <w:pPr>
      <w:spacing w:after="120"/>
      <w:ind w:left="1415"/>
    </w:pPr>
  </w:style>
  <w:style w:type="paragraph" w:styleId="ListNumber">
    <w:name w:val="List Number"/>
    <w:basedOn w:val="Normal"/>
    <w:rsid w:val="005027D7"/>
    <w:pPr>
      <w:numPr>
        <w:numId w:val="18"/>
      </w:numPr>
    </w:pPr>
  </w:style>
  <w:style w:type="paragraph" w:styleId="ListNumber2">
    <w:name w:val="List Number 2"/>
    <w:basedOn w:val="Normal"/>
    <w:rsid w:val="005027D7"/>
    <w:pPr>
      <w:numPr>
        <w:numId w:val="19"/>
      </w:numPr>
    </w:pPr>
  </w:style>
  <w:style w:type="paragraph" w:styleId="ListNumber3">
    <w:name w:val="List Number 3"/>
    <w:basedOn w:val="Normal"/>
    <w:rsid w:val="005027D7"/>
    <w:pPr>
      <w:numPr>
        <w:numId w:val="20"/>
      </w:numPr>
    </w:pPr>
  </w:style>
  <w:style w:type="paragraph" w:styleId="ListNumber4">
    <w:name w:val="List Number 4"/>
    <w:basedOn w:val="Normal"/>
    <w:rsid w:val="005027D7"/>
    <w:pPr>
      <w:numPr>
        <w:numId w:val="21"/>
      </w:numPr>
    </w:pPr>
  </w:style>
  <w:style w:type="paragraph" w:styleId="ListNumber5">
    <w:name w:val="List Number 5"/>
    <w:basedOn w:val="Normal"/>
    <w:rsid w:val="005027D7"/>
    <w:pPr>
      <w:numPr>
        <w:numId w:val="22"/>
      </w:numPr>
    </w:pPr>
  </w:style>
  <w:style w:type="paragraph" w:styleId="MessageHeader">
    <w:name w:val="Message Header"/>
    <w:basedOn w:val="Normal"/>
    <w:rsid w:val="005027D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5027D7"/>
  </w:style>
  <w:style w:type="paragraph" w:styleId="NormalIndent">
    <w:name w:val="Normal Indent"/>
    <w:basedOn w:val="Normal"/>
    <w:rsid w:val="005027D7"/>
    <w:pPr>
      <w:ind w:left="720"/>
    </w:pPr>
  </w:style>
  <w:style w:type="paragraph" w:styleId="NoteHeading">
    <w:name w:val="Note Heading"/>
    <w:basedOn w:val="Normal"/>
    <w:next w:val="Normal"/>
    <w:rsid w:val="005027D7"/>
  </w:style>
  <w:style w:type="character" w:styleId="PageNumber">
    <w:name w:val="page number"/>
    <w:basedOn w:val="DefaultParagraphFont"/>
    <w:rsid w:val="005027D7"/>
  </w:style>
  <w:style w:type="paragraph" w:styleId="PlainText">
    <w:name w:val="Plain Text"/>
    <w:basedOn w:val="Normal"/>
    <w:rsid w:val="005027D7"/>
    <w:rPr>
      <w:rFonts w:ascii="Courier New" w:hAnsi="Courier New" w:cs="Courier New"/>
    </w:rPr>
  </w:style>
  <w:style w:type="paragraph" w:styleId="Salutation">
    <w:name w:val="Salutation"/>
    <w:basedOn w:val="Normal"/>
    <w:next w:val="Normal"/>
    <w:rsid w:val="005027D7"/>
  </w:style>
  <w:style w:type="paragraph" w:styleId="Signature">
    <w:name w:val="Signature"/>
    <w:basedOn w:val="Normal"/>
    <w:rsid w:val="005027D7"/>
    <w:pPr>
      <w:ind w:left="4252"/>
    </w:pPr>
  </w:style>
  <w:style w:type="character" w:styleId="Strong">
    <w:name w:val="Strong"/>
    <w:basedOn w:val="DefaultParagraphFont"/>
    <w:uiPriority w:val="22"/>
    <w:qFormat/>
    <w:rsid w:val="005027D7"/>
    <w:rPr>
      <w:b/>
      <w:bCs/>
    </w:rPr>
  </w:style>
  <w:style w:type="paragraph" w:styleId="Subtitle">
    <w:name w:val="Subtitle"/>
    <w:basedOn w:val="Normal"/>
    <w:rsid w:val="005027D7"/>
    <w:pPr>
      <w:spacing w:after="60"/>
      <w:jc w:val="center"/>
      <w:outlineLvl w:val="1"/>
    </w:pPr>
    <w:rPr>
      <w:rFonts w:cs="Arial"/>
    </w:rPr>
  </w:style>
  <w:style w:type="table" w:styleId="Table3Deffects1">
    <w:name w:val="Table 3D effects 1"/>
    <w:basedOn w:val="TableNormal"/>
    <w:rsid w:val="005027D7"/>
    <w:pPr>
      <w:spacing w:after="120" w:line="260" w:lineRule="atLeast"/>
      <w:ind w:left="567"/>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7D7"/>
    <w:pPr>
      <w:spacing w:after="120" w:line="260" w:lineRule="atLeast"/>
      <w:ind w:left="567"/>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7D7"/>
    <w:pPr>
      <w:spacing w:after="120" w:line="260" w:lineRule="atLeast"/>
      <w:ind w:left="567"/>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7D7"/>
    <w:pPr>
      <w:spacing w:after="120" w:line="260" w:lineRule="atLeast"/>
      <w:ind w:left="567"/>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7D7"/>
    <w:pPr>
      <w:spacing w:after="120" w:line="260" w:lineRule="atLeast"/>
      <w:ind w:left="567"/>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7D7"/>
    <w:pPr>
      <w:spacing w:after="120" w:line="260" w:lineRule="atLeast"/>
      <w:ind w:left="567"/>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7D7"/>
    <w:pPr>
      <w:spacing w:after="120" w:line="260" w:lineRule="atLeast"/>
      <w:ind w:left="567"/>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7D7"/>
    <w:pPr>
      <w:spacing w:after="120" w:line="260" w:lineRule="atLeast"/>
      <w:ind w:left="567"/>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7D7"/>
    <w:pPr>
      <w:spacing w:after="120" w:line="260" w:lineRule="atLeast"/>
      <w:ind w:left="567"/>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7D7"/>
    <w:pPr>
      <w:spacing w:after="120" w:line="260" w:lineRule="atLeast"/>
      <w:ind w:left="567"/>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7D7"/>
    <w:pPr>
      <w:spacing w:after="120" w:line="260" w:lineRule="atLeast"/>
      <w:ind w:left="567"/>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7D7"/>
    <w:pPr>
      <w:spacing w:after="120" w:line="260" w:lineRule="atLeast"/>
      <w:ind w:left="567"/>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27D7"/>
    <w:pPr>
      <w:spacing w:after="120" w:line="260" w:lineRule="atLeast"/>
      <w:ind w:left="567"/>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7D7"/>
    <w:pPr>
      <w:spacing w:after="120" w:line="260" w:lineRule="atLeast"/>
      <w:ind w:left="567"/>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7D7"/>
    <w:pPr>
      <w:spacing w:after="120" w:line="260" w:lineRule="atLeast"/>
      <w:ind w:left="567"/>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7D7"/>
    <w:pPr>
      <w:spacing w:after="120" w:line="260" w:lineRule="atLeast"/>
      <w:ind w:left="567"/>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7D7"/>
    <w:pPr>
      <w:spacing w:after="120" w:line="260" w:lineRule="atLeast"/>
      <w:ind w:left="567"/>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7D7"/>
    <w:pPr>
      <w:spacing w:after="120" w:line="260" w:lineRule="atLeast"/>
      <w:ind w:left="567"/>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7D7"/>
    <w:pPr>
      <w:spacing w:after="120" w:line="260" w:lineRule="atLeast"/>
      <w:ind w:left="567"/>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7D7"/>
    <w:pPr>
      <w:spacing w:after="120" w:line="260" w:lineRule="atLeast"/>
      <w:ind w:left="567"/>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7D7"/>
    <w:pPr>
      <w:spacing w:after="120" w:line="260" w:lineRule="atLeast"/>
      <w:ind w:left="567"/>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7D7"/>
    <w:pPr>
      <w:spacing w:after="120" w:line="260" w:lineRule="atLeast"/>
      <w:ind w:left="567"/>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7D7"/>
    <w:pPr>
      <w:spacing w:after="120" w:line="260" w:lineRule="atLeast"/>
      <w:ind w:left="567"/>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27D7"/>
    <w:pPr>
      <w:spacing w:after="120" w:line="260" w:lineRule="atLeast"/>
      <w:ind w:left="567"/>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7D7"/>
    <w:pPr>
      <w:spacing w:after="120" w:line="260" w:lineRule="atLeast"/>
      <w:ind w:left="567"/>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7D7"/>
    <w:pPr>
      <w:spacing w:after="120" w:line="260" w:lineRule="atLeast"/>
      <w:ind w:left="567"/>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027D7"/>
    <w:pPr>
      <w:spacing w:after="120" w:line="260" w:lineRule="atLeast"/>
      <w:ind w:left="567"/>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7D7"/>
    <w:pPr>
      <w:spacing w:after="120" w:line="260" w:lineRule="atLeast"/>
      <w:ind w:left="567"/>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7D7"/>
    <w:pPr>
      <w:spacing w:after="120" w:line="260" w:lineRule="atLeast"/>
      <w:ind w:left="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5027D7"/>
    <w:pPr>
      <w:spacing w:before="240" w:after="60"/>
      <w:jc w:val="center"/>
      <w:outlineLvl w:val="0"/>
    </w:pPr>
    <w:rPr>
      <w:rFonts w:cs="Arial"/>
      <w:b/>
      <w:bCs/>
      <w:kern w:val="28"/>
      <w:sz w:val="32"/>
      <w:szCs w:val="32"/>
    </w:rPr>
  </w:style>
  <w:style w:type="paragraph" w:customStyle="1" w:styleId="Header0">
    <w:name w:val="_Header"/>
    <w:basedOn w:val="ParaMargin"/>
    <w:rsid w:val="005027D7"/>
    <w:pPr>
      <w:spacing w:after="20" w:line="240" w:lineRule="auto"/>
    </w:pPr>
    <w:rPr>
      <w:sz w:val="16"/>
    </w:rPr>
  </w:style>
  <w:style w:type="paragraph" w:customStyle="1" w:styleId="Footer0">
    <w:name w:val="_Footer"/>
    <w:basedOn w:val="ParaMargin"/>
    <w:rsid w:val="005027D7"/>
    <w:pPr>
      <w:spacing w:before="20" w:after="0" w:line="240" w:lineRule="auto"/>
    </w:pPr>
    <w:rPr>
      <w:sz w:val="16"/>
    </w:rPr>
  </w:style>
  <w:style w:type="paragraph" w:customStyle="1" w:styleId="Info">
    <w:name w:val="_Info"/>
    <w:basedOn w:val="ParaMargin"/>
    <w:rsid w:val="005027D7"/>
    <w:pPr>
      <w:spacing w:after="60" w:line="240" w:lineRule="auto"/>
    </w:pPr>
    <w:rPr>
      <w:sz w:val="16"/>
    </w:rPr>
  </w:style>
  <w:style w:type="paragraph" w:customStyle="1" w:styleId="ListAppxsFigsTables">
    <w:name w:val="_ListAppxsFigs&amp;Tables"/>
    <w:basedOn w:val="ParaMargin"/>
    <w:rsid w:val="005027D7"/>
    <w:pPr>
      <w:tabs>
        <w:tab w:val="left" w:pos="567"/>
        <w:tab w:val="left" w:pos="1134"/>
        <w:tab w:val="right" w:leader="dot" w:pos="6804"/>
      </w:tabs>
      <w:spacing w:after="120"/>
      <w:ind w:left="567"/>
    </w:pPr>
    <w:rPr>
      <w:noProof/>
      <w:sz w:val="18"/>
    </w:rPr>
  </w:style>
  <w:style w:type="paragraph" w:customStyle="1" w:styleId="ParaMargin">
    <w:name w:val="_ParaMargin"/>
    <w:basedOn w:val="Normal"/>
    <w:qFormat/>
    <w:rsid w:val="005027D7"/>
    <w:pPr>
      <w:ind w:left="0"/>
    </w:pPr>
  </w:style>
  <w:style w:type="paragraph" w:customStyle="1" w:styleId="ParaIndent">
    <w:name w:val="_ParaIndent"/>
    <w:basedOn w:val="BodyText"/>
    <w:link w:val="ParaIndentChar"/>
    <w:qFormat/>
    <w:rsid w:val="005027D7"/>
    <w:pPr>
      <w:spacing w:after="180"/>
      <w:ind w:left="1134"/>
    </w:pPr>
  </w:style>
  <w:style w:type="paragraph" w:customStyle="1" w:styleId="AppxName">
    <w:name w:val="_AppxName"/>
    <w:basedOn w:val="ParaMargin"/>
    <w:qFormat/>
    <w:rsid w:val="005027D7"/>
    <w:pPr>
      <w:spacing w:before="120" w:after="120"/>
    </w:pPr>
    <w:rPr>
      <w:caps/>
      <w:color w:val="00519E"/>
      <w:sz w:val="40"/>
    </w:rPr>
  </w:style>
  <w:style w:type="paragraph" w:customStyle="1" w:styleId="AppxNo">
    <w:name w:val="_AppxNo"/>
    <w:basedOn w:val="ParaMargin"/>
    <w:qFormat/>
    <w:rsid w:val="005027D7"/>
    <w:pPr>
      <w:spacing w:before="120" w:after="120"/>
    </w:pPr>
    <w:rPr>
      <w:caps/>
      <w:color w:val="495F70"/>
      <w:sz w:val="36"/>
    </w:rPr>
  </w:style>
  <w:style w:type="paragraph" w:customStyle="1" w:styleId="Heading1">
    <w:name w:val="_Heading1"/>
    <w:basedOn w:val="Heading10"/>
    <w:next w:val="ParaIndent"/>
    <w:qFormat/>
    <w:rsid w:val="005027D7"/>
    <w:pPr>
      <w:numPr>
        <w:numId w:val="12"/>
      </w:numPr>
      <w:pBdr>
        <w:bottom w:val="none" w:sz="0" w:space="0" w:color="auto"/>
      </w:pBdr>
    </w:pPr>
    <w:rPr>
      <w:rFonts w:ascii="Arial" w:hAnsi="Arial" w:cs="Arial"/>
      <w:caps/>
      <w:color w:val="495F70"/>
    </w:rPr>
  </w:style>
  <w:style w:type="paragraph" w:customStyle="1" w:styleId="Heading2">
    <w:name w:val="_Heading2"/>
    <w:basedOn w:val="Heading20"/>
    <w:next w:val="ParaIndent"/>
    <w:link w:val="Heading2Char0"/>
    <w:qFormat/>
    <w:rsid w:val="008C3594"/>
    <w:pPr>
      <w:numPr>
        <w:ilvl w:val="1"/>
        <w:numId w:val="12"/>
      </w:numPr>
      <w:spacing w:before="600" w:after="240"/>
    </w:pPr>
    <w:rPr>
      <w:rFonts w:ascii="Arial" w:hAnsi="Arial" w:cs="Arial"/>
      <w:color w:val="495F70"/>
      <w:sz w:val="32"/>
    </w:rPr>
  </w:style>
  <w:style w:type="paragraph" w:customStyle="1" w:styleId="Heading3">
    <w:name w:val="_Heading3"/>
    <w:basedOn w:val="Heading30"/>
    <w:next w:val="ParaIndent"/>
    <w:qFormat/>
    <w:rsid w:val="00C57FC9"/>
    <w:pPr>
      <w:numPr>
        <w:ilvl w:val="2"/>
        <w:numId w:val="12"/>
      </w:numPr>
      <w:spacing w:before="360" w:after="180"/>
    </w:pPr>
    <w:rPr>
      <w:rFonts w:ascii="Arial" w:hAnsi="Arial" w:cs="Arial"/>
      <w:color w:val="495F70"/>
      <w:sz w:val="24"/>
    </w:rPr>
  </w:style>
  <w:style w:type="paragraph" w:customStyle="1" w:styleId="Heading40">
    <w:name w:val="_Heading4"/>
    <w:basedOn w:val="Heading4"/>
    <w:next w:val="ParaIndent"/>
    <w:qFormat/>
    <w:rsid w:val="00F97A6D"/>
    <w:pPr>
      <w:spacing w:before="360" w:after="180"/>
    </w:pPr>
    <w:rPr>
      <w:rFonts w:ascii="Arial" w:hAnsi="Arial" w:cs="Arial"/>
      <w:b/>
      <w:sz w:val="20"/>
    </w:rPr>
  </w:style>
  <w:style w:type="paragraph" w:customStyle="1" w:styleId="HeadingOther">
    <w:name w:val="_HeadingOther"/>
    <w:basedOn w:val="ParaMargin"/>
    <w:next w:val="ParaMargin"/>
    <w:qFormat/>
    <w:rsid w:val="005027D7"/>
    <w:pPr>
      <w:keepNext/>
      <w:spacing w:before="120" w:after="120"/>
    </w:pPr>
    <w:rPr>
      <w:caps/>
      <w:color w:val="009EE0"/>
      <w:sz w:val="32"/>
    </w:rPr>
  </w:style>
  <w:style w:type="paragraph" w:customStyle="1" w:styleId="HeadingSub">
    <w:name w:val="_HeadingSub"/>
    <w:basedOn w:val="ParaMargin"/>
    <w:next w:val="ParaMargin"/>
    <w:qFormat/>
    <w:rsid w:val="005027D7"/>
    <w:pPr>
      <w:keepNext/>
      <w:spacing w:before="120" w:after="120"/>
    </w:pPr>
    <w:rPr>
      <w:caps/>
      <w:color w:val="495F70"/>
      <w:sz w:val="40"/>
    </w:rPr>
  </w:style>
  <w:style w:type="paragraph" w:customStyle="1" w:styleId="HeadingTitle">
    <w:name w:val="_HeadingTitle"/>
    <w:basedOn w:val="ParaMargin"/>
    <w:next w:val="ParaMargin"/>
    <w:qFormat/>
    <w:rsid w:val="005027D7"/>
    <w:pPr>
      <w:spacing w:before="120" w:after="120"/>
    </w:pPr>
    <w:rPr>
      <w:caps/>
      <w:color w:val="00519E"/>
      <w:sz w:val="44"/>
    </w:rPr>
  </w:style>
  <w:style w:type="paragraph" w:customStyle="1" w:styleId="PointsAlpha">
    <w:name w:val="_PointsAlpha"/>
    <w:basedOn w:val="ParaMargin"/>
    <w:qFormat/>
    <w:rsid w:val="005027D7"/>
    <w:pPr>
      <w:numPr>
        <w:numId w:val="1"/>
      </w:numPr>
      <w:tabs>
        <w:tab w:val="left" w:pos="284"/>
      </w:tabs>
      <w:spacing w:after="120"/>
    </w:pPr>
  </w:style>
  <w:style w:type="paragraph" w:customStyle="1" w:styleId="PointsBullets">
    <w:name w:val="_PointsBullets"/>
    <w:basedOn w:val="ParaMargin"/>
    <w:qFormat/>
    <w:rsid w:val="005027D7"/>
    <w:pPr>
      <w:numPr>
        <w:numId w:val="2"/>
      </w:numPr>
      <w:spacing w:after="120"/>
    </w:pPr>
  </w:style>
  <w:style w:type="paragraph" w:customStyle="1" w:styleId="PointsNumbers">
    <w:name w:val="_PointsNumbers"/>
    <w:basedOn w:val="ParaMargin"/>
    <w:qFormat/>
    <w:rsid w:val="005027D7"/>
    <w:pPr>
      <w:numPr>
        <w:numId w:val="3"/>
      </w:numPr>
      <w:spacing w:after="120"/>
    </w:pPr>
  </w:style>
  <w:style w:type="paragraph" w:customStyle="1" w:styleId="Caption">
    <w:name w:val="_Caption"/>
    <w:basedOn w:val="ParaMargin"/>
    <w:next w:val="CaptionFollowOn"/>
    <w:qFormat/>
    <w:rsid w:val="005027D7"/>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qFormat/>
    <w:rsid w:val="005027D7"/>
    <w:pPr>
      <w:tabs>
        <w:tab w:val="left" w:pos="1134"/>
      </w:tabs>
      <w:spacing w:before="120"/>
      <w:ind w:left="1134"/>
    </w:pPr>
    <w:rPr>
      <w:color w:val="495F70"/>
      <w:sz w:val="18"/>
    </w:rPr>
  </w:style>
  <w:style w:type="paragraph" w:customStyle="1" w:styleId="TableHeading">
    <w:name w:val="_TableHeading"/>
    <w:basedOn w:val="ParaMargin"/>
    <w:link w:val="TableHeadingChar"/>
    <w:qFormat/>
    <w:rsid w:val="005027D7"/>
    <w:pPr>
      <w:keepNext/>
      <w:tabs>
        <w:tab w:val="left" w:pos="284"/>
      </w:tabs>
      <w:spacing w:before="60" w:after="60"/>
    </w:pPr>
    <w:rPr>
      <w:b/>
      <w:color w:val="495F70"/>
      <w:sz w:val="18"/>
    </w:rPr>
  </w:style>
  <w:style w:type="paragraph" w:customStyle="1" w:styleId="TableText">
    <w:name w:val="_TableText"/>
    <w:basedOn w:val="ParaMargin"/>
    <w:link w:val="TableTextChar"/>
    <w:qFormat/>
    <w:rsid w:val="005027D7"/>
    <w:pPr>
      <w:spacing w:before="60" w:after="60"/>
    </w:pPr>
    <w:rPr>
      <w:sz w:val="18"/>
    </w:rPr>
  </w:style>
  <w:style w:type="paragraph" w:customStyle="1" w:styleId="ListHeading">
    <w:name w:val="_ListHeading"/>
    <w:basedOn w:val="ParaMargin"/>
    <w:next w:val="ParaMargin"/>
    <w:qFormat/>
    <w:rsid w:val="005027D7"/>
    <w:pPr>
      <w:keepNext/>
      <w:spacing w:before="120" w:after="120"/>
    </w:pPr>
    <w:rPr>
      <w:caps/>
      <w:color w:val="495F70"/>
      <w:sz w:val="28"/>
    </w:rPr>
  </w:style>
  <w:style w:type="paragraph" w:customStyle="1" w:styleId="ListItem">
    <w:name w:val="_ListItem"/>
    <w:basedOn w:val="ParaMargin"/>
    <w:qFormat/>
    <w:rsid w:val="005027D7"/>
    <w:pPr>
      <w:tabs>
        <w:tab w:val="left" w:pos="1134"/>
      </w:tabs>
      <w:spacing w:after="120"/>
      <w:ind w:left="1134"/>
    </w:pPr>
  </w:style>
  <w:style w:type="paragraph" w:styleId="TOC1">
    <w:name w:val="toc 1"/>
    <w:basedOn w:val="ToC10"/>
    <w:uiPriority w:val="39"/>
    <w:rsid w:val="005027D7"/>
  </w:style>
  <w:style w:type="paragraph" w:styleId="TOC2">
    <w:name w:val="toc 2"/>
    <w:basedOn w:val="ToC20"/>
    <w:uiPriority w:val="39"/>
    <w:rsid w:val="005027D7"/>
  </w:style>
  <w:style w:type="paragraph" w:customStyle="1" w:styleId="ToC10">
    <w:name w:val="_ToC1"/>
    <w:basedOn w:val="ParaMargin"/>
    <w:rsid w:val="005027D7"/>
    <w:pPr>
      <w:tabs>
        <w:tab w:val="left" w:pos="567"/>
        <w:tab w:val="right" w:leader="dot" w:pos="6804"/>
      </w:tabs>
      <w:spacing w:before="40" w:after="40"/>
      <w:ind w:left="567" w:right="2835" w:hanging="567"/>
    </w:pPr>
    <w:rPr>
      <w:color w:val="495F70"/>
    </w:rPr>
  </w:style>
  <w:style w:type="paragraph" w:customStyle="1" w:styleId="ToC20">
    <w:name w:val="_ToC2"/>
    <w:basedOn w:val="ParaMargin"/>
    <w:rsid w:val="005027D7"/>
    <w:pPr>
      <w:tabs>
        <w:tab w:val="left" w:pos="567"/>
        <w:tab w:val="left" w:pos="1134"/>
        <w:tab w:val="right" w:leader="dot" w:pos="6804"/>
      </w:tabs>
      <w:spacing w:before="40" w:after="40"/>
      <w:ind w:left="1134" w:right="2835" w:hanging="567"/>
    </w:pPr>
    <w:rPr>
      <w:sz w:val="18"/>
    </w:rPr>
  </w:style>
  <w:style w:type="paragraph" w:customStyle="1" w:styleId="ToC3">
    <w:name w:val="_ToC3"/>
    <w:basedOn w:val="ToC20"/>
    <w:rsid w:val="005027D7"/>
    <w:pPr>
      <w:tabs>
        <w:tab w:val="left" w:pos="2268"/>
      </w:tabs>
      <w:spacing w:before="20" w:after="20"/>
      <w:ind w:left="1985" w:hanging="851"/>
    </w:pPr>
  </w:style>
  <w:style w:type="paragraph" w:customStyle="1" w:styleId="HeadingMinorCyan">
    <w:name w:val="_HeadingMinorCyan"/>
    <w:basedOn w:val="TableText"/>
    <w:qFormat/>
    <w:rsid w:val="005027D7"/>
    <w:pPr>
      <w:keepNext/>
      <w:spacing w:before="0" w:after="120"/>
    </w:pPr>
    <w:rPr>
      <w:b/>
      <w:color w:val="009EE0"/>
      <w:sz w:val="20"/>
    </w:rPr>
  </w:style>
  <w:style w:type="paragraph" w:styleId="TOC30">
    <w:name w:val="toc 3"/>
    <w:basedOn w:val="ToC3"/>
    <w:rsid w:val="005027D7"/>
  </w:style>
  <w:style w:type="paragraph" w:styleId="TOC4">
    <w:name w:val="toc 4"/>
    <w:basedOn w:val="ToC40"/>
    <w:rsid w:val="005027D7"/>
  </w:style>
  <w:style w:type="paragraph" w:styleId="Caption0">
    <w:name w:val="caption"/>
    <w:basedOn w:val="Normal"/>
    <w:next w:val="Normal"/>
    <w:qFormat/>
    <w:rsid w:val="005027D7"/>
    <w:pPr>
      <w:spacing w:before="120"/>
      <w:ind w:left="1134" w:hanging="1134"/>
    </w:pPr>
    <w:rPr>
      <w:rFonts w:ascii="Arial Narrow" w:hAnsi="Arial Narrow"/>
      <w:b/>
    </w:rPr>
  </w:style>
  <w:style w:type="paragraph" w:styleId="BalloonText">
    <w:name w:val="Balloon Text"/>
    <w:basedOn w:val="Normal"/>
    <w:rsid w:val="005027D7"/>
    <w:rPr>
      <w:rFonts w:ascii="Tahoma" w:hAnsi="Tahoma" w:cs="Tahoma"/>
      <w:sz w:val="16"/>
      <w:szCs w:val="16"/>
    </w:rPr>
  </w:style>
  <w:style w:type="paragraph" w:customStyle="1" w:styleId="InfoBold">
    <w:name w:val="_InfoBold"/>
    <w:basedOn w:val="Info"/>
    <w:next w:val="Info"/>
    <w:rsid w:val="005027D7"/>
    <w:rPr>
      <w:b/>
    </w:rPr>
  </w:style>
  <w:style w:type="paragraph" w:customStyle="1" w:styleId="HeadingCategory">
    <w:name w:val="_HeadingCategory"/>
    <w:basedOn w:val="ParaMargin"/>
    <w:next w:val="ParaMargin"/>
    <w:qFormat/>
    <w:rsid w:val="005027D7"/>
    <w:pPr>
      <w:spacing w:after="120"/>
    </w:pPr>
    <w:rPr>
      <w:color w:val="495F70"/>
      <w:sz w:val="36"/>
    </w:rPr>
  </w:style>
  <w:style w:type="paragraph" w:customStyle="1" w:styleId="InfoLetter">
    <w:name w:val="_InfoLetter"/>
    <w:basedOn w:val="ParaMargin"/>
    <w:next w:val="ParaMargin"/>
    <w:rsid w:val="005027D7"/>
    <w:pPr>
      <w:spacing w:after="0"/>
    </w:pPr>
  </w:style>
  <w:style w:type="paragraph" w:customStyle="1" w:styleId="PathFileName">
    <w:name w:val="_PathFileName"/>
    <w:basedOn w:val="Footer0"/>
    <w:rsid w:val="005027D7"/>
    <w:rPr>
      <w:sz w:val="14"/>
    </w:rPr>
  </w:style>
  <w:style w:type="paragraph" w:customStyle="1" w:styleId="Data">
    <w:name w:val="_Data"/>
    <w:basedOn w:val="ParaMargin"/>
    <w:rsid w:val="005027D7"/>
    <w:pPr>
      <w:spacing w:after="60"/>
    </w:pPr>
    <w:rPr>
      <w:sz w:val="18"/>
    </w:rPr>
  </w:style>
  <w:style w:type="paragraph" w:customStyle="1" w:styleId="DataBold">
    <w:name w:val="_DataBold"/>
    <w:basedOn w:val="Data"/>
    <w:next w:val="Data"/>
    <w:rsid w:val="005027D7"/>
    <w:rPr>
      <w:b/>
    </w:rPr>
  </w:style>
  <w:style w:type="character" w:customStyle="1" w:styleId="ParaIndentChar">
    <w:name w:val="_ParaIndent Char"/>
    <w:basedOn w:val="DefaultParagraphFont"/>
    <w:link w:val="ParaIndent"/>
    <w:rsid w:val="00EA2F93"/>
    <w:rPr>
      <w:rFonts w:ascii="Arial" w:hAnsi="Arial"/>
      <w:lang w:eastAsia="en-US"/>
    </w:rPr>
  </w:style>
  <w:style w:type="paragraph" w:customStyle="1" w:styleId="TablePointsAlpha">
    <w:name w:val="_TablePointsAlpha"/>
    <w:basedOn w:val="PointsAlpha"/>
    <w:qFormat/>
    <w:rsid w:val="005027D7"/>
    <w:pPr>
      <w:numPr>
        <w:numId w:val="4"/>
      </w:numPr>
      <w:spacing w:before="60" w:after="60"/>
    </w:pPr>
    <w:rPr>
      <w:sz w:val="18"/>
    </w:rPr>
  </w:style>
  <w:style w:type="paragraph" w:customStyle="1" w:styleId="TablePointsBullets">
    <w:name w:val="_TablePointsBullets"/>
    <w:basedOn w:val="PointsBullets"/>
    <w:qFormat/>
    <w:rsid w:val="005027D7"/>
    <w:pPr>
      <w:numPr>
        <w:numId w:val="5"/>
      </w:numPr>
      <w:spacing w:before="60" w:after="60"/>
    </w:pPr>
    <w:rPr>
      <w:sz w:val="18"/>
    </w:rPr>
  </w:style>
  <w:style w:type="paragraph" w:customStyle="1" w:styleId="TablePointsNumbers">
    <w:name w:val="_TablePointsNumbers"/>
    <w:basedOn w:val="PointsNumbers"/>
    <w:qFormat/>
    <w:rsid w:val="005027D7"/>
    <w:pPr>
      <w:numPr>
        <w:numId w:val="6"/>
      </w:numPr>
      <w:spacing w:before="60" w:after="60"/>
    </w:pPr>
    <w:rPr>
      <w:sz w:val="18"/>
    </w:rPr>
  </w:style>
  <w:style w:type="paragraph" w:customStyle="1" w:styleId="FooterBlue">
    <w:name w:val="_FooterBlue"/>
    <w:basedOn w:val="Footer0"/>
    <w:rsid w:val="005027D7"/>
    <w:rPr>
      <w:color w:val="0000FF"/>
    </w:rPr>
  </w:style>
  <w:style w:type="paragraph" w:customStyle="1" w:styleId="HeadingTitleWhite">
    <w:name w:val="_HeadingTitleWhite"/>
    <w:basedOn w:val="HeadingTitle"/>
    <w:next w:val="ParaMargin"/>
    <w:qFormat/>
    <w:rsid w:val="005027D7"/>
    <w:rPr>
      <w:color w:val="FFFFFF"/>
    </w:rPr>
  </w:style>
  <w:style w:type="paragraph" w:customStyle="1" w:styleId="FooterWhite">
    <w:name w:val="_FooterWhite"/>
    <w:basedOn w:val="Footer0"/>
    <w:rsid w:val="005027D7"/>
    <w:rPr>
      <w:color w:val="FFFFFF"/>
    </w:rPr>
  </w:style>
  <w:style w:type="paragraph" w:customStyle="1" w:styleId="HeadingInfo">
    <w:name w:val="_HeadingInfo"/>
    <w:basedOn w:val="ParaMargin"/>
    <w:qFormat/>
    <w:rsid w:val="005027D7"/>
    <w:pPr>
      <w:spacing w:before="120" w:after="120"/>
    </w:pPr>
    <w:rPr>
      <w:sz w:val="24"/>
    </w:rPr>
  </w:style>
  <w:style w:type="paragraph" w:customStyle="1" w:styleId="HeadingMinor">
    <w:name w:val="_HeadingMinor"/>
    <w:basedOn w:val="ParaMargin"/>
    <w:next w:val="ParaMargin"/>
    <w:qFormat/>
    <w:rsid w:val="005027D7"/>
    <w:pPr>
      <w:keepNext/>
      <w:spacing w:before="240" w:after="120"/>
    </w:pPr>
    <w:rPr>
      <w:b/>
    </w:rPr>
  </w:style>
  <w:style w:type="paragraph" w:customStyle="1" w:styleId="HeadingName">
    <w:name w:val="_HeadingName"/>
    <w:basedOn w:val="HeadingTitle"/>
    <w:qFormat/>
    <w:rsid w:val="005027D7"/>
    <w:pPr>
      <w:keepNext/>
      <w:spacing w:before="0" w:after="0"/>
    </w:pPr>
  </w:style>
  <w:style w:type="paragraph" w:customStyle="1" w:styleId="ParaIntroduction">
    <w:name w:val="_ParaIntroduction"/>
    <w:basedOn w:val="ParaMargin"/>
    <w:qFormat/>
    <w:rsid w:val="005027D7"/>
    <w:pPr>
      <w:spacing w:before="120"/>
    </w:pPr>
    <w:rPr>
      <w:sz w:val="24"/>
    </w:rPr>
  </w:style>
  <w:style w:type="paragraph" w:customStyle="1" w:styleId="InfoBoldCyan">
    <w:name w:val="_InfoBoldCyan"/>
    <w:basedOn w:val="InfoBold"/>
    <w:next w:val="Info"/>
    <w:rsid w:val="005027D7"/>
    <w:rPr>
      <w:color w:val="009EE0"/>
    </w:rPr>
  </w:style>
  <w:style w:type="paragraph" w:customStyle="1" w:styleId="ParaIntroCyan">
    <w:name w:val="_ParaIntroCyan"/>
    <w:basedOn w:val="ParaIndent"/>
    <w:next w:val="ParaIndent"/>
    <w:rsid w:val="005027D7"/>
    <w:rPr>
      <w:color w:val="009EE0"/>
    </w:rPr>
  </w:style>
  <w:style w:type="paragraph" w:customStyle="1" w:styleId="PullQuote">
    <w:name w:val="_PullQuote"/>
    <w:basedOn w:val="ParaMargin"/>
    <w:rsid w:val="005027D7"/>
    <w:pPr>
      <w:spacing w:after="0"/>
    </w:pPr>
    <w:rPr>
      <w:color w:val="FFFFFF"/>
    </w:rPr>
  </w:style>
  <w:style w:type="paragraph" w:customStyle="1" w:styleId="AlphaPoints">
    <w:name w:val="Alpha Points"/>
    <w:basedOn w:val="BodyText"/>
    <w:semiHidden/>
    <w:rsid w:val="005027D7"/>
    <w:pPr>
      <w:numPr>
        <w:numId w:val="9"/>
      </w:numPr>
      <w:spacing w:after="180"/>
    </w:pPr>
  </w:style>
  <w:style w:type="paragraph" w:customStyle="1" w:styleId="BulletPoints">
    <w:name w:val="Bullet Points"/>
    <w:basedOn w:val="BodyText"/>
    <w:semiHidden/>
    <w:rsid w:val="005027D7"/>
    <w:pPr>
      <w:numPr>
        <w:numId w:val="11"/>
      </w:numPr>
    </w:pPr>
  </w:style>
  <w:style w:type="character" w:styleId="CommentReference">
    <w:name w:val="annotation reference"/>
    <w:basedOn w:val="DefaultParagraphFont"/>
    <w:rsid w:val="005027D7"/>
    <w:rPr>
      <w:sz w:val="16"/>
      <w:szCs w:val="16"/>
    </w:rPr>
  </w:style>
  <w:style w:type="paragraph" w:styleId="CommentText">
    <w:name w:val="annotation text"/>
    <w:basedOn w:val="Normal"/>
    <w:rsid w:val="005027D7"/>
  </w:style>
  <w:style w:type="paragraph" w:styleId="CommentSubject">
    <w:name w:val="annotation subject"/>
    <w:basedOn w:val="CommentText"/>
    <w:next w:val="CommentText"/>
    <w:rsid w:val="005027D7"/>
    <w:rPr>
      <w:b/>
      <w:bCs/>
    </w:rPr>
  </w:style>
  <w:style w:type="paragraph" w:styleId="DocumentMap">
    <w:name w:val="Document Map"/>
    <w:basedOn w:val="Normal"/>
    <w:rsid w:val="005027D7"/>
    <w:pPr>
      <w:shd w:val="clear" w:color="auto" w:fill="000080"/>
    </w:pPr>
    <w:rPr>
      <w:rFonts w:ascii="Tahoma" w:hAnsi="Tahoma" w:cs="Tahoma"/>
    </w:rPr>
  </w:style>
  <w:style w:type="character" w:styleId="EndnoteReference">
    <w:name w:val="endnote reference"/>
    <w:basedOn w:val="DefaultParagraphFont"/>
    <w:rsid w:val="005027D7"/>
    <w:rPr>
      <w:vertAlign w:val="superscript"/>
    </w:rPr>
  </w:style>
  <w:style w:type="paragraph" w:styleId="EndnoteText">
    <w:name w:val="endnote text"/>
    <w:basedOn w:val="Normal"/>
    <w:rsid w:val="005027D7"/>
    <w:rPr>
      <w:sz w:val="18"/>
    </w:rPr>
  </w:style>
  <w:style w:type="character" w:styleId="FootnoteReference">
    <w:name w:val="footnote reference"/>
    <w:basedOn w:val="DefaultParagraphFont"/>
    <w:rsid w:val="005027D7"/>
    <w:rPr>
      <w:vertAlign w:val="superscript"/>
    </w:rPr>
  </w:style>
  <w:style w:type="paragraph" w:styleId="FootnoteText">
    <w:name w:val="footnote text"/>
    <w:basedOn w:val="Normal"/>
    <w:rsid w:val="005027D7"/>
    <w:rPr>
      <w:sz w:val="18"/>
    </w:rPr>
  </w:style>
  <w:style w:type="paragraph" w:customStyle="1" w:styleId="Heading">
    <w:name w:val="Heading"/>
    <w:basedOn w:val="Normal"/>
    <w:next w:val="Header"/>
    <w:semiHidden/>
    <w:rsid w:val="005027D7"/>
    <w:pPr>
      <w:spacing w:before="120" w:after="120"/>
      <w:jc w:val="right"/>
    </w:pPr>
    <w:rPr>
      <w:sz w:val="40"/>
    </w:rPr>
  </w:style>
  <w:style w:type="paragraph" w:styleId="Index1">
    <w:name w:val="index 1"/>
    <w:basedOn w:val="Normal"/>
    <w:next w:val="Normal"/>
    <w:autoRedefine/>
    <w:rsid w:val="005027D7"/>
    <w:pPr>
      <w:ind w:left="200" w:hanging="200"/>
    </w:pPr>
  </w:style>
  <w:style w:type="paragraph" w:styleId="Index2">
    <w:name w:val="index 2"/>
    <w:basedOn w:val="Normal"/>
    <w:next w:val="Normal"/>
    <w:autoRedefine/>
    <w:rsid w:val="005027D7"/>
    <w:pPr>
      <w:ind w:left="400" w:hanging="200"/>
    </w:pPr>
  </w:style>
  <w:style w:type="paragraph" w:styleId="Index3">
    <w:name w:val="index 3"/>
    <w:basedOn w:val="Normal"/>
    <w:next w:val="Normal"/>
    <w:autoRedefine/>
    <w:rsid w:val="005027D7"/>
    <w:pPr>
      <w:ind w:left="600" w:hanging="200"/>
    </w:pPr>
  </w:style>
  <w:style w:type="paragraph" w:styleId="Index4">
    <w:name w:val="index 4"/>
    <w:basedOn w:val="Normal"/>
    <w:next w:val="Normal"/>
    <w:autoRedefine/>
    <w:rsid w:val="005027D7"/>
    <w:pPr>
      <w:ind w:left="800" w:hanging="200"/>
    </w:pPr>
  </w:style>
  <w:style w:type="paragraph" w:styleId="Index5">
    <w:name w:val="index 5"/>
    <w:basedOn w:val="Normal"/>
    <w:next w:val="Normal"/>
    <w:autoRedefine/>
    <w:rsid w:val="005027D7"/>
    <w:pPr>
      <w:ind w:left="1000" w:hanging="200"/>
    </w:pPr>
  </w:style>
  <w:style w:type="paragraph" w:styleId="Index6">
    <w:name w:val="index 6"/>
    <w:basedOn w:val="Normal"/>
    <w:next w:val="Normal"/>
    <w:autoRedefine/>
    <w:rsid w:val="005027D7"/>
    <w:pPr>
      <w:ind w:left="1200" w:hanging="200"/>
    </w:pPr>
  </w:style>
  <w:style w:type="paragraph" w:styleId="Index7">
    <w:name w:val="index 7"/>
    <w:basedOn w:val="Normal"/>
    <w:next w:val="Normal"/>
    <w:autoRedefine/>
    <w:rsid w:val="005027D7"/>
    <w:pPr>
      <w:ind w:left="1400" w:hanging="200"/>
    </w:pPr>
  </w:style>
  <w:style w:type="paragraph" w:styleId="Index8">
    <w:name w:val="index 8"/>
    <w:basedOn w:val="Normal"/>
    <w:next w:val="Normal"/>
    <w:autoRedefine/>
    <w:rsid w:val="005027D7"/>
    <w:pPr>
      <w:ind w:left="1600" w:hanging="200"/>
    </w:pPr>
  </w:style>
  <w:style w:type="paragraph" w:styleId="Index9">
    <w:name w:val="index 9"/>
    <w:basedOn w:val="Normal"/>
    <w:next w:val="Normal"/>
    <w:autoRedefine/>
    <w:rsid w:val="005027D7"/>
    <w:pPr>
      <w:ind w:left="1800" w:hanging="200"/>
    </w:pPr>
  </w:style>
  <w:style w:type="paragraph" w:styleId="IndexHeading">
    <w:name w:val="index heading"/>
    <w:basedOn w:val="Normal"/>
    <w:next w:val="Index1"/>
    <w:rsid w:val="005027D7"/>
    <w:rPr>
      <w:rFonts w:cs="Arial"/>
      <w:b/>
      <w:bCs/>
    </w:rPr>
  </w:style>
  <w:style w:type="paragraph" w:styleId="MacroText">
    <w:name w:val="macro"/>
    <w:rsid w:val="005027D7"/>
    <w:pPr>
      <w:tabs>
        <w:tab w:val="left" w:pos="480"/>
        <w:tab w:val="left" w:pos="960"/>
        <w:tab w:val="left" w:pos="1440"/>
        <w:tab w:val="left" w:pos="1920"/>
        <w:tab w:val="left" w:pos="2400"/>
        <w:tab w:val="left" w:pos="2880"/>
        <w:tab w:val="left" w:pos="3360"/>
        <w:tab w:val="left" w:pos="3840"/>
        <w:tab w:val="left" w:pos="4320"/>
      </w:tabs>
      <w:spacing w:after="180" w:line="260" w:lineRule="atLeast"/>
      <w:ind w:left="567"/>
    </w:pPr>
    <w:rPr>
      <w:rFonts w:ascii="Courier New" w:hAnsi="Courier New" w:cs="Courier New"/>
      <w:lang w:val="en-GB" w:eastAsia="en-US"/>
    </w:rPr>
  </w:style>
  <w:style w:type="paragraph" w:customStyle="1" w:styleId="NumberPoints">
    <w:name w:val="Number Points"/>
    <w:basedOn w:val="Normal"/>
    <w:semiHidden/>
    <w:rsid w:val="005027D7"/>
    <w:pPr>
      <w:numPr>
        <w:numId w:val="23"/>
      </w:numPr>
    </w:pPr>
  </w:style>
  <w:style w:type="paragraph" w:customStyle="1" w:styleId="TableHeading0">
    <w:name w:val="Table Heading"/>
    <w:basedOn w:val="Normal"/>
    <w:semiHidden/>
    <w:rsid w:val="005027D7"/>
    <w:pPr>
      <w:spacing w:before="60" w:after="60"/>
    </w:pPr>
    <w:rPr>
      <w:rFonts w:ascii="Arial Narrow" w:hAnsi="Arial Narrow"/>
      <w:b/>
    </w:rPr>
  </w:style>
  <w:style w:type="paragraph" w:styleId="TableofAuthorities">
    <w:name w:val="table of authorities"/>
    <w:basedOn w:val="Normal"/>
    <w:next w:val="Normal"/>
    <w:rsid w:val="005027D7"/>
    <w:pPr>
      <w:ind w:left="200" w:hanging="200"/>
    </w:pPr>
  </w:style>
  <w:style w:type="paragraph" w:styleId="TableofFigures">
    <w:name w:val="table of figures"/>
    <w:basedOn w:val="ListAppxsFigsTables"/>
    <w:next w:val="ListAppxsFigsTables"/>
    <w:rsid w:val="005027D7"/>
  </w:style>
  <w:style w:type="paragraph" w:customStyle="1" w:styleId="TableText0">
    <w:name w:val="Table Text"/>
    <w:basedOn w:val="Normal"/>
    <w:semiHidden/>
    <w:rsid w:val="005027D7"/>
    <w:pPr>
      <w:spacing w:before="60" w:after="60"/>
    </w:pPr>
  </w:style>
  <w:style w:type="paragraph" w:styleId="TOAHeading">
    <w:name w:val="toa heading"/>
    <w:basedOn w:val="Normal"/>
    <w:next w:val="Normal"/>
    <w:rsid w:val="005027D7"/>
    <w:pPr>
      <w:spacing w:before="120"/>
    </w:pPr>
    <w:rPr>
      <w:rFonts w:cs="Arial"/>
      <w:b/>
      <w:bCs/>
      <w:sz w:val="24"/>
      <w:szCs w:val="24"/>
    </w:rPr>
  </w:style>
  <w:style w:type="paragraph" w:styleId="TOC5">
    <w:name w:val="toc 5"/>
    <w:basedOn w:val="Normal"/>
    <w:next w:val="Normal"/>
    <w:autoRedefine/>
    <w:rsid w:val="005027D7"/>
    <w:pPr>
      <w:ind w:left="800"/>
    </w:pPr>
  </w:style>
  <w:style w:type="paragraph" w:styleId="TOC6">
    <w:name w:val="toc 6"/>
    <w:basedOn w:val="Normal"/>
    <w:next w:val="Normal"/>
    <w:autoRedefine/>
    <w:rsid w:val="005027D7"/>
    <w:pPr>
      <w:ind w:left="1000"/>
    </w:pPr>
  </w:style>
  <w:style w:type="paragraph" w:styleId="TOC7">
    <w:name w:val="toc 7"/>
    <w:basedOn w:val="Normal"/>
    <w:next w:val="Normal"/>
    <w:autoRedefine/>
    <w:rsid w:val="005027D7"/>
    <w:pPr>
      <w:ind w:left="1200"/>
    </w:pPr>
  </w:style>
  <w:style w:type="paragraph" w:styleId="TOC8">
    <w:name w:val="toc 8"/>
    <w:basedOn w:val="Normal"/>
    <w:next w:val="Normal"/>
    <w:autoRedefine/>
    <w:rsid w:val="005027D7"/>
    <w:pPr>
      <w:ind w:left="1400"/>
    </w:pPr>
  </w:style>
  <w:style w:type="paragraph" w:styleId="TOC9">
    <w:name w:val="toc 9"/>
    <w:basedOn w:val="Normal"/>
    <w:next w:val="Normal"/>
    <w:autoRedefine/>
    <w:rsid w:val="005027D7"/>
    <w:pPr>
      <w:ind w:left="1600"/>
    </w:pPr>
  </w:style>
  <w:style w:type="paragraph" w:customStyle="1" w:styleId="PullQuoteBlue">
    <w:name w:val="_PullQuoteBlue"/>
    <w:basedOn w:val="ParaIndent"/>
    <w:rsid w:val="005027D7"/>
    <w:pPr>
      <w:spacing w:after="0"/>
      <w:ind w:left="0"/>
    </w:pPr>
    <w:rPr>
      <w:color w:val="FFFFFF"/>
    </w:rPr>
  </w:style>
  <w:style w:type="paragraph" w:customStyle="1" w:styleId="PullQuoteGreen">
    <w:name w:val="_PullQuoteGreen"/>
    <w:basedOn w:val="ParaIndent"/>
    <w:rsid w:val="005027D7"/>
    <w:pPr>
      <w:spacing w:after="0"/>
      <w:ind w:left="0"/>
    </w:pPr>
    <w:rPr>
      <w:color w:val="FFFFFF"/>
    </w:rPr>
  </w:style>
  <w:style w:type="paragraph" w:customStyle="1" w:styleId="WMDraft">
    <w:name w:val="_WMDraft"/>
    <w:rsid w:val="00FE53C5"/>
    <w:pPr>
      <w:spacing w:after="240" w:line="260" w:lineRule="atLeast"/>
    </w:pPr>
    <w:rPr>
      <w:rFonts w:ascii="Arial" w:hAnsi="Arial"/>
      <w:szCs w:val="24"/>
      <w:lang w:val="en-GB" w:eastAsia="en-US"/>
    </w:rPr>
  </w:style>
  <w:style w:type="character" w:styleId="BookTitle">
    <w:name w:val="Book Title"/>
    <w:basedOn w:val="DefaultParagraphFont"/>
    <w:uiPriority w:val="33"/>
    <w:rsid w:val="005027D7"/>
    <w:rPr>
      <w:b/>
      <w:bCs/>
      <w:smallCaps/>
      <w:spacing w:val="5"/>
    </w:rPr>
  </w:style>
  <w:style w:type="character" w:styleId="IntenseEmphasis">
    <w:name w:val="Intense Emphasis"/>
    <w:basedOn w:val="DefaultParagraphFont"/>
    <w:uiPriority w:val="21"/>
    <w:rsid w:val="005027D7"/>
    <w:rPr>
      <w:b/>
      <w:bCs/>
      <w:i/>
      <w:iCs/>
      <w:color w:val="4F81BD"/>
    </w:rPr>
  </w:style>
  <w:style w:type="paragraph" w:styleId="IntenseQuote">
    <w:name w:val="Intense Quote"/>
    <w:basedOn w:val="Normal"/>
    <w:next w:val="Normal"/>
    <w:link w:val="IntenseQuoteChar"/>
    <w:uiPriority w:val="30"/>
    <w:rsid w:val="005027D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53C5"/>
    <w:rPr>
      <w:rFonts w:ascii="Arial" w:hAnsi="Arial"/>
      <w:b/>
      <w:bCs/>
      <w:i/>
      <w:iCs/>
      <w:color w:val="4F81BD"/>
      <w:lang w:eastAsia="en-US"/>
    </w:rPr>
  </w:style>
  <w:style w:type="character" w:styleId="IntenseReference">
    <w:name w:val="Intense Reference"/>
    <w:basedOn w:val="DefaultParagraphFont"/>
    <w:uiPriority w:val="32"/>
    <w:rsid w:val="005027D7"/>
    <w:rPr>
      <w:b/>
      <w:bCs/>
      <w:smallCaps/>
      <w:color w:val="C0504D"/>
      <w:spacing w:val="5"/>
      <w:u w:val="single"/>
    </w:rPr>
  </w:style>
  <w:style w:type="paragraph" w:styleId="ListParagraph">
    <w:name w:val="List Paragraph"/>
    <w:basedOn w:val="Normal"/>
    <w:uiPriority w:val="34"/>
    <w:qFormat/>
    <w:rsid w:val="005027D7"/>
    <w:pPr>
      <w:ind w:left="720"/>
      <w:contextualSpacing/>
    </w:pPr>
  </w:style>
  <w:style w:type="paragraph" w:styleId="NoSpacing">
    <w:name w:val="No Spacing"/>
    <w:uiPriority w:val="1"/>
    <w:rsid w:val="005027D7"/>
    <w:pPr>
      <w:spacing w:after="120" w:line="260" w:lineRule="atLeast"/>
      <w:ind w:left="567"/>
    </w:pPr>
    <w:rPr>
      <w:rFonts w:ascii="Arial" w:hAnsi="Arial"/>
      <w:lang w:eastAsia="en-US"/>
    </w:rPr>
  </w:style>
  <w:style w:type="character" w:styleId="PlaceholderText">
    <w:name w:val="Placeholder Text"/>
    <w:basedOn w:val="DefaultParagraphFont"/>
    <w:semiHidden/>
    <w:rsid w:val="005027D7"/>
    <w:rPr>
      <w:rFonts w:cs="Times New Roman"/>
      <w:color w:val="808080"/>
    </w:rPr>
  </w:style>
  <w:style w:type="paragraph" w:customStyle="1" w:styleId="PSALevel1">
    <w:name w:val="PSALevel 1"/>
    <w:basedOn w:val="Normal"/>
    <w:rsid w:val="005027D7"/>
    <w:pPr>
      <w:keepNext/>
      <w:numPr>
        <w:numId w:val="24"/>
      </w:numPr>
      <w:spacing w:before="20" w:after="20" w:line="240" w:lineRule="auto"/>
    </w:pPr>
    <w:rPr>
      <w:rFonts w:ascii="Arial Narrow" w:hAnsi="Arial Narrow"/>
      <w:b/>
      <w:bCs/>
      <w:sz w:val="18"/>
    </w:rPr>
  </w:style>
  <w:style w:type="paragraph" w:styleId="Quote">
    <w:name w:val="Quote"/>
    <w:basedOn w:val="Normal"/>
    <w:next w:val="Normal"/>
    <w:link w:val="QuoteChar"/>
    <w:uiPriority w:val="29"/>
    <w:rsid w:val="005027D7"/>
    <w:rPr>
      <w:i/>
      <w:iCs/>
      <w:color w:val="000000"/>
    </w:rPr>
  </w:style>
  <w:style w:type="character" w:customStyle="1" w:styleId="QuoteChar">
    <w:name w:val="Quote Char"/>
    <w:basedOn w:val="DefaultParagraphFont"/>
    <w:link w:val="Quote"/>
    <w:uiPriority w:val="29"/>
    <w:rsid w:val="00FE53C5"/>
    <w:rPr>
      <w:rFonts w:ascii="Arial" w:hAnsi="Arial"/>
      <w:i/>
      <w:iCs/>
      <w:color w:val="000000"/>
      <w:lang w:eastAsia="en-US"/>
    </w:rPr>
  </w:style>
  <w:style w:type="character" w:styleId="SubtleEmphasis">
    <w:name w:val="Subtle Emphasis"/>
    <w:basedOn w:val="DefaultParagraphFont"/>
    <w:uiPriority w:val="19"/>
    <w:rsid w:val="005027D7"/>
    <w:rPr>
      <w:i/>
      <w:iCs/>
      <w:color w:val="808080"/>
    </w:rPr>
  </w:style>
  <w:style w:type="character" w:styleId="SubtleReference">
    <w:name w:val="Subtle Reference"/>
    <w:basedOn w:val="DefaultParagraphFont"/>
    <w:uiPriority w:val="31"/>
    <w:rsid w:val="005027D7"/>
    <w:rPr>
      <w:smallCaps/>
      <w:color w:val="C0504D"/>
      <w:u w:val="single"/>
    </w:rPr>
  </w:style>
  <w:style w:type="paragraph" w:customStyle="1" w:styleId="ToC40">
    <w:name w:val="_ToC4"/>
    <w:basedOn w:val="ToC20"/>
    <w:rsid w:val="005027D7"/>
    <w:pPr>
      <w:tabs>
        <w:tab w:val="left" w:pos="2268"/>
      </w:tabs>
      <w:spacing w:before="20" w:after="20"/>
      <w:ind w:left="2268" w:firstLine="0"/>
    </w:pPr>
  </w:style>
  <w:style w:type="paragraph" w:customStyle="1" w:styleId="ToC50">
    <w:name w:val="_ToC5"/>
    <w:basedOn w:val="ListAppxsFigsTables"/>
    <w:rsid w:val="005027D7"/>
  </w:style>
  <w:style w:type="character" w:customStyle="1" w:styleId="TableTextChar">
    <w:name w:val="_TableText Char"/>
    <w:basedOn w:val="DefaultParagraphFont"/>
    <w:link w:val="TableText"/>
    <w:rsid w:val="00016FA8"/>
    <w:rPr>
      <w:rFonts w:ascii="Arial" w:hAnsi="Arial"/>
      <w:sz w:val="18"/>
      <w:lang w:eastAsia="en-US"/>
    </w:rPr>
  </w:style>
  <w:style w:type="character" w:customStyle="1" w:styleId="TableHeadingChar">
    <w:name w:val="_TableHeading Char"/>
    <w:basedOn w:val="DefaultParagraphFont"/>
    <w:link w:val="TableHeading"/>
    <w:rsid w:val="00016FA8"/>
    <w:rPr>
      <w:rFonts w:ascii="Arial" w:hAnsi="Arial"/>
      <w:b/>
      <w:color w:val="495F70"/>
      <w:sz w:val="18"/>
      <w:lang w:eastAsia="en-US"/>
    </w:rPr>
  </w:style>
  <w:style w:type="paragraph" w:customStyle="1" w:styleId="style6">
    <w:name w:val="style6"/>
    <w:basedOn w:val="Normal"/>
    <w:rsid w:val="008A1316"/>
    <w:pPr>
      <w:spacing w:before="100" w:beforeAutospacing="1" w:after="100" w:afterAutospacing="1" w:line="240" w:lineRule="auto"/>
      <w:ind w:left="0"/>
    </w:pPr>
    <w:rPr>
      <w:rFonts w:cs="Arial"/>
      <w:sz w:val="26"/>
      <w:szCs w:val="26"/>
      <w:lang w:eastAsia="en-AU"/>
    </w:rPr>
  </w:style>
  <w:style w:type="character" w:customStyle="1" w:styleId="Heading1Char">
    <w:name w:val="Heading 1 Char"/>
    <w:basedOn w:val="DefaultParagraphFont"/>
    <w:link w:val="Heading10"/>
    <w:uiPriority w:val="9"/>
    <w:rsid w:val="00EC71AB"/>
    <w:rPr>
      <w:rFonts w:ascii="Arial Narrow" w:hAnsi="Arial Narrow"/>
      <w:kern w:val="28"/>
      <w:sz w:val="40"/>
      <w:lang w:eastAsia="en-US"/>
    </w:rPr>
  </w:style>
  <w:style w:type="character" w:customStyle="1" w:styleId="Heading2Char">
    <w:name w:val="Heading 2 Char"/>
    <w:basedOn w:val="DefaultParagraphFont"/>
    <w:link w:val="Heading20"/>
    <w:uiPriority w:val="9"/>
    <w:rsid w:val="00EC71AB"/>
    <w:rPr>
      <w:rFonts w:ascii="Arial Narrow" w:hAnsi="Arial Narrow"/>
      <w:sz w:val="36"/>
      <w:lang w:eastAsia="en-US"/>
    </w:rPr>
  </w:style>
  <w:style w:type="paragraph" w:customStyle="1" w:styleId="Default">
    <w:name w:val="Default"/>
    <w:rsid w:val="00E10083"/>
    <w:pPr>
      <w:autoSpaceDE w:val="0"/>
      <w:autoSpaceDN w:val="0"/>
      <w:adjustRightInd w:val="0"/>
    </w:pPr>
    <w:rPr>
      <w:rFonts w:ascii="Arial" w:hAnsi="Arial" w:cs="Arial"/>
      <w:color w:val="000000"/>
      <w:sz w:val="24"/>
      <w:szCs w:val="24"/>
    </w:rPr>
  </w:style>
  <w:style w:type="character" w:customStyle="1" w:styleId="Heading2Char0">
    <w:name w:val="_Heading2 Char"/>
    <w:basedOn w:val="DefaultParagraphFont"/>
    <w:link w:val="Heading2"/>
    <w:rsid w:val="0064400C"/>
    <w:rPr>
      <w:rFonts w:ascii="Arial" w:hAnsi="Arial" w:cs="Arial"/>
      <w:color w:val="495F70"/>
      <w:sz w:val="32"/>
      <w:lang w:eastAsia="en-US"/>
    </w:rPr>
  </w:style>
  <w:style w:type="paragraph" w:customStyle="1" w:styleId="Paragraph">
    <w:name w:val="Paragraph"/>
    <w:basedOn w:val="Sectiontext"/>
    <w:uiPriority w:val="99"/>
    <w:rsid w:val="00FC1D0C"/>
    <w:pPr>
      <w:ind w:left="1667" w:hanging="567"/>
    </w:pPr>
  </w:style>
  <w:style w:type="paragraph" w:customStyle="1" w:styleId="Sectiontext">
    <w:name w:val="Section text"/>
    <w:basedOn w:val="Normal"/>
    <w:uiPriority w:val="99"/>
    <w:rsid w:val="00FC1D0C"/>
    <w:pPr>
      <w:widowControl w:val="0"/>
      <w:spacing w:after="240" w:line="240" w:lineRule="auto"/>
      <w:ind w:left="1100"/>
      <w:jc w:val="both"/>
    </w:pPr>
    <w:rPr>
      <w:rFonts w:ascii="Helvetica" w:eastAsiaTheme="minorEastAsia" w:hAnsi="Helvetica" w:cs="Helvetica"/>
      <w:sz w:val="24"/>
      <w:szCs w:val="24"/>
      <w:lang w:eastAsia="en-AU"/>
    </w:rPr>
  </w:style>
  <w:style w:type="paragraph" w:customStyle="1" w:styleId="SectionHeading">
    <w:name w:val="Section Heading"/>
    <w:basedOn w:val="Normal"/>
    <w:next w:val="Sectiontext"/>
    <w:uiPriority w:val="99"/>
    <w:rsid w:val="00FC1D0C"/>
    <w:pPr>
      <w:keepNext/>
      <w:keepLines/>
      <w:widowControl w:val="0"/>
      <w:numPr>
        <w:numId w:val="33"/>
      </w:numPr>
      <w:tabs>
        <w:tab w:val="clear" w:pos="0"/>
        <w:tab w:val="left" w:pos="1100"/>
      </w:tabs>
      <w:spacing w:after="240" w:line="240" w:lineRule="auto"/>
      <w:ind w:left="1100" w:hanging="1100"/>
      <w:outlineLvl w:val="4"/>
    </w:pPr>
    <w:rPr>
      <w:rFonts w:ascii="Helvetica" w:eastAsiaTheme="minorEastAsia" w:hAnsi="Helvetica" w:cs="Helvetica"/>
      <w:b/>
      <w:bCs/>
      <w:sz w:val="24"/>
      <w:szCs w:val="24"/>
      <w:lang w:eastAsia="en-AU"/>
    </w:rPr>
  </w:style>
  <w:style w:type="paragraph" w:customStyle="1" w:styleId="Subsection">
    <w:name w:val="Subsection"/>
    <w:basedOn w:val="Sectiontext"/>
    <w:uiPriority w:val="99"/>
    <w:rsid w:val="00FC1D0C"/>
    <w:pPr>
      <w:tabs>
        <w:tab w:val="right" w:pos="902"/>
      </w:tabs>
      <w:ind w:hanging="1100"/>
    </w:pPr>
  </w:style>
  <w:style w:type="paragraph" w:customStyle="1" w:styleId="NewSectionHeading">
    <w:name w:val="New Section Heading"/>
    <w:basedOn w:val="Normal"/>
    <w:next w:val="Sectiontext"/>
    <w:uiPriority w:val="99"/>
    <w:rsid w:val="00F11D56"/>
    <w:pPr>
      <w:keepNext/>
      <w:keepLines/>
      <w:widowControl w:val="0"/>
      <w:spacing w:after="240" w:line="240" w:lineRule="auto"/>
      <w:ind w:left="1100" w:hanging="1100"/>
      <w:outlineLvl w:val="4"/>
    </w:pPr>
    <w:rPr>
      <w:rFonts w:ascii="Helvetica" w:hAnsi="Helvetica" w:cs="Helvetica"/>
      <w:b/>
      <w:bCs/>
      <w:sz w:val="24"/>
      <w:szCs w:val="24"/>
      <w:lang w:eastAsia="en-AU"/>
    </w:rPr>
  </w:style>
  <w:style w:type="paragraph" w:customStyle="1" w:styleId="Subpara">
    <w:name w:val="Subpara"/>
    <w:basedOn w:val="Paragraph"/>
    <w:uiPriority w:val="99"/>
    <w:rsid w:val="00F11D56"/>
    <w:pPr>
      <w:ind w:left="2268"/>
    </w:pPr>
    <w:rPr>
      <w:rFonts w:eastAsia="Times New Roman"/>
    </w:rPr>
  </w:style>
  <w:style w:type="character" w:customStyle="1" w:styleId="style11">
    <w:name w:val="style11"/>
    <w:basedOn w:val="DefaultParagraphFont"/>
    <w:rsid w:val="00CA0E41"/>
    <w:rPr>
      <w:color w:val="FF0000"/>
    </w:rPr>
  </w:style>
  <w:style w:type="character" w:customStyle="1" w:styleId="external">
    <w:name w:val="external"/>
    <w:basedOn w:val="DefaultParagraphFont"/>
    <w:rsid w:val="00495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Default Paragraph Font" w:uiPriority="1"/>
    <w:lsdException w:name="Hyperlink" w:uiPriority="99"/>
    <w:lsdException w:name="Strong" w:uiPriority="22" w:qFormat="1"/>
    <w:lsdException w:name="Emphasis" w:uiPriority="20" w:qFormat="1"/>
    <w:lsdException w:name="Normal (Web)" w:uiPriority="99"/>
    <w:lsdException w:name="HTML Acronym" w:uiPriority="99"/>
    <w:lsdException w:name="HTML Cite" w:uiPriority="99"/>
    <w:lsdException w:name="No List" w:uiPriority="9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27D7"/>
    <w:pPr>
      <w:spacing w:after="180" w:line="260" w:lineRule="atLeast"/>
      <w:ind w:left="567"/>
    </w:pPr>
    <w:rPr>
      <w:rFonts w:ascii="Arial" w:hAnsi="Arial"/>
      <w:lang w:eastAsia="en-US"/>
    </w:rPr>
  </w:style>
  <w:style w:type="paragraph" w:styleId="Heading10">
    <w:name w:val="heading 1"/>
    <w:basedOn w:val="Normal"/>
    <w:next w:val="BodyText"/>
    <w:link w:val="Heading1Char"/>
    <w:uiPriority w:val="9"/>
    <w:qFormat/>
    <w:rsid w:val="005027D7"/>
    <w:pPr>
      <w:keepNext/>
      <w:pBdr>
        <w:bottom w:val="single" w:sz="4" w:space="1" w:color="auto"/>
      </w:pBdr>
      <w:tabs>
        <w:tab w:val="left" w:pos="1134"/>
      </w:tabs>
      <w:outlineLvl w:val="0"/>
    </w:pPr>
    <w:rPr>
      <w:rFonts w:ascii="Arial Narrow" w:hAnsi="Arial Narrow"/>
      <w:kern w:val="28"/>
      <w:sz w:val="40"/>
    </w:rPr>
  </w:style>
  <w:style w:type="paragraph" w:styleId="Heading20">
    <w:name w:val="heading 2"/>
    <w:basedOn w:val="Normal"/>
    <w:next w:val="BodyText"/>
    <w:link w:val="Heading2Char"/>
    <w:uiPriority w:val="9"/>
    <w:qFormat/>
    <w:rsid w:val="005027D7"/>
    <w:pPr>
      <w:keepNext/>
      <w:spacing w:before="240" w:after="120"/>
      <w:outlineLvl w:val="1"/>
    </w:pPr>
    <w:rPr>
      <w:rFonts w:ascii="Arial Narrow" w:hAnsi="Arial Narrow"/>
      <w:sz w:val="36"/>
    </w:rPr>
  </w:style>
  <w:style w:type="paragraph" w:styleId="Heading30">
    <w:name w:val="heading 3"/>
    <w:basedOn w:val="Normal"/>
    <w:next w:val="BodyText"/>
    <w:rsid w:val="005027D7"/>
    <w:pPr>
      <w:keepNext/>
      <w:spacing w:before="240" w:after="120"/>
      <w:outlineLvl w:val="2"/>
    </w:pPr>
    <w:rPr>
      <w:rFonts w:ascii="Arial Narrow" w:hAnsi="Arial Narrow"/>
      <w:sz w:val="32"/>
    </w:rPr>
  </w:style>
  <w:style w:type="paragraph" w:styleId="Heading4">
    <w:name w:val="heading 4"/>
    <w:basedOn w:val="Normal"/>
    <w:next w:val="BodyText"/>
    <w:rsid w:val="005027D7"/>
    <w:pPr>
      <w:keepNext/>
      <w:tabs>
        <w:tab w:val="left" w:pos="1134"/>
      </w:tabs>
      <w:spacing w:before="120" w:after="120"/>
      <w:ind w:left="1134"/>
      <w:outlineLvl w:val="3"/>
    </w:pPr>
    <w:rPr>
      <w:rFonts w:ascii="Arial Narrow" w:hAnsi="Arial Narrow"/>
      <w:sz w:val="32"/>
    </w:rPr>
  </w:style>
  <w:style w:type="paragraph" w:styleId="Heading5">
    <w:name w:val="heading 5"/>
    <w:basedOn w:val="Normal"/>
    <w:next w:val="Normal"/>
    <w:qFormat/>
    <w:rsid w:val="005027D7"/>
    <w:pPr>
      <w:numPr>
        <w:ilvl w:val="4"/>
        <w:numId w:val="12"/>
      </w:numPr>
      <w:spacing w:before="240" w:after="60"/>
      <w:outlineLvl w:val="4"/>
    </w:pPr>
    <w:rPr>
      <w:b/>
      <w:bCs/>
      <w:i/>
      <w:iCs/>
      <w:sz w:val="26"/>
      <w:szCs w:val="26"/>
    </w:rPr>
  </w:style>
  <w:style w:type="paragraph" w:styleId="Heading6">
    <w:name w:val="heading 6"/>
    <w:basedOn w:val="Normal"/>
    <w:next w:val="Normal"/>
    <w:qFormat/>
    <w:rsid w:val="005027D7"/>
    <w:pPr>
      <w:numPr>
        <w:ilvl w:val="5"/>
        <w:numId w:val="12"/>
      </w:numPr>
      <w:spacing w:before="240" w:after="60"/>
      <w:outlineLvl w:val="5"/>
    </w:pPr>
    <w:rPr>
      <w:b/>
      <w:bCs/>
      <w:sz w:val="22"/>
      <w:szCs w:val="22"/>
    </w:rPr>
  </w:style>
  <w:style w:type="paragraph" w:styleId="Heading7">
    <w:name w:val="heading 7"/>
    <w:basedOn w:val="Normal"/>
    <w:next w:val="Normal"/>
    <w:qFormat/>
    <w:rsid w:val="005027D7"/>
    <w:pPr>
      <w:numPr>
        <w:ilvl w:val="6"/>
        <w:numId w:val="12"/>
      </w:numPr>
      <w:spacing w:before="240" w:after="60"/>
      <w:outlineLvl w:val="6"/>
    </w:pPr>
  </w:style>
  <w:style w:type="paragraph" w:styleId="Heading8">
    <w:name w:val="heading 8"/>
    <w:basedOn w:val="Normal"/>
    <w:next w:val="Normal"/>
    <w:qFormat/>
    <w:rsid w:val="005027D7"/>
    <w:pPr>
      <w:numPr>
        <w:ilvl w:val="7"/>
        <w:numId w:val="12"/>
      </w:numPr>
      <w:spacing w:before="240" w:after="60"/>
      <w:outlineLvl w:val="7"/>
    </w:pPr>
    <w:rPr>
      <w:i/>
      <w:iCs/>
    </w:rPr>
  </w:style>
  <w:style w:type="paragraph" w:styleId="Heading9">
    <w:name w:val="heading 9"/>
    <w:basedOn w:val="Normal"/>
    <w:next w:val="Normal"/>
    <w:qFormat/>
    <w:rsid w:val="005027D7"/>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027D7"/>
    <w:pPr>
      <w:numPr>
        <w:numId w:val="7"/>
      </w:numPr>
    </w:pPr>
  </w:style>
  <w:style w:type="numbering" w:styleId="1ai">
    <w:name w:val="Outline List 1"/>
    <w:basedOn w:val="NoList"/>
    <w:rsid w:val="005027D7"/>
    <w:pPr>
      <w:numPr>
        <w:numId w:val="8"/>
      </w:numPr>
    </w:pPr>
  </w:style>
  <w:style w:type="numbering" w:styleId="ArticleSection">
    <w:name w:val="Outline List 3"/>
    <w:basedOn w:val="NoList"/>
    <w:rsid w:val="005027D7"/>
    <w:pPr>
      <w:numPr>
        <w:numId w:val="10"/>
      </w:numPr>
    </w:pPr>
  </w:style>
  <w:style w:type="paragraph" w:styleId="BlockText">
    <w:name w:val="Block Text"/>
    <w:basedOn w:val="Normal"/>
    <w:rsid w:val="005027D7"/>
    <w:pPr>
      <w:spacing w:after="120"/>
      <w:ind w:left="1440" w:right="1440"/>
    </w:pPr>
  </w:style>
  <w:style w:type="paragraph" w:styleId="BodyText">
    <w:name w:val="Body Text"/>
    <w:basedOn w:val="Normal"/>
    <w:rsid w:val="005027D7"/>
    <w:pPr>
      <w:spacing w:after="120"/>
    </w:pPr>
  </w:style>
  <w:style w:type="paragraph" w:styleId="BodyText2">
    <w:name w:val="Body Text 2"/>
    <w:basedOn w:val="Normal"/>
    <w:rsid w:val="005027D7"/>
    <w:pPr>
      <w:spacing w:after="120" w:line="480" w:lineRule="auto"/>
    </w:pPr>
  </w:style>
  <w:style w:type="paragraph" w:styleId="BodyText3">
    <w:name w:val="Body Text 3"/>
    <w:basedOn w:val="Normal"/>
    <w:rsid w:val="005027D7"/>
    <w:pPr>
      <w:spacing w:after="120"/>
    </w:pPr>
    <w:rPr>
      <w:sz w:val="16"/>
      <w:szCs w:val="16"/>
    </w:rPr>
  </w:style>
  <w:style w:type="paragraph" w:styleId="BodyTextFirstIndent">
    <w:name w:val="Body Text First Indent"/>
    <w:basedOn w:val="BodyText"/>
    <w:rsid w:val="005027D7"/>
    <w:pPr>
      <w:ind w:firstLine="210"/>
    </w:pPr>
  </w:style>
  <w:style w:type="paragraph" w:styleId="BodyTextIndent">
    <w:name w:val="Body Text Indent"/>
    <w:basedOn w:val="Normal"/>
    <w:rsid w:val="005027D7"/>
    <w:pPr>
      <w:spacing w:after="120"/>
      <w:ind w:left="283"/>
    </w:pPr>
  </w:style>
  <w:style w:type="paragraph" w:styleId="BodyTextFirstIndent2">
    <w:name w:val="Body Text First Indent 2"/>
    <w:basedOn w:val="BodyTextIndent"/>
    <w:rsid w:val="005027D7"/>
    <w:pPr>
      <w:ind w:firstLine="210"/>
    </w:pPr>
  </w:style>
  <w:style w:type="paragraph" w:styleId="BodyTextIndent2">
    <w:name w:val="Body Text Indent 2"/>
    <w:basedOn w:val="Normal"/>
    <w:rsid w:val="005027D7"/>
    <w:pPr>
      <w:spacing w:after="120" w:line="480" w:lineRule="auto"/>
      <w:ind w:left="283"/>
    </w:pPr>
  </w:style>
  <w:style w:type="paragraph" w:styleId="BodyTextIndent3">
    <w:name w:val="Body Text Indent 3"/>
    <w:basedOn w:val="Normal"/>
    <w:rsid w:val="005027D7"/>
    <w:pPr>
      <w:spacing w:after="120"/>
      <w:ind w:left="283"/>
    </w:pPr>
    <w:rPr>
      <w:sz w:val="16"/>
      <w:szCs w:val="16"/>
    </w:rPr>
  </w:style>
  <w:style w:type="paragraph" w:styleId="Closing">
    <w:name w:val="Closing"/>
    <w:basedOn w:val="Normal"/>
    <w:rsid w:val="005027D7"/>
    <w:pPr>
      <w:ind w:left="4252"/>
    </w:pPr>
  </w:style>
  <w:style w:type="paragraph" w:styleId="Date">
    <w:name w:val="Date"/>
    <w:basedOn w:val="Normal"/>
    <w:next w:val="Normal"/>
    <w:rsid w:val="005027D7"/>
  </w:style>
  <w:style w:type="paragraph" w:styleId="E-mailSignature">
    <w:name w:val="E-mail Signature"/>
    <w:basedOn w:val="Normal"/>
    <w:rsid w:val="005027D7"/>
  </w:style>
  <w:style w:type="character" w:styleId="Emphasis">
    <w:name w:val="Emphasis"/>
    <w:basedOn w:val="DefaultParagraphFont"/>
    <w:uiPriority w:val="20"/>
    <w:qFormat/>
    <w:rsid w:val="005027D7"/>
    <w:rPr>
      <w:i/>
      <w:iCs/>
    </w:rPr>
  </w:style>
  <w:style w:type="paragraph" w:styleId="EnvelopeAddress">
    <w:name w:val="envelope address"/>
    <w:basedOn w:val="Normal"/>
    <w:rsid w:val="005027D7"/>
    <w:pPr>
      <w:framePr w:w="7920" w:h="1980" w:hRule="exact" w:hSpace="180" w:wrap="auto" w:hAnchor="page" w:xAlign="center" w:yAlign="bottom"/>
      <w:ind w:left="2880"/>
    </w:pPr>
    <w:rPr>
      <w:rFonts w:cs="Arial"/>
    </w:rPr>
  </w:style>
  <w:style w:type="paragraph" w:styleId="EnvelopeReturn">
    <w:name w:val="envelope return"/>
    <w:basedOn w:val="Normal"/>
    <w:rsid w:val="005027D7"/>
    <w:rPr>
      <w:rFonts w:cs="Arial"/>
    </w:rPr>
  </w:style>
  <w:style w:type="character" w:styleId="FollowedHyperlink">
    <w:name w:val="FollowedHyperlink"/>
    <w:basedOn w:val="DefaultParagraphFont"/>
    <w:rsid w:val="005027D7"/>
    <w:rPr>
      <w:color w:val="800080"/>
      <w:u w:val="single"/>
    </w:rPr>
  </w:style>
  <w:style w:type="paragraph" w:styleId="Footer">
    <w:name w:val="footer"/>
    <w:basedOn w:val="Normal"/>
    <w:rsid w:val="005027D7"/>
    <w:pPr>
      <w:tabs>
        <w:tab w:val="center" w:pos="4320"/>
        <w:tab w:val="right" w:pos="8640"/>
      </w:tabs>
    </w:pPr>
  </w:style>
  <w:style w:type="paragraph" w:styleId="Header">
    <w:name w:val="header"/>
    <w:basedOn w:val="Normal"/>
    <w:rsid w:val="005027D7"/>
    <w:pPr>
      <w:tabs>
        <w:tab w:val="center" w:pos="4320"/>
        <w:tab w:val="right" w:pos="8640"/>
      </w:tabs>
    </w:pPr>
  </w:style>
  <w:style w:type="character" w:styleId="HTMLAcronym">
    <w:name w:val="HTML Acronym"/>
    <w:basedOn w:val="DefaultParagraphFont"/>
    <w:uiPriority w:val="99"/>
    <w:rsid w:val="005027D7"/>
  </w:style>
  <w:style w:type="paragraph" w:styleId="HTMLAddress">
    <w:name w:val="HTML Address"/>
    <w:basedOn w:val="Normal"/>
    <w:rsid w:val="005027D7"/>
    <w:rPr>
      <w:i/>
      <w:iCs/>
    </w:rPr>
  </w:style>
  <w:style w:type="character" w:styleId="HTMLCite">
    <w:name w:val="HTML Cite"/>
    <w:basedOn w:val="DefaultParagraphFont"/>
    <w:uiPriority w:val="99"/>
    <w:rsid w:val="005027D7"/>
    <w:rPr>
      <w:i/>
      <w:iCs/>
    </w:rPr>
  </w:style>
  <w:style w:type="character" w:styleId="HTMLCode">
    <w:name w:val="HTML Code"/>
    <w:basedOn w:val="DefaultParagraphFont"/>
    <w:rsid w:val="005027D7"/>
    <w:rPr>
      <w:rFonts w:ascii="Courier New" w:hAnsi="Courier New" w:cs="Courier New"/>
      <w:sz w:val="20"/>
      <w:szCs w:val="20"/>
    </w:rPr>
  </w:style>
  <w:style w:type="character" w:styleId="HTMLDefinition">
    <w:name w:val="HTML Definition"/>
    <w:basedOn w:val="DefaultParagraphFont"/>
    <w:rsid w:val="005027D7"/>
    <w:rPr>
      <w:i/>
      <w:iCs/>
    </w:rPr>
  </w:style>
  <w:style w:type="character" w:styleId="HTMLKeyboard">
    <w:name w:val="HTML Keyboard"/>
    <w:basedOn w:val="DefaultParagraphFont"/>
    <w:rsid w:val="005027D7"/>
    <w:rPr>
      <w:rFonts w:ascii="Courier New" w:hAnsi="Courier New" w:cs="Courier New"/>
      <w:sz w:val="20"/>
      <w:szCs w:val="20"/>
    </w:rPr>
  </w:style>
  <w:style w:type="paragraph" w:styleId="HTMLPreformatted">
    <w:name w:val="HTML Preformatted"/>
    <w:basedOn w:val="Normal"/>
    <w:rsid w:val="005027D7"/>
    <w:rPr>
      <w:rFonts w:ascii="Courier New" w:hAnsi="Courier New" w:cs="Courier New"/>
    </w:rPr>
  </w:style>
  <w:style w:type="character" w:styleId="HTMLSample">
    <w:name w:val="HTML Sample"/>
    <w:basedOn w:val="DefaultParagraphFont"/>
    <w:rsid w:val="005027D7"/>
    <w:rPr>
      <w:rFonts w:ascii="Courier New" w:hAnsi="Courier New" w:cs="Courier New"/>
    </w:rPr>
  </w:style>
  <w:style w:type="character" w:styleId="HTMLTypewriter">
    <w:name w:val="HTML Typewriter"/>
    <w:basedOn w:val="DefaultParagraphFont"/>
    <w:rsid w:val="005027D7"/>
    <w:rPr>
      <w:rFonts w:ascii="Courier New" w:hAnsi="Courier New" w:cs="Courier New"/>
      <w:sz w:val="20"/>
      <w:szCs w:val="20"/>
    </w:rPr>
  </w:style>
  <w:style w:type="character" w:styleId="HTMLVariable">
    <w:name w:val="HTML Variable"/>
    <w:basedOn w:val="DefaultParagraphFont"/>
    <w:rsid w:val="005027D7"/>
    <w:rPr>
      <w:i/>
      <w:iCs/>
    </w:rPr>
  </w:style>
  <w:style w:type="character" w:styleId="Hyperlink">
    <w:name w:val="Hyperlink"/>
    <w:basedOn w:val="DefaultParagraphFont"/>
    <w:uiPriority w:val="99"/>
    <w:rsid w:val="005027D7"/>
    <w:rPr>
      <w:color w:val="0000FF"/>
      <w:u w:val="single"/>
    </w:rPr>
  </w:style>
  <w:style w:type="character" w:styleId="LineNumber">
    <w:name w:val="line number"/>
    <w:basedOn w:val="DefaultParagraphFont"/>
    <w:rsid w:val="005027D7"/>
  </w:style>
  <w:style w:type="paragraph" w:styleId="List">
    <w:name w:val="List"/>
    <w:basedOn w:val="Normal"/>
    <w:rsid w:val="005027D7"/>
    <w:pPr>
      <w:ind w:left="283" w:hanging="283"/>
    </w:pPr>
  </w:style>
  <w:style w:type="paragraph" w:styleId="List2">
    <w:name w:val="List 2"/>
    <w:basedOn w:val="Normal"/>
    <w:rsid w:val="005027D7"/>
    <w:pPr>
      <w:ind w:left="566" w:hanging="283"/>
    </w:pPr>
  </w:style>
  <w:style w:type="paragraph" w:styleId="List3">
    <w:name w:val="List 3"/>
    <w:basedOn w:val="Normal"/>
    <w:rsid w:val="005027D7"/>
    <w:pPr>
      <w:ind w:left="849" w:hanging="283"/>
    </w:pPr>
  </w:style>
  <w:style w:type="paragraph" w:styleId="List4">
    <w:name w:val="List 4"/>
    <w:basedOn w:val="Normal"/>
    <w:rsid w:val="005027D7"/>
    <w:pPr>
      <w:ind w:left="1132" w:hanging="283"/>
    </w:pPr>
  </w:style>
  <w:style w:type="paragraph" w:styleId="List5">
    <w:name w:val="List 5"/>
    <w:basedOn w:val="Normal"/>
    <w:rsid w:val="005027D7"/>
    <w:pPr>
      <w:ind w:left="1415" w:hanging="283"/>
    </w:pPr>
  </w:style>
  <w:style w:type="paragraph" w:styleId="ListBullet">
    <w:name w:val="List Bullet"/>
    <w:basedOn w:val="Normal"/>
    <w:rsid w:val="005027D7"/>
    <w:pPr>
      <w:numPr>
        <w:numId w:val="13"/>
      </w:numPr>
    </w:pPr>
  </w:style>
  <w:style w:type="paragraph" w:styleId="ListBullet2">
    <w:name w:val="List Bullet 2"/>
    <w:basedOn w:val="Normal"/>
    <w:rsid w:val="005027D7"/>
    <w:pPr>
      <w:numPr>
        <w:numId w:val="14"/>
      </w:numPr>
    </w:pPr>
  </w:style>
  <w:style w:type="paragraph" w:styleId="ListBullet3">
    <w:name w:val="List Bullet 3"/>
    <w:basedOn w:val="Normal"/>
    <w:rsid w:val="005027D7"/>
    <w:pPr>
      <w:numPr>
        <w:numId w:val="15"/>
      </w:numPr>
    </w:pPr>
  </w:style>
  <w:style w:type="paragraph" w:styleId="ListBullet4">
    <w:name w:val="List Bullet 4"/>
    <w:basedOn w:val="Normal"/>
    <w:rsid w:val="005027D7"/>
    <w:pPr>
      <w:numPr>
        <w:numId w:val="16"/>
      </w:numPr>
    </w:pPr>
  </w:style>
  <w:style w:type="paragraph" w:styleId="ListBullet5">
    <w:name w:val="List Bullet 5"/>
    <w:basedOn w:val="Normal"/>
    <w:rsid w:val="005027D7"/>
    <w:pPr>
      <w:numPr>
        <w:numId w:val="17"/>
      </w:numPr>
    </w:pPr>
  </w:style>
  <w:style w:type="paragraph" w:styleId="ListContinue">
    <w:name w:val="List Continue"/>
    <w:basedOn w:val="Normal"/>
    <w:rsid w:val="005027D7"/>
    <w:pPr>
      <w:spacing w:after="120"/>
      <w:ind w:left="283"/>
    </w:pPr>
  </w:style>
  <w:style w:type="paragraph" w:styleId="ListContinue2">
    <w:name w:val="List Continue 2"/>
    <w:basedOn w:val="Normal"/>
    <w:rsid w:val="005027D7"/>
    <w:pPr>
      <w:spacing w:after="120"/>
      <w:ind w:left="566"/>
    </w:pPr>
  </w:style>
  <w:style w:type="paragraph" w:styleId="ListContinue3">
    <w:name w:val="List Continue 3"/>
    <w:basedOn w:val="Normal"/>
    <w:rsid w:val="005027D7"/>
    <w:pPr>
      <w:spacing w:after="120"/>
      <w:ind w:left="849"/>
    </w:pPr>
  </w:style>
  <w:style w:type="paragraph" w:styleId="ListContinue4">
    <w:name w:val="List Continue 4"/>
    <w:basedOn w:val="Normal"/>
    <w:rsid w:val="005027D7"/>
    <w:pPr>
      <w:spacing w:after="120"/>
      <w:ind w:left="1132"/>
    </w:pPr>
  </w:style>
  <w:style w:type="paragraph" w:styleId="ListContinue5">
    <w:name w:val="List Continue 5"/>
    <w:basedOn w:val="Normal"/>
    <w:rsid w:val="005027D7"/>
    <w:pPr>
      <w:spacing w:after="120"/>
      <w:ind w:left="1415"/>
    </w:pPr>
  </w:style>
  <w:style w:type="paragraph" w:styleId="ListNumber">
    <w:name w:val="List Number"/>
    <w:basedOn w:val="Normal"/>
    <w:rsid w:val="005027D7"/>
    <w:pPr>
      <w:numPr>
        <w:numId w:val="18"/>
      </w:numPr>
    </w:pPr>
  </w:style>
  <w:style w:type="paragraph" w:styleId="ListNumber2">
    <w:name w:val="List Number 2"/>
    <w:basedOn w:val="Normal"/>
    <w:rsid w:val="005027D7"/>
    <w:pPr>
      <w:numPr>
        <w:numId w:val="19"/>
      </w:numPr>
    </w:pPr>
  </w:style>
  <w:style w:type="paragraph" w:styleId="ListNumber3">
    <w:name w:val="List Number 3"/>
    <w:basedOn w:val="Normal"/>
    <w:rsid w:val="005027D7"/>
    <w:pPr>
      <w:numPr>
        <w:numId w:val="20"/>
      </w:numPr>
    </w:pPr>
  </w:style>
  <w:style w:type="paragraph" w:styleId="ListNumber4">
    <w:name w:val="List Number 4"/>
    <w:basedOn w:val="Normal"/>
    <w:rsid w:val="005027D7"/>
    <w:pPr>
      <w:numPr>
        <w:numId w:val="21"/>
      </w:numPr>
    </w:pPr>
  </w:style>
  <w:style w:type="paragraph" w:styleId="ListNumber5">
    <w:name w:val="List Number 5"/>
    <w:basedOn w:val="Normal"/>
    <w:rsid w:val="005027D7"/>
    <w:pPr>
      <w:numPr>
        <w:numId w:val="22"/>
      </w:numPr>
    </w:pPr>
  </w:style>
  <w:style w:type="paragraph" w:styleId="MessageHeader">
    <w:name w:val="Message Header"/>
    <w:basedOn w:val="Normal"/>
    <w:rsid w:val="005027D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rsid w:val="005027D7"/>
  </w:style>
  <w:style w:type="paragraph" w:styleId="NormalIndent">
    <w:name w:val="Normal Indent"/>
    <w:basedOn w:val="Normal"/>
    <w:rsid w:val="005027D7"/>
    <w:pPr>
      <w:ind w:left="720"/>
    </w:pPr>
  </w:style>
  <w:style w:type="paragraph" w:styleId="NoteHeading">
    <w:name w:val="Note Heading"/>
    <w:basedOn w:val="Normal"/>
    <w:next w:val="Normal"/>
    <w:rsid w:val="005027D7"/>
  </w:style>
  <w:style w:type="character" w:styleId="PageNumber">
    <w:name w:val="page number"/>
    <w:basedOn w:val="DefaultParagraphFont"/>
    <w:rsid w:val="005027D7"/>
  </w:style>
  <w:style w:type="paragraph" w:styleId="PlainText">
    <w:name w:val="Plain Text"/>
    <w:basedOn w:val="Normal"/>
    <w:rsid w:val="005027D7"/>
    <w:rPr>
      <w:rFonts w:ascii="Courier New" w:hAnsi="Courier New" w:cs="Courier New"/>
    </w:rPr>
  </w:style>
  <w:style w:type="paragraph" w:styleId="Salutation">
    <w:name w:val="Salutation"/>
    <w:basedOn w:val="Normal"/>
    <w:next w:val="Normal"/>
    <w:rsid w:val="005027D7"/>
  </w:style>
  <w:style w:type="paragraph" w:styleId="Signature">
    <w:name w:val="Signature"/>
    <w:basedOn w:val="Normal"/>
    <w:rsid w:val="005027D7"/>
    <w:pPr>
      <w:ind w:left="4252"/>
    </w:pPr>
  </w:style>
  <w:style w:type="character" w:styleId="Strong">
    <w:name w:val="Strong"/>
    <w:basedOn w:val="DefaultParagraphFont"/>
    <w:uiPriority w:val="22"/>
    <w:qFormat/>
    <w:rsid w:val="005027D7"/>
    <w:rPr>
      <w:b/>
      <w:bCs/>
    </w:rPr>
  </w:style>
  <w:style w:type="paragraph" w:styleId="Subtitle">
    <w:name w:val="Subtitle"/>
    <w:basedOn w:val="Normal"/>
    <w:rsid w:val="005027D7"/>
    <w:pPr>
      <w:spacing w:after="60"/>
      <w:jc w:val="center"/>
      <w:outlineLvl w:val="1"/>
    </w:pPr>
    <w:rPr>
      <w:rFonts w:cs="Arial"/>
    </w:rPr>
  </w:style>
  <w:style w:type="table" w:styleId="Table3Deffects1">
    <w:name w:val="Table 3D effects 1"/>
    <w:basedOn w:val="TableNormal"/>
    <w:rsid w:val="005027D7"/>
    <w:pPr>
      <w:spacing w:after="120" w:line="260" w:lineRule="atLeast"/>
      <w:ind w:left="567"/>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027D7"/>
    <w:pPr>
      <w:spacing w:after="120" w:line="260" w:lineRule="atLeast"/>
      <w:ind w:left="567"/>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027D7"/>
    <w:pPr>
      <w:spacing w:after="120" w:line="260" w:lineRule="atLeast"/>
      <w:ind w:left="567"/>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027D7"/>
    <w:pPr>
      <w:spacing w:after="120" w:line="260" w:lineRule="atLeast"/>
      <w:ind w:left="567"/>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027D7"/>
    <w:pPr>
      <w:spacing w:after="120" w:line="260" w:lineRule="atLeast"/>
      <w:ind w:left="567"/>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027D7"/>
    <w:pPr>
      <w:spacing w:after="120" w:line="260" w:lineRule="atLeast"/>
      <w:ind w:left="567"/>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027D7"/>
    <w:pPr>
      <w:spacing w:after="120" w:line="260" w:lineRule="atLeast"/>
      <w:ind w:left="567"/>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027D7"/>
    <w:pPr>
      <w:spacing w:after="120" w:line="260" w:lineRule="atLeast"/>
      <w:ind w:left="567"/>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027D7"/>
    <w:pPr>
      <w:spacing w:after="120" w:line="260" w:lineRule="atLeast"/>
      <w:ind w:left="567"/>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027D7"/>
    <w:pPr>
      <w:spacing w:after="120" w:line="260" w:lineRule="atLeast"/>
      <w:ind w:left="567"/>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027D7"/>
    <w:pPr>
      <w:spacing w:after="120" w:line="260" w:lineRule="atLeast"/>
      <w:ind w:left="567"/>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027D7"/>
    <w:pPr>
      <w:spacing w:after="120" w:line="260" w:lineRule="atLeast"/>
      <w:ind w:left="567"/>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027D7"/>
    <w:pPr>
      <w:spacing w:after="120" w:line="260" w:lineRule="atLeast"/>
      <w:ind w:left="567"/>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027D7"/>
    <w:pPr>
      <w:spacing w:after="120" w:line="260" w:lineRule="atLeast"/>
      <w:ind w:left="567"/>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027D7"/>
    <w:pPr>
      <w:spacing w:after="120" w:line="260" w:lineRule="atLeast"/>
      <w:ind w:left="567"/>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027D7"/>
    <w:pPr>
      <w:spacing w:after="120" w:line="260" w:lineRule="atLeast"/>
      <w:ind w:left="567"/>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027D7"/>
    <w:pPr>
      <w:spacing w:after="120" w:line="260" w:lineRule="atLeast"/>
      <w:ind w:left="567"/>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027D7"/>
    <w:pPr>
      <w:spacing w:after="120" w:line="260" w:lineRule="atLeast"/>
      <w:ind w:left="567"/>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027D7"/>
    <w:pPr>
      <w:spacing w:after="120" w:line="260" w:lineRule="atLeast"/>
      <w:ind w:left="567"/>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027D7"/>
    <w:pPr>
      <w:spacing w:after="120" w:line="260" w:lineRule="atLeast"/>
      <w:ind w:left="567"/>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027D7"/>
    <w:pPr>
      <w:spacing w:after="120" w:line="260" w:lineRule="atLeast"/>
      <w:ind w:left="567"/>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027D7"/>
    <w:pPr>
      <w:spacing w:after="120" w:line="260" w:lineRule="atLeast"/>
      <w:ind w:left="567"/>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027D7"/>
    <w:pPr>
      <w:spacing w:after="120" w:line="260" w:lineRule="atLeast"/>
      <w:ind w:left="567"/>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027D7"/>
    <w:pPr>
      <w:spacing w:after="120" w:line="260" w:lineRule="atLeast"/>
      <w:ind w:left="567"/>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027D7"/>
    <w:pPr>
      <w:spacing w:after="120" w:line="260" w:lineRule="atLeast"/>
      <w:ind w:left="567"/>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027D7"/>
    <w:pPr>
      <w:spacing w:after="120" w:line="260" w:lineRule="atLeast"/>
      <w:ind w:left="56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027D7"/>
    <w:pPr>
      <w:spacing w:after="120" w:line="260" w:lineRule="atLeast"/>
      <w:ind w:left="567"/>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027D7"/>
    <w:pPr>
      <w:spacing w:after="120" w:line="260" w:lineRule="atLeast"/>
      <w:ind w:left="567"/>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027D7"/>
    <w:pPr>
      <w:spacing w:after="120" w:line="260" w:lineRule="atLeast"/>
      <w:ind w:left="567"/>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027D7"/>
    <w:pPr>
      <w:spacing w:after="120" w:line="260" w:lineRule="atLeast"/>
      <w:ind w:left="567"/>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027D7"/>
    <w:pPr>
      <w:spacing w:after="120" w:line="260" w:lineRule="atLeast"/>
      <w:ind w:left="567"/>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027D7"/>
    <w:pPr>
      <w:spacing w:after="120" w:line="260" w:lineRule="atLeast"/>
      <w:ind w:left="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027D7"/>
    <w:pPr>
      <w:spacing w:after="120" w:line="260" w:lineRule="atLeast"/>
      <w:ind w:left="567"/>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027D7"/>
    <w:pPr>
      <w:spacing w:after="120" w:line="260" w:lineRule="atLeast"/>
      <w:ind w:left="567"/>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027D7"/>
    <w:pPr>
      <w:spacing w:after="120" w:line="260" w:lineRule="atLeast"/>
      <w:ind w:left="567"/>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5027D7"/>
    <w:pPr>
      <w:spacing w:before="240" w:after="60"/>
      <w:jc w:val="center"/>
      <w:outlineLvl w:val="0"/>
    </w:pPr>
    <w:rPr>
      <w:rFonts w:cs="Arial"/>
      <w:b/>
      <w:bCs/>
      <w:kern w:val="28"/>
      <w:sz w:val="32"/>
      <w:szCs w:val="32"/>
    </w:rPr>
  </w:style>
  <w:style w:type="paragraph" w:customStyle="1" w:styleId="Header0">
    <w:name w:val="_Header"/>
    <w:basedOn w:val="ParaMargin"/>
    <w:rsid w:val="005027D7"/>
    <w:pPr>
      <w:spacing w:after="20" w:line="240" w:lineRule="auto"/>
    </w:pPr>
    <w:rPr>
      <w:sz w:val="16"/>
    </w:rPr>
  </w:style>
  <w:style w:type="paragraph" w:customStyle="1" w:styleId="Footer0">
    <w:name w:val="_Footer"/>
    <w:basedOn w:val="ParaMargin"/>
    <w:rsid w:val="005027D7"/>
    <w:pPr>
      <w:spacing w:before="20" w:after="0" w:line="240" w:lineRule="auto"/>
    </w:pPr>
    <w:rPr>
      <w:sz w:val="16"/>
    </w:rPr>
  </w:style>
  <w:style w:type="paragraph" w:customStyle="1" w:styleId="Info">
    <w:name w:val="_Info"/>
    <w:basedOn w:val="ParaMargin"/>
    <w:rsid w:val="005027D7"/>
    <w:pPr>
      <w:spacing w:after="60" w:line="240" w:lineRule="auto"/>
    </w:pPr>
    <w:rPr>
      <w:sz w:val="16"/>
    </w:rPr>
  </w:style>
  <w:style w:type="paragraph" w:customStyle="1" w:styleId="ListAppxsFigsTables">
    <w:name w:val="_ListAppxsFigs&amp;Tables"/>
    <w:basedOn w:val="ParaMargin"/>
    <w:rsid w:val="005027D7"/>
    <w:pPr>
      <w:tabs>
        <w:tab w:val="left" w:pos="567"/>
        <w:tab w:val="left" w:pos="1134"/>
        <w:tab w:val="right" w:leader="dot" w:pos="6804"/>
      </w:tabs>
      <w:spacing w:after="120"/>
      <w:ind w:left="567"/>
    </w:pPr>
    <w:rPr>
      <w:noProof/>
      <w:sz w:val="18"/>
    </w:rPr>
  </w:style>
  <w:style w:type="paragraph" w:customStyle="1" w:styleId="ParaMargin">
    <w:name w:val="_ParaMargin"/>
    <w:basedOn w:val="Normal"/>
    <w:qFormat/>
    <w:rsid w:val="005027D7"/>
    <w:pPr>
      <w:ind w:left="0"/>
    </w:pPr>
  </w:style>
  <w:style w:type="paragraph" w:customStyle="1" w:styleId="ParaIndent">
    <w:name w:val="_ParaIndent"/>
    <w:basedOn w:val="BodyText"/>
    <w:link w:val="ParaIndentChar"/>
    <w:qFormat/>
    <w:rsid w:val="005027D7"/>
    <w:pPr>
      <w:spacing w:after="180"/>
      <w:ind w:left="1134"/>
    </w:pPr>
  </w:style>
  <w:style w:type="paragraph" w:customStyle="1" w:styleId="AppxName">
    <w:name w:val="_AppxName"/>
    <w:basedOn w:val="ParaMargin"/>
    <w:qFormat/>
    <w:rsid w:val="005027D7"/>
    <w:pPr>
      <w:spacing w:before="120" w:after="120"/>
    </w:pPr>
    <w:rPr>
      <w:caps/>
      <w:color w:val="00519E"/>
      <w:sz w:val="40"/>
    </w:rPr>
  </w:style>
  <w:style w:type="paragraph" w:customStyle="1" w:styleId="AppxNo">
    <w:name w:val="_AppxNo"/>
    <w:basedOn w:val="ParaMargin"/>
    <w:qFormat/>
    <w:rsid w:val="005027D7"/>
    <w:pPr>
      <w:spacing w:before="120" w:after="120"/>
    </w:pPr>
    <w:rPr>
      <w:caps/>
      <w:color w:val="495F70"/>
      <w:sz w:val="36"/>
    </w:rPr>
  </w:style>
  <w:style w:type="paragraph" w:customStyle="1" w:styleId="Heading1">
    <w:name w:val="_Heading1"/>
    <w:basedOn w:val="Heading10"/>
    <w:next w:val="ParaIndent"/>
    <w:qFormat/>
    <w:rsid w:val="005027D7"/>
    <w:pPr>
      <w:numPr>
        <w:numId w:val="12"/>
      </w:numPr>
      <w:pBdr>
        <w:bottom w:val="none" w:sz="0" w:space="0" w:color="auto"/>
      </w:pBdr>
    </w:pPr>
    <w:rPr>
      <w:rFonts w:ascii="Arial" w:hAnsi="Arial" w:cs="Arial"/>
      <w:caps/>
      <w:color w:val="495F70"/>
    </w:rPr>
  </w:style>
  <w:style w:type="paragraph" w:customStyle="1" w:styleId="Heading2">
    <w:name w:val="_Heading2"/>
    <w:basedOn w:val="Heading20"/>
    <w:next w:val="ParaIndent"/>
    <w:link w:val="Heading2Char0"/>
    <w:qFormat/>
    <w:rsid w:val="008C3594"/>
    <w:pPr>
      <w:numPr>
        <w:ilvl w:val="1"/>
        <w:numId w:val="12"/>
      </w:numPr>
      <w:spacing w:before="600" w:after="240"/>
    </w:pPr>
    <w:rPr>
      <w:rFonts w:ascii="Arial" w:hAnsi="Arial" w:cs="Arial"/>
      <w:color w:val="495F70"/>
      <w:sz w:val="32"/>
    </w:rPr>
  </w:style>
  <w:style w:type="paragraph" w:customStyle="1" w:styleId="Heading3">
    <w:name w:val="_Heading3"/>
    <w:basedOn w:val="Heading30"/>
    <w:next w:val="ParaIndent"/>
    <w:qFormat/>
    <w:rsid w:val="00C57FC9"/>
    <w:pPr>
      <w:numPr>
        <w:ilvl w:val="2"/>
        <w:numId w:val="12"/>
      </w:numPr>
      <w:spacing w:before="360" w:after="180"/>
    </w:pPr>
    <w:rPr>
      <w:rFonts w:ascii="Arial" w:hAnsi="Arial" w:cs="Arial"/>
      <w:color w:val="495F70"/>
      <w:sz w:val="24"/>
    </w:rPr>
  </w:style>
  <w:style w:type="paragraph" w:customStyle="1" w:styleId="Heading40">
    <w:name w:val="_Heading4"/>
    <w:basedOn w:val="Heading4"/>
    <w:next w:val="ParaIndent"/>
    <w:qFormat/>
    <w:rsid w:val="00F97A6D"/>
    <w:pPr>
      <w:spacing w:before="360" w:after="180"/>
    </w:pPr>
    <w:rPr>
      <w:rFonts w:ascii="Arial" w:hAnsi="Arial" w:cs="Arial"/>
      <w:b/>
      <w:sz w:val="20"/>
    </w:rPr>
  </w:style>
  <w:style w:type="paragraph" w:customStyle="1" w:styleId="HeadingOther">
    <w:name w:val="_HeadingOther"/>
    <w:basedOn w:val="ParaMargin"/>
    <w:next w:val="ParaMargin"/>
    <w:qFormat/>
    <w:rsid w:val="005027D7"/>
    <w:pPr>
      <w:keepNext/>
      <w:spacing w:before="120" w:after="120"/>
    </w:pPr>
    <w:rPr>
      <w:caps/>
      <w:color w:val="009EE0"/>
      <w:sz w:val="32"/>
    </w:rPr>
  </w:style>
  <w:style w:type="paragraph" w:customStyle="1" w:styleId="HeadingSub">
    <w:name w:val="_HeadingSub"/>
    <w:basedOn w:val="ParaMargin"/>
    <w:next w:val="ParaMargin"/>
    <w:qFormat/>
    <w:rsid w:val="005027D7"/>
    <w:pPr>
      <w:keepNext/>
      <w:spacing w:before="120" w:after="120"/>
    </w:pPr>
    <w:rPr>
      <w:caps/>
      <w:color w:val="495F70"/>
      <w:sz w:val="40"/>
    </w:rPr>
  </w:style>
  <w:style w:type="paragraph" w:customStyle="1" w:styleId="HeadingTitle">
    <w:name w:val="_HeadingTitle"/>
    <w:basedOn w:val="ParaMargin"/>
    <w:next w:val="ParaMargin"/>
    <w:qFormat/>
    <w:rsid w:val="005027D7"/>
    <w:pPr>
      <w:spacing w:before="120" w:after="120"/>
    </w:pPr>
    <w:rPr>
      <w:caps/>
      <w:color w:val="00519E"/>
      <w:sz w:val="44"/>
    </w:rPr>
  </w:style>
  <w:style w:type="paragraph" w:customStyle="1" w:styleId="PointsAlpha">
    <w:name w:val="_PointsAlpha"/>
    <w:basedOn w:val="ParaMargin"/>
    <w:qFormat/>
    <w:rsid w:val="005027D7"/>
    <w:pPr>
      <w:numPr>
        <w:numId w:val="1"/>
      </w:numPr>
      <w:tabs>
        <w:tab w:val="left" w:pos="284"/>
      </w:tabs>
      <w:spacing w:after="120"/>
    </w:pPr>
  </w:style>
  <w:style w:type="paragraph" w:customStyle="1" w:styleId="PointsBullets">
    <w:name w:val="_PointsBullets"/>
    <w:basedOn w:val="ParaMargin"/>
    <w:qFormat/>
    <w:rsid w:val="005027D7"/>
    <w:pPr>
      <w:numPr>
        <w:numId w:val="2"/>
      </w:numPr>
      <w:spacing w:after="120"/>
    </w:pPr>
  </w:style>
  <w:style w:type="paragraph" w:customStyle="1" w:styleId="PointsNumbers">
    <w:name w:val="_PointsNumbers"/>
    <w:basedOn w:val="ParaMargin"/>
    <w:qFormat/>
    <w:rsid w:val="005027D7"/>
    <w:pPr>
      <w:numPr>
        <w:numId w:val="3"/>
      </w:numPr>
      <w:spacing w:after="120"/>
    </w:pPr>
  </w:style>
  <w:style w:type="paragraph" w:customStyle="1" w:styleId="Caption">
    <w:name w:val="_Caption"/>
    <w:basedOn w:val="ParaMargin"/>
    <w:next w:val="CaptionFollowOn"/>
    <w:qFormat/>
    <w:rsid w:val="005027D7"/>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qFormat/>
    <w:rsid w:val="005027D7"/>
    <w:pPr>
      <w:tabs>
        <w:tab w:val="left" w:pos="1134"/>
      </w:tabs>
      <w:spacing w:before="120"/>
      <w:ind w:left="1134"/>
    </w:pPr>
    <w:rPr>
      <w:color w:val="495F70"/>
      <w:sz w:val="18"/>
    </w:rPr>
  </w:style>
  <w:style w:type="paragraph" w:customStyle="1" w:styleId="TableHeading">
    <w:name w:val="_TableHeading"/>
    <w:basedOn w:val="ParaMargin"/>
    <w:link w:val="TableHeadingChar"/>
    <w:qFormat/>
    <w:rsid w:val="005027D7"/>
    <w:pPr>
      <w:keepNext/>
      <w:tabs>
        <w:tab w:val="left" w:pos="284"/>
      </w:tabs>
      <w:spacing w:before="60" w:after="60"/>
    </w:pPr>
    <w:rPr>
      <w:b/>
      <w:color w:val="495F70"/>
      <w:sz w:val="18"/>
    </w:rPr>
  </w:style>
  <w:style w:type="paragraph" w:customStyle="1" w:styleId="TableText">
    <w:name w:val="_TableText"/>
    <w:basedOn w:val="ParaMargin"/>
    <w:link w:val="TableTextChar"/>
    <w:qFormat/>
    <w:rsid w:val="005027D7"/>
    <w:pPr>
      <w:spacing w:before="60" w:after="60"/>
    </w:pPr>
    <w:rPr>
      <w:sz w:val="18"/>
    </w:rPr>
  </w:style>
  <w:style w:type="paragraph" w:customStyle="1" w:styleId="ListHeading">
    <w:name w:val="_ListHeading"/>
    <w:basedOn w:val="ParaMargin"/>
    <w:next w:val="ParaMargin"/>
    <w:qFormat/>
    <w:rsid w:val="005027D7"/>
    <w:pPr>
      <w:keepNext/>
      <w:spacing w:before="120" w:after="120"/>
    </w:pPr>
    <w:rPr>
      <w:caps/>
      <w:color w:val="495F70"/>
      <w:sz w:val="28"/>
    </w:rPr>
  </w:style>
  <w:style w:type="paragraph" w:customStyle="1" w:styleId="ListItem">
    <w:name w:val="_ListItem"/>
    <w:basedOn w:val="ParaMargin"/>
    <w:qFormat/>
    <w:rsid w:val="005027D7"/>
    <w:pPr>
      <w:tabs>
        <w:tab w:val="left" w:pos="1134"/>
      </w:tabs>
      <w:spacing w:after="120"/>
      <w:ind w:left="1134"/>
    </w:pPr>
  </w:style>
  <w:style w:type="paragraph" w:styleId="TOC1">
    <w:name w:val="toc 1"/>
    <w:basedOn w:val="ToC10"/>
    <w:uiPriority w:val="39"/>
    <w:rsid w:val="005027D7"/>
  </w:style>
  <w:style w:type="paragraph" w:styleId="TOC2">
    <w:name w:val="toc 2"/>
    <w:basedOn w:val="ToC20"/>
    <w:uiPriority w:val="39"/>
    <w:rsid w:val="005027D7"/>
  </w:style>
  <w:style w:type="paragraph" w:customStyle="1" w:styleId="ToC10">
    <w:name w:val="_ToC1"/>
    <w:basedOn w:val="ParaMargin"/>
    <w:rsid w:val="005027D7"/>
    <w:pPr>
      <w:tabs>
        <w:tab w:val="left" w:pos="567"/>
        <w:tab w:val="right" w:leader="dot" w:pos="6804"/>
      </w:tabs>
      <w:spacing w:before="40" w:after="40"/>
      <w:ind w:left="567" w:right="2835" w:hanging="567"/>
    </w:pPr>
    <w:rPr>
      <w:color w:val="495F70"/>
    </w:rPr>
  </w:style>
  <w:style w:type="paragraph" w:customStyle="1" w:styleId="ToC20">
    <w:name w:val="_ToC2"/>
    <w:basedOn w:val="ParaMargin"/>
    <w:rsid w:val="005027D7"/>
    <w:pPr>
      <w:tabs>
        <w:tab w:val="left" w:pos="567"/>
        <w:tab w:val="left" w:pos="1134"/>
        <w:tab w:val="right" w:leader="dot" w:pos="6804"/>
      </w:tabs>
      <w:spacing w:before="40" w:after="40"/>
      <w:ind w:left="1134" w:right="2835" w:hanging="567"/>
    </w:pPr>
    <w:rPr>
      <w:sz w:val="18"/>
    </w:rPr>
  </w:style>
  <w:style w:type="paragraph" w:customStyle="1" w:styleId="ToC3">
    <w:name w:val="_ToC3"/>
    <w:basedOn w:val="ToC20"/>
    <w:rsid w:val="005027D7"/>
    <w:pPr>
      <w:tabs>
        <w:tab w:val="left" w:pos="2268"/>
      </w:tabs>
      <w:spacing w:before="20" w:after="20"/>
      <w:ind w:left="1985" w:hanging="851"/>
    </w:pPr>
  </w:style>
  <w:style w:type="paragraph" w:customStyle="1" w:styleId="HeadingMinorCyan">
    <w:name w:val="_HeadingMinorCyan"/>
    <w:basedOn w:val="TableText"/>
    <w:qFormat/>
    <w:rsid w:val="005027D7"/>
    <w:pPr>
      <w:keepNext/>
      <w:spacing w:before="0" w:after="120"/>
    </w:pPr>
    <w:rPr>
      <w:b/>
      <w:color w:val="009EE0"/>
      <w:sz w:val="20"/>
    </w:rPr>
  </w:style>
  <w:style w:type="paragraph" w:styleId="TOC30">
    <w:name w:val="toc 3"/>
    <w:basedOn w:val="ToC3"/>
    <w:rsid w:val="005027D7"/>
  </w:style>
  <w:style w:type="paragraph" w:styleId="TOC4">
    <w:name w:val="toc 4"/>
    <w:basedOn w:val="ToC40"/>
    <w:rsid w:val="005027D7"/>
  </w:style>
  <w:style w:type="paragraph" w:styleId="Caption0">
    <w:name w:val="caption"/>
    <w:basedOn w:val="Normal"/>
    <w:next w:val="Normal"/>
    <w:qFormat/>
    <w:rsid w:val="005027D7"/>
    <w:pPr>
      <w:spacing w:before="120"/>
      <w:ind w:left="1134" w:hanging="1134"/>
    </w:pPr>
    <w:rPr>
      <w:rFonts w:ascii="Arial Narrow" w:hAnsi="Arial Narrow"/>
      <w:b/>
    </w:rPr>
  </w:style>
  <w:style w:type="paragraph" w:styleId="BalloonText">
    <w:name w:val="Balloon Text"/>
    <w:basedOn w:val="Normal"/>
    <w:rsid w:val="005027D7"/>
    <w:rPr>
      <w:rFonts w:ascii="Tahoma" w:hAnsi="Tahoma" w:cs="Tahoma"/>
      <w:sz w:val="16"/>
      <w:szCs w:val="16"/>
    </w:rPr>
  </w:style>
  <w:style w:type="paragraph" w:customStyle="1" w:styleId="InfoBold">
    <w:name w:val="_InfoBold"/>
    <w:basedOn w:val="Info"/>
    <w:next w:val="Info"/>
    <w:rsid w:val="005027D7"/>
    <w:rPr>
      <w:b/>
    </w:rPr>
  </w:style>
  <w:style w:type="paragraph" w:customStyle="1" w:styleId="HeadingCategory">
    <w:name w:val="_HeadingCategory"/>
    <w:basedOn w:val="ParaMargin"/>
    <w:next w:val="ParaMargin"/>
    <w:qFormat/>
    <w:rsid w:val="005027D7"/>
    <w:pPr>
      <w:spacing w:after="120"/>
    </w:pPr>
    <w:rPr>
      <w:color w:val="495F70"/>
      <w:sz w:val="36"/>
    </w:rPr>
  </w:style>
  <w:style w:type="paragraph" w:customStyle="1" w:styleId="InfoLetter">
    <w:name w:val="_InfoLetter"/>
    <w:basedOn w:val="ParaMargin"/>
    <w:next w:val="ParaMargin"/>
    <w:rsid w:val="005027D7"/>
    <w:pPr>
      <w:spacing w:after="0"/>
    </w:pPr>
  </w:style>
  <w:style w:type="paragraph" w:customStyle="1" w:styleId="PathFileName">
    <w:name w:val="_PathFileName"/>
    <w:basedOn w:val="Footer0"/>
    <w:rsid w:val="005027D7"/>
    <w:rPr>
      <w:sz w:val="14"/>
    </w:rPr>
  </w:style>
  <w:style w:type="paragraph" w:customStyle="1" w:styleId="Data">
    <w:name w:val="_Data"/>
    <w:basedOn w:val="ParaMargin"/>
    <w:rsid w:val="005027D7"/>
    <w:pPr>
      <w:spacing w:after="60"/>
    </w:pPr>
    <w:rPr>
      <w:sz w:val="18"/>
    </w:rPr>
  </w:style>
  <w:style w:type="paragraph" w:customStyle="1" w:styleId="DataBold">
    <w:name w:val="_DataBold"/>
    <w:basedOn w:val="Data"/>
    <w:next w:val="Data"/>
    <w:rsid w:val="005027D7"/>
    <w:rPr>
      <w:b/>
    </w:rPr>
  </w:style>
  <w:style w:type="character" w:customStyle="1" w:styleId="ParaIndentChar">
    <w:name w:val="_ParaIndent Char"/>
    <w:basedOn w:val="DefaultParagraphFont"/>
    <w:link w:val="ParaIndent"/>
    <w:rsid w:val="00EA2F93"/>
    <w:rPr>
      <w:rFonts w:ascii="Arial" w:hAnsi="Arial"/>
      <w:lang w:eastAsia="en-US"/>
    </w:rPr>
  </w:style>
  <w:style w:type="paragraph" w:customStyle="1" w:styleId="TablePointsAlpha">
    <w:name w:val="_TablePointsAlpha"/>
    <w:basedOn w:val="PointsAlpha"/>
    <w:qFormat/>
    <w:rsid w:val="005027D7"/>
    <w:pPr>
      <w:numPr>
        <w:numId w:val="4"/>
      </w:numPr>
      <w:spacing w:before="60" w:after="60"/>
    </w:pPr>
    <w:rPr>
      <w:sz w:val="18"/>
    </w:rPr>
  </w:style>
  <w:style w:type="paragraph" w:customStyle="1" w:styleId="TablePointsBullets">
    <w:name w:val="_TablePointsBullets"/>
    <w:basedOn w:val="PointsBullets"/>
    <w:qFormat/>
    <w:rsid w:val="005027D7"/>
    <w:pPr>
      <w:numPr>
        <w:numId w:val="5"/>
      </w:numPr>
      <w:spacing w:before="60" w:after="60"/>
    </w:pPr>
    <w:rPr>
      <w:sz w:val="18"/>
    </w:rPr>
  </w:style>
  <w:style w:type="paragraph" w:customStyle="1" w:styleId="TablePointsNumbers">
    <w:name w:val="_TablePointsNumbers"/>
    <w:basedOn w:val="PointsNumbers"/>
    <w:qFormat/>
    <w:rsid w:val="005027D7"/>
    <w:pPr>
      <w:numPr>
        <w:numId w:val="6"/>
      </w:numPr>
      <w:spacing w:before="60" w:after="60"/>
    </w:pPr>
    <w:rPr>
      <w:sz w:val="18"/>
    </w:rPr>
  </w:style>
  <w:style w:type="paragraph" w:customStyle="1" w:styleId="FooterBlue">
    <w:name w:val="_FooterBlue"/>
    <w:basedOn w:val="Footer0"/>
    <w:rsid w:val="005027D7"/>
    <w:rPr>
      <w:color w:val="0000FF"/>
    </w:rPr>
  </w:style>
  <w:style w:type="paragraph" w:customStyle="1" w:styleId="HeadingTitleWhite">
    <w:name w:val="_HeadingTitleWhite"/>
    <w:basedOn w:val="HeadingTitle"/>
    <w:next w:val="ParaMargin"/>
    <w:qFormat/>
    <w:rsid w:val="005027D7"/>
    <w:rPr>
      <w:color w:val="FFFFFF"/>
    </w:rPr>
  </w:style>
  <w:style w:type="paragraph" w:customStyle="1" w:styleId="FooterWhite">
    <w:name w:val="_FooterWhite"/>
    <w:basedOn w:val="Footer0"/>
    <w:rsid w:val="005027D7"/>
    <w:rPr>
      <w:color w:val="FFFFFF"/>
    </w:rPr>
  </w:style>
  <w:style w:type="paragraph" w:customStyle="1" w:styleId="HeadingInfo">
    <w:name w:val="_HeadingInfo"/>
    <w:basedOn w:val="ParaMargin"/>
    <w:qFormat/>
    <w:rsid w:val="005027D7"/>
    <w:pPr>
      <w:spacing w:before="120" w:after="120"/>
    </w:pPr>
    <w:rPr>
      <w:sz w:val="24"/>
    </w:rPr>
  </w:style>
  <w:style w:type="paragraph" w:customStyle="1" w:styleId="HeadingMinor">
    <w:name w:val="_HeadingMinor"/>
    <w:basedOn w:val="ParaMargin"/>
    <w:next w:val="ParaMargin"/>
    <w:qFormat/>
    <w:rsid w:val="005027D7"/>
    <w:pPr>
      <w:keepNext/>
      <w:spacing w:before="240" w:after="120"/>
    </w:pPr>
    <w:rPr>
      <w:b/>
    </w:rPr>
  </w:style>
  <w:style w:type="paragraph" w:customStyle="1" w:styleId="HeadingName">
    <w:name w:val="_HeadingName"/>
    <w:basedOn w:val="HeadingTitle"/>
    <w:qFormat/>
    <w:rsid w:val="005027D7"/>
    <w:pPr>
      <w:keepNext/>
      <w:spacing w:before="0" w:after="0"/>
    </w:pPr>
  </w:style>
  <w:style w:type="paragraph" w:customStyle="1" w:styleId="ParaIntroduction">
    <w:name w:val="_ParaIntroduction"/>
    <w:basedOn w:val="ParaMargin"/>
    <w:qFormat/>
    <w:rsid w:val="005027D7"/>
    <w:pPr>
      <w:spacing w:before="120"/>
    </w:pPr>
    <w:rPr>
      <w:sz w:val="24"/>
    </w:rPr>
  </w:style>
  <w:style w:type="paragraph" w:customStyle="1" w:styleId="InfoBoldCyan">
    <w:name w:val="_InfoBoldCyan"/>
    <w:basedOn w:val="InfoBold"/>
    <w:next w:val="Info"/>
    <w:rsid w:val="005027D7"/>
    <w:rPr>
      <w:color w:val="009EE0"/>
    </w:rPr>
  </w:style>
  <w:style w:type="paragraph" w:customStyle="1" w:styleId="ParaIntroCyan">
    <w:name w:val="_ParaIntroCyan"/>
    <w:basedOn w:val="ParaIndent"/>
    <w:next w:val="ParaIndent"/>
    <w:rsid w:val="005027D7"/>
    <w:rPr>
      <w:color w:val="009EE0"/>
    </w:rPr>
  </w:style>
  <w:style w:type="paragraph" w:customStyle="1" w:styleId="PullQuote">
    <w:name w:val="_PullQuote"/>
    <w:basedOn w:val="ParaMargin"/>
    <w:rsid w:val="005027D7"/>
    <w:pPr>
      <w:spacing w:after="0"/>
    </w:pPr>
    <w:rPr>
      <w:color w:val="FFFFFF"/>
    </w:rPr>
  </w:style>
  <w:style w:type="paragraph" w:customStyle="1" w:styleId="AlphaPoints">
    <w:name w:val="Alpha Points"/>
    <w:basedOn w:val="BodyText"/>
    <w:semiHidden/>
    <w:rsid w:val="005027D7"/>
    <w:pPr>
      <w:numPr>
        <w:numId w:val="9"/>
      </w:numPr>
      <w:spacing w:after="180"/>
    </w:pPr>
  </w:style>
  <w:style w:type="paragraph" w:customStyle="1" w:styleId="BulletPoints">
    <w:name w:val="Bullet Points"/>
    <w:basedOn w:val="BodyText"/>
    <w:semiHidden/>
    <w:rsid w:val="005027D7"/>
    <w:pPr>
      <w:numPr>
        <w:numId w:val="11"/>
      </w:numPr>
    </w:pPr>
  </w:style>
  <w:style w:type="character" w:styleId="CommentReference">
    <w:name w:val="annotation reference"/>
    <w:basedOn w:val="DefaultParagraphFont"/>
    <w:rsid w:val="005027D7"/>
    <w:rPr>
      <w:sz w:val="16"/>
      <w:szCs w:val="16"/>
    </w:rPr>
  </w:style>
  <w:style w:type="paragraph" w:styleId="CommentText">
    <w:name w:val="annotation text"/>
    <w:basedOn w:val="Normal"/>
    <w:rsid w:val="005027D7"/>
  </w:style>
  <w:style w:type="paragraph" w:styleId="CommentSubject">
    <w:name w:val="annotation subject"/>
    <w:basedOn w:val="CommentText"/>
    <w:next w:val="CommentText"/>
    <w:rsid w:val="005027D7"/>
    <w:rPr>
      <w:b/>
      <w:bCs/>
    </w:rPr>
  </w:style>
  <w:style w:type="paragraph" w:styleId="DocumentMap">
    <w:name w:val="Document Map"/>
    <w:basedOn w:val="Normal"/>
    <w:rsid w:val="005027D7"/>
    <w:pPr>
      <w:shd w:val="clear" w:color="auto" w:fill="000080"/>
    </w:pPr>
    <w:rPr>
      <w:rFonts w:ascii="Tahoma" w:hAnsi="Tahoma" w:cs="Tahoma"/>
    </w:rPr>
  </w:style>
  <w:style w:type="character" w:styleId="EndnoteReference">
    <w:name w:val="endnote reference"/>
    <w:basedOn w:val="DefaultParagraphFont"/>
    <w:rsid w:val="005027D7"/>
    <w:rPr>
      <w:vertAlign w:val="superscript"/>
    </w:rPr>
  </w:style>
  <w:style w:type="paragraph" w:styleId="EndnoteText">
    <w:name w:val="endnote text"/>
    <w:basedOn w:val="Normal"/>
    <w:rsid w:val="005027D7"/>
    <w:rPr>
      <w:sz w:val="18"/>
    </w:rPr>
  </w:style>
  <w:style w:type="character" w:styleId="FootnoteReference">
    <w:name w:val="footnote reference"/>
    <w:basedOn w:val="DefaultParagraphFont"/>
    <w:rsid w:val="005027D7"/>
    <w:rPr>
      <w:vertAlign w:val="superscript"/>
    </w:rPr>
  </w:style>
  <w:style w:type="paragraph" w:styleId="FootnoteText">
    <w:name w:val="footnote text"/>
    <w:basedOn w:val="Normal"/>
    <w:rsid w:val="005027D7"/>
    <w:rPr>
      <w:sz w:val="18"/>
    </w:rPr>
  </w:style>
  <w:style w:type="paragraph" w:customStyle="1" w:styleId="Heading">
    <w:name w:val="Heading"/>
    <w:basedOn w:val="Normal"/>
    <w:next w:val="Header"/>
    <w:semiHidden/>
    <w:rsid w:val="005027D7"/>
    <w:pPr>
      <w:spacing w:before="120" w:after="120"/>
      <w:jc w:val="right"/>
    </w:pPr>
    <w:rPr>
      <w:sz w:val="40"/>
    </w:rPr>
  </w:style>
  <w:style w:type="paragraph" w:styleId="Index1">
    <w:name w:val="index 1"/>
    <w:basedOn w:val="Normal"/>
    <w:next w:val="Normal"/>
    <w:autoRedefine/>
    <w:rsid w:val="005027D7"/>
    <w:pPr>
      <w:ind w:left="200" w:hanging="200"/>
    </w:pPr>
  </w:style>
  <w:style w:type="paragraph" w:styleId="Index2">
    <w:name w:val="index 2"/>
    <w:basedOn w:val="Normal"/>
    <w:next w:val="Normal"/>
    <w:autoRedefine/>
    <w:rsid w:val="005027D7"/>
    <w:pPr>
      <w:ind w:left="400" w:hanging="200"/>
    </w:pPr>
  </w:style>
  <w:style w:type="paragraph" w:styleId="Index3">
    <w:name w:val="index 3"/>
    <w:basedOn w:val="Normal"/>
    <w:next w:val="Normal"/>
    <w:autoRedefine/>
    <w:rsid w:val="005027D7"/>
    <w:pPr>
      <w:ind w:left="600" w:hanging="200"/>
    </w:pPr>
  </w:style>
  <w:style w:type="paragraph" w:styleId="Index4">
    <w:name w:val="index 4"/>
    <w:basedOn w:val="Normal"/>
    <w:next w:val="Normal"/>
    <w:autoRedefine/>
    <w:rsid w:val="005027D7"/>
    <w:pPr>
      <w:ind w:left="800" w:hanging="200"/>
    </w:pPr>
  </w:style>
  <w:style w:type="paragraph" w:styleId="Index5">
    <w:name w:val="index 5"/>
    <w:basedOn w:val="Normal"/>
    <w:next w:val="Normal"/>
    <w:autoRedefine/>
    <w:rsid w:val="005027D7"/>
    <w:pPr>
      <w:ind w:left="1000" w:hanging="200"/>
    </w:pPr>
  </w:style>
  <w:style w:type="paragraph" w:styleId="Index6">
    <w:name w:val="index 6"/>
    <w:basedOn w:val="Normal"/>
    <w:next w:val="Normal"/>
    <w:autoRedefine/>
    <w:rsid w:val="005027D7"/>
    <w:pPr>
      <w:ind w:left="1200" w:hanging="200"/>
    </w:pPr>
  </w:style>
  <w:style w:type="paragraph" w:styleId="Index7">
    <w:name w:val="index 7"/>
    <w:basedOn w:val="Normal"/>
    <w:next w:val="Normal"/>
    <w:autoRedefine/>
    <w:rsid w:val="005027D7"/>
    <w:pPr>
      <w:ind w:left="1400" w:hanging="200"/>
    </w:pPr>
  </w:style>
  <w:style w:type="paragraph" w:styleId="Index8">
    <w:name w:val="index 8"/>
    <w:basedOn w:val="Normal"/>
    <w:next w:val="Normal"/>
    <w:autoRedefine/>
    <w:rsid w:val="005027D7"/>
    <w:pPr>
      <w:ind w:left="1600" w:hanging="200"/>
    </w:pPr>
  </w:style>
  <w:style w:type="paragraph" w:styleId="Index9">
    <w:name w:val="index 9"/>
    <w:basedOn w:val="Normal"/>
    <w:next w:val="Normal"/>
    <w:autoRedefine/>
    <w:rsid w:val="005027D7"/>
    <w:pPr>
      <w:ind w:left="1800" w:hanging="200"/>
    </w:pPr>
  </w:style>
  <w:style w:type="paragraph" w:styleId="IndexHeading">
    <w:name w:val="index heading"/>
    <w:basedOn w:val="Normal"/>
    <w:next w:val="Index1"/>
    <w:rsid w:val="005027D7"/>
    <w:rPr>
      <w:rFonts w:cs="Arial"/>
      <w:b/>
      <w:bCs/>
    </w:rPr>
  </w:style>
  <w:style w:type="paragraph" w:styleId="MacroText">
    <w:name w:val="macro"/>
    <w:rsid w:val="005027D7"/>
    <w:pPr>
      <w:tabs>
        <w:tab w:val="left" w:pos="480"/>
        <w:tab w:val="left" w:pos="960"/>
        <w:tab w:val="left" w:pos="1440"/>
        <w:tab w:val="left" w:pos="1920"/>
        <w:tab w:val="left" w:pos="2400"/>
        <w:tab w:val="left" w:pos="2880"/>
        <w:tab w:val="left" w:pos="3360"/>
        <w:tab w:val="left" w:pos="3840"/>
        <w:tab w:val="left" w:pos="4320"/>
      </w:tabs>
      <w:spacing w:after="180" w:line="260" w:lineRule="atLeast"/>
      <w:ind w:left="567"/>
    </w:pPr>
    <w:rPr>
      <w:rFonts w:ascii="Courier New" w:hAnsi="Courier New" w:cs="Courier New"/>
      <w:lang w:val="en-GB" w:eastAsia="en-US"/>
    </w:rPr>
  </w:style>
  <w:style w:type="paragraph" w:customStyle="1" w:styleId="NumberPoints">
    <w:name w:val="Number Points"/>
    <w:basedOn w:val="Normal"/>
    <w:semiHidden/>
    <w:rsid w:val="005027D7"/>
    <w:pPr>
      <w:numPr>
        <w:numId w:val="23"/>
      </w:numPr>
    </w:pPr>
  </w:style>
  <w:style w:type="paragraph" w:customStyle="1" w:styleId="TableHeading0">
    <w:name w:val="Table Heading"/>
    <w:basedOn w:val="Normal"/>
    <w:semiHidden/>
    <w:rsid w:val="005027D7"/>
    <w:pPr>
      <w:spacing w:before="60" w:after="60"/>
    </w:pPr>
    <w:rPr>
      <w:rFonts w:ascii="Arial Narrow" w:hAnsi="Arial Narrow"/>
      <w:b/>
    </w:rPr>
  </w:style>
  <w:style w:type="paragraph" w:styleId="TableofAuthorities">
    <w:name w:val="table of authorities"/>
    <w:basedOn w:val="Normal"/>
    <w:next w:val="Normal"/>
    <w:rsid w:val="005027D7"/>
    <w:pPr>
      <w:ind w:left="200" w:hanging="200"/>
    </w:pPr>
  </w:style>
  <w:style w:type="paragraph" w:styleId="TableofFigures">
    <w:name w:val="table of figures"/>
    <w:basedOn w:val="ListAppxsFigsTables"/>
    <w:next w:val="ListAppxsFigsTables"/>
    <w:rsid w:val="005027D7"/>
  </w:style>
  <w:style w:type="paragraph" w:customStyle="1" w:styleId="TableText0">
    <w:name w:val="Table Text"/>
    <w:basedOn w:val="Normal"/>
    <w:semiHidden/>
    <w:rsid w:val="005027D7"/>
    <w:pPr>
      <w:spacing w:before="60" w:after="60"/>
    </w:pPr>
  </w:style>
  <w:style w:type="paragraph" w:styleId="TOAHeading">
    <w:name w:val="toa heading"/>
    <w:basedOn w:val="Normal"/>
    <w:next w:val="Normal"/>
    <w:rsid w:val="005027D7"/>
    <w:pPr>
      <w:spacing w:before="120"/>
    </w:pPr>
    <w:rPr>
      <w:rFonts w:cs="Arial"/>
      <w:b/>
      <w:bCs/>
      <w:sz w:val="24"/>
      <w:szCs w:val="24"/>
    </w:rPr>
  </w:style>
  <w:style w:type="paragraph" w:styleId="TOC5">
    <w:name w:val="toc 5"/>
    <w:basedOn w:val="Normal"/>
    <w:next w:val="Normal"/>
    <w:autoRedefine/>
    <w:rsid w:val="005027D7"/>
    <w:pPr>
      <w:ind w:left="800"/>
    </w:pPr>
  </w:style>
  <w:style w:type="paragraph" w:styleId="TOC6">
    <w:name w:val="toc 6"/>
    <w:basedOn w:val="Normal"/>
    <w:next w:val="Normal"/>
    <w:autoRedefine/>
    <w:rsid w:val="005027D7"/>
    <w:pPr>
      <w:ind w:left="1000"/>
    </w:pPr>
  </w:style>
  <w:style w:type="paragraph" w:styleId="TOC7">
    <w:name w:val="toc 7"/>
    <w:basedOn w:val="Normal"/>
    <w:next w:val="Normal"/>
    <w:autoRedefine/>
    <w:rsid w:val="005027D7"/>
    <w:pPr>
      <w:ind w:left="1200"/>
    </w:pPr>
  </w:style>
  <w:style w:type="paragraph" w:styleId="TOC8">
    <w:name w:val="toc 8"/>
    <w:basedOn w:val="Normal"/>
    <w:next w:val="Normal"/>
    <w:autoRedefine/>
    <w:rsid w:val="005027D7"/>
    <w:pPr>
      <w:ind w:left="1400"/>
    </w:pPr>
  </w:style>
  <w:style w:type="paragraph" w:styleId="TOC9">
    <w:name w:val="toc 9"/>
    <w:basedOn w:val="Normal"/>
    <w:next w:val="Normal"/>
    <w:autoRedefine/>
    <w:rsid w:val="005027D7"/>
    <w:pPr>
      <w:ind w:left="1600"/>
    </w:pPr>
  </w:style>
  <w:style w:type="paragraph" w:customStyle="1" w:styleId="PullQuoteBlue">
    <w:name w:val="_PullQuoteBlue"/>
    <w:basedOn w:val="ParaIndent"/>
    <w:rsid w:val="005027D7"/>
    <w:pPr>
      <w:spacing w:after="0"/>
      <w:ind w:left="0"/>
    </w:pPr>
    <w:rPr>
      <w:color w:val="FFFFFF"/>
    </w:rPr>
  </w:style>
  <w:style w:type="paragraph" w:customStyle="1" w:styleId="PullQuoteGreen">
    <w:name w:val="_PullQuoteGreen"/>
    <w:basedOn w:val="ParaIndent"/>
    <w:rsid w:val="005027D7"/>
    <w:pPr>
      <w:spacing w:after="0"/>
      <w:ind w:left="0"/>
    </w:pPr>
    <w:rPr>
      <w:color w:val="FFFFFF"/>
    </w:rPr>
  </w:style>
  <w:style w:type="paragraph" w:customStyle="1" w:styleId="WMDraft">
    <w:name w:val="_WMDraft"/>
    <w:rsid w:val="00FE53C5"/>
    <w:pPr>
      <w:spacing w:after="240" w:line="260" w:lineRule="atLeast"/>
    </w:pPr>
    <w:rPr>
      <w:rFonts w:ascii="Arial" w:hAnsi="Arial"/>
      <w:szCs w:val="24"/>
      <w:lang w:val="en-GB" w:eastAsia="en-US"/>
    </w:rPr>
  </w:style>
  <w:style w:type="character" w:styleId="BookTitle">
    <w:name w:val="Book Title"/>
    <w:basedOn w:val="DefaultParagraphFont"/>
    <w:uiPriority w:val="33"/>
    <w:rsid w:val="005027D7"/>
    <w:rPr>
      <w:b/>
      <w:bCs/>
      <w:smallCaps/>
      <w:spacing w:val="5"/>
    </w:rPr>
  </w:style>
  <w:style w:type="character" w:styleId="IntenseEmphasis">
    <w:name w:val="Intense Emphasis"/>
    <w:basedOn w:val="DefaultParagraphFont"/>
    <w:uiPriority w:val="21"/>
    <w:rsid w:val="005027D7"/>
    <w:rPr>
      <w:b/>
      <w:bCs/>
      <w:i/>
      <w:iCs/>
      <w:color w:val="4F81BD"/>
    </w:rPr>
  </w:style>
  <w:style w:type="paragraph" w:styleId="IntenseQuote">
    <w:name w:val="Intense Quote"/>
    <w:basedOn w:val="Normal"/>
    <w:next w:val="Normal"/>
    <w:link w:val="IntenseQuoteChar"/>
    <w:uiPriority w:val="30"/>
    <w:rsid w:val="005027D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53C5"/>
    <w:rPr>
      <w:rFonts w:ascii="Arial" w:hAnsi="Arial"/>
      <w:b/>
      <w:bCs/>
      <w:i/>
      <w:iCs/>
      <w:color w:val="4F81BD"/>
      <w:lang w:eastAsia="en-US"/>
    </w:rPr>
  </w:style>
  <w:style w:type="character" w:styleId="IntenseReference">
    <w:name w:val="Intense Reference"/>
    <w:basedOn w:val="DefaultParagraphFont"/>
    <w:uiPriority w:val="32"/>
    <w:rsid w:val="005027D7"/>
    <w:rPr>
      <w:b/>
      <w:bCs/>
      <w:smallCaps/>
      <w:color w:val="C0504D"/>
      <w:spacing w:val="5"/>
      <w:u w:val="single"/>
    </w:rPr>
  </w:style>
  <w:style w:type="paragraph" w:styleId="ListParagraph">
    <w:name w:val="List Paragraph"/>
    <w:basedOn w:val="Normal"/>
    <w:uiPriority w:val="34"/>
    <w:qFormat/>
    <w:rsid w:val="005027D7"/>
    <w:pPr>
      <w:ind w:left="720"/>
      <w:contextualSpacing/>
    </w:pPr>
  </w:style>
  <w:style w:type="paragraph" w:styleId="NoSpacing">
    <w:name w:val="No Spacing"/>
    <w:uiPriority w:val="1"/>
    <w:rsid w:val="005027D7"/>
    <w:pPr>
      <w:spacing w:after="120" w:line="260" w:lineRule="atLeast"/>
      <w:ind w:left="567"/>
    </w:pPr>
    <w:rPr>
      <w:rFonts w:ascii="Arial" w:hAnsi="Arial"/>
      <w:lang w:eastAsia="en-US"/>
    </w:rPr>
  </w:style>
  <w:style w:type="character" w:styleId="PlaceholderText">
    <w:name w:val="Placeholder Text"/>
    <w:basedOn w:val="DefaultParagraphFont"/>
    <w:semiHidden/>
    <w:rsid w:val="005027D7"/>
    <w:rPr>
      <w:rFonts w:cs="Times New Roman"/>
      <w:color w:val="808080"/>
    </w:rPr>
  </w:style>
  <w:style w:type="paragraph" w:customStyle="1" w:styleId="PSALevel1">
    <w:name w:val="PSALevel 1"/>
    <w:basedOn w:val="Normal"/>
    <w:rsid w:val="005027D7"/>
    <w:pPr>
      <w:keepNext/>
      <w:numPr>
        <w:numId w:val="24"/>
      </w:numPr>
      <w:spacing w:before="20" w:after="20" w:line="240" w:lineRule="auto"/>
    </w:pPr>
    <w:rPr>
      <w:rFonts w:ascii="Arial Narrow" w:hAnsi="Arial Narrow"/>
      <w:b/>
      <w:bCs/>
      <w:sz w:val="18"/>
    </w:rPr>
  </w:style>
  <w:style w:type="paragraph" w:styleId="Quote">
    <w:name w:val="Quote"/>
    <w:basedOn w:val="Normal"/>
    <w:next w:val="Normal"/>
    <w:link w:val="QuoteChar"/>
    <w:uiPriority w:val="29"/>
    <w:rsid w:val="005027D7"/>
    <w:rPr>
      <w:i/>
      <w:iCs/>
      <w:color w:val="000000"/>
    </w:rPr>
  </w:style>
  <w:style w:type="character" w:customStyle="1" w:styleId="QuoteChar">
    <w:name w:val="Quote Char"/>
    <w:basedOn w:val="DefaultParagraphFont"/>
    <w:link w:val="Quote"/>
    <w:uiPriority w:val="29"/>
    <w:rsid w:val="00FE53C5"/>
    <w:rPr>
      <w:rFonts w:ascii="Arial" w:hAnsi="Arial"/>
      <w:i/>
      <w:iCs/>
      <w:color w:val="000000"/>
      <w:lang w:eastAsia="en-US"/>
    </w:rPr>
  </w:style>
  <w:style w:type="character" w:styleId="SubtleEmphasis">
    <w:name w:val="Subtle Emphasis"/>
    <w:basedOn w:val="DefaultParagraphFont"/>
    <w:uiPriority w:val="19"/>
    <w:rsid w:val="005027D7"/>
    <w:rPr>
      <w:i/>
      <w:iCs/>
      <w:color w:val="808080"/>
    </w:rPr>
  </w:style>
  <w:style w:type="character" w:styleId="SubtleReference">
    <w:name w:val="Subtle Reference"/>
    <w:basedOn w:val="DefaultParagraphFont"/>
    <w:uiPriority w:val="31"/>
    <w:rsid w:val="005027D7"/>
    <w:rPr>
      <w:smallCaps/>
      <w:color w:val="C0504D"/>
      <w:u w:val="single"/>
    </w:rPr>
  </w:style>
  <w:style w:type="paragraph" w:customStyle="1" w:styleId="ToC40">
    <w:name w:val="_ToC4"/>
    <w:basedOn w:val="ToC20"/>
    <w:rsid w:val="005027D7"/>
    <w:pPr>
      <w:tabs>
        <w:tab w:val="left" w:pos="2268"/>
      </w:tabs>
      <w:spacing w:before="20" w:after="20"/>
      <w:ind w:left="2268" w:firstLine="0"/>
    </w:pPr>
  </w:style>
  <w:style w:type="paragraph" w:customStyle="1" w:styleId="ToC50">
    <w:name w:val="_ToC5"/>
    <w:basedOn w:val="ListAppxsFigsTables"/>
    <w:rsid w:val="005027D7"/>
  </w:style>
  <w:style w:type="character" w:customStyle="1" w:styleId="TableTextChar">
    <w:name w:val="_TableText Char"/>
    <w:basedOn w:val="DefaultParagraphFont"/>
    <w:link w:val="TableText"/>
    <w:rsid w:val="00016FA8"/>
    <w:rPr>
      <w:rFonts w:ascii="Arial" w:hAnsi="Arial"/>
      <w:sz w:val="18"/>
      <w:lang w:eastAsia="en-US"/>
    </w:rPr>
  </w:style>
  <w:style w:type="character" w:customStyle="1" w:styleId="TableHeadingChar">
    <w:name w:val="_TableHeading Char"/>
    <w:basedOn w:val="DefaultParagraphFont"/>
    <w:link w:val="TableHeading"/>
    <w:rsid w:val="00016FA8"/>
    <w:rPr>
      <w:rFonts w:ascii="Arial" w:hAnsi="Arial"/>
      <w:b/>
      <w:color w:val="495F70"/>
      <w:sz w:val="18"/>
      <w:lang w:eastAsia="en-US"/>
    </w:rPr>
  </w:style>
  <w:style w:type="paragraph" w:customStyle="1" w:styleId="style6">
    <w:name w:val="style6"/>
    <w:basedOn w:val="Normal"/>
    <w:rsid w:val="008A1316"/>
    <w:pPr>
      <w:spacing w:before="100" w:beforeAutospacing="1" w:after="100" w:afterAutospacing="1" w:line="240" w:lineRule="auto"/>
      <w:ind w:left="0"/>
    </w:pPr>
    <w:rPr>
      <w:rFonts w:cs="Arial"/>
      <w:sz w:val="26"/>
      <w:szCs w:val="26"/>
      <w:lang w:eastAsia="en-AU"/>
    </w:rPr>
  </w:style>
  <w:style w:type="character" w:customStyle="1" w:styleId="Heading1Char">
    <w:name w:val="Heading 1 Char"/>
    <w:basedOn w:val="DefaultParagraphFont"/>
    <w:link w:val="Heading10"/>
    <w:uiPriority w:val="9"/>
    <w:rsid w:val="00EC71AB"/>
    <w:rPr>
      <w:rFonts w:ascii="Arial Narrow" w:hAnsi="Arial Narrow"/>
      <w:kern w:val="28"/>
      <w:sz w:val="40"/>
      <w:lang w:eastAsia="en-US"/>
    </w:rPr>
  </w:style>
  <w:style w:type="character" w:customStyle="1" w:styleId="Heading2Char">
    <w:name w:val="Heading 2 Char"/>
    <w:basedOn w:val="DefaultParagraphFont"/>
    <w:link w:val="Heading20"/>
    <w:uiPriority w:val="9"/>
    <w:rsid w:val="00EC71AB"/>
    <w:rPr>
      <w:rFonts w:ascii="Arial Narrow" w:hAnsi="Arial Narrow"/>
      <w:sz w:val="36"/>
      <w:lang w:eastAsia="en-US"/>
    </w:rPr>
  </w:style>
  <w:style w:type="paragraph" w:customStyle="1" w:styleId="Default">
    <w:name w:val="Default"/>
    <w:rsid w:val="00E10083"/>
    <w:pPr>
      <w:autoSpaceDE w:val="0"/>
      <w:autoSpaceDN w:val="0"/>
      <w:adjustRightInd w:val="0"/>
    </w:pPr>
    <w:rPr>
      <w:rFonts w:ascii="Arial" w:hAnsi="Arial" w:cs="Arial"/>
      <w:color w:val="000000"/>
      <w:sz w:val="24"/>
      <w:szCs w:val="24"/>
    </w:rPr>
  </w:style>
  <w:style w:type="character" w:customStyle="1" w:styleId="Heading2Char0">
    <w:name w:val="_Heading2 Char"/>
    <w:basedOn w:val="DefaultParagraphFont"/>
    <w:link w:val="Heading2"/>
    <w:rsid w:val="0064400C"/>
    <w:rPr>
      <w:rFonts w:ascii="Arial" w:hAnsi="Arial" w:cs="Arial"/>
      <w:color w:val="495F70"/>
      <w:sz w:val="32"/>
      <w:lang w:eastAsia="en-US"/>
    </w:rPr>
  </w:style>
  <w:style w:type="paragraph" w:customStyle="1" w:styleId="Paragraph">
    <w:name w:val="Paragraph"/>
    <w:basedOn w:val="Sectiontext"/>
    <w:uiPriority w:val="99"/>
    <w:rsid w:val="00FC1D0C"/>
    <w:pPr>
      <w:ind w:left="1667" w:hanging="567"/>
    </w:pPr>
  </w:style>
  <w:style w:type="paragraph" w:customStyle="1" w:styleId="Sectiontext">
    <w:name w:val="Section text"/>
    <w:basedOn w:val="Normal"/>
    <w:uiPriority w:val="99"/>
    <w:rsid w:val="00FC1D0C"/>
    <w:pPr>
      <w:widowControl w:val="0"/>
      <w:spacing w:after="240" w:line="240" w:lineRule="auto"/>
      <w:ind w:left="1100"/>
      <w:jc w:val="both"/>
    </w:pPr>
    <w:rPr>
      <w:rFonts w:ascii="Helvetica" w:eastAsiaTheme="minorEastAsia" w:hAnsi="Helvetica" w:cs="Helvetica"/>
      <w:sz w:val="24"/>
      <w:szCs w:val="24"/>
      <w:lang w:eastAsia="en-AU"/>
    </w:rPr>
  </w:style>
  <w:style w:type="paragraph" w:customStyle="1" w:styleId="SectionHeading">
    <w:name w:val="Section Heading"/>
    <w:basedOn w:val="Normal"/>
    <w:next w:val="Sectiontext"/>
    <w:uiPriority w:val="99"/>
    <w:rsid w:val="00FC1D0C"/>
    <w:pPr>
      <w:keepNext/>
      <w:keepLines/>
      <w:widowControl w:val="0"/>
      <w:numPr>
        <w:numId w:val="33"/>
      </w:numPr>
      <w:tabs>
        <w:tab w:val="clear" w:pos="0"/>
        <w:tab w:val="left" w:pos="1100"/>
      </w:tabs>
      <w:spacing w:after="240" w:line="240" w:lineRule="auto"/>
      <w:ind w:left="1100" w:hanging="1100"/>
      <w:outlineLvl w:val="4"/>
    </w:pPr>
    <w:rPr>
      <w:rFonts w:ascii="Helvetica" w:eastAsiaTheme="minorEastAsia" w:hAnsi="Helvetica" w:cs="Helvetica"/>
      <w:b/>
      <w:bCs/>
      <w:sz w:val="24"/>
      <w:szCs w:val="24"/>
      <w:lang w:eastAsia="en-AU"/>
    </w:rPr>
  </w:style>
  <w:style w:type="paragraph" w:customStyle="1" w:styleId="Subsection">
    <w:name w:val="Subsection"/>
    <w:basedOn w:val="Sectiontext"/>
    <w:uiPriority w:val="99"/>
    <w:rsid w:val="00FC1D0C"/>
    <w:pPr>
      <w:tabs>
        <w:tab w:val="right" w:pos="902"/>
      </w:tabs>
      <w:ind w:hanging="1100"/>
    </w:pPr>
  </w:style>
  <w:style w:type="paragraph" w:customStyle="1" w:styleId="NewSectionHeading">
    <w:name w:val="New Section Heading"/>
    <w:basedOn w:val="Normal"/>
    <w:next w:val="Sectiontext"/>
    <w:uiPriority w:val="99"/>
    <w:rsid w:val="00F11D56"/>
    <w:pPr>
      <w:keepNext/>
      <w:keepLines/>
      <w:widowControl w:val="0"/>
      <w:spacing w:after="240" w:line="240" w:lineRule="auto"/>
      <w:ind w:left="1100" w:hanging="1100"/>
      <w:outlineLvl w:val="4"/>
    </w:pPr>
    <w:rPr>
      <w:rFonts w:ascii="Helvetica" w:hAnsi="Helvetica" w:cs="Helvetica"/>
      <w:b/>
      <w:bCs/>
      <w:sz w:val="24"/>
      <w:szCs w:val="24"/>
      <w:lang w:eastAsia="en-AU"/>
    </w:rPr>
  </w:style>
  <w:style w:type="paragraph" w:customStyle="1" w:styleId="Subpara">
    <w:name w:val="Subpara"/>
    <w:basedOn w:val="Paragraph"/>
    <w:uiPriority w:val="99"/>
    <w:rsid w:val="00F11D56"/>
    <w:pPr>
      <w:ind w:left="2268"/>
    </w:pPr>
    <w:rPr>
      <w:rFonts w:eastAsia="Times New Roman"/>
    </w:rPr>
  </w:style>
  <w:style w:type="character" w:customStyle="1" w:styleId="style11">
    <w:name w:val="style11"/>
    <w:basedOn w:val="DefaultParagraphFont"/>
    <w:rsid w:val="00CA0E41"/>
    <w:rPr>
      <w:color w:val="FF0000"/>
    </w:rPr>
  </w:style>
  <w:style w:type="character" w:customStyle="1" w:styleId="external">
    <w:name w:val="external"/>
    <w:basedOn w:val="DefaultParagraphFont"/>
    <w:rsid w:val="004957E5"/>
  </w:style>
</w:styles>
</file>

<file path=word/webSettings.xml><?xml version="1.0" encoding="utf-8"?>
<w:webSettings xmlns:r="http://schemas.openxmlformats.org/officeDocument/2006/relationships" xmlns:w="http://schemas.openxmlformats.org/wordprocessingml/2006/main">
  <w:divs>
    <w:div w:id="19819235">
      <w:bodyDiv w:val="1"/>
      <w:marLeft w:val="0"/>
      <w:marRight w:val="0"/>
      <w:marTop w:val="0"/>
      <w:marBottom w:val="0"/>
      <w:divBdr>
        <w:top w:val="none" w:sz="0" w:space="0" w:color="auto"/>
        <w:left w:val="none" w:sz="0" w:space="0" w:color="auto"/>
        <w:bottom w:val="none" w:sz="0" w:space="0" w:color="auto"/>
        <w:right w:val="none" w:sz="0" w:space="0" w:color="auto"/>
      </w:divBdr>
    </w:div>
    <w:div w:id="131796947">
      <w:bodyDiv w:val="1"/>
      <w:marLeft w:val="0"/>
      <w:marRight w:val="0"/>
      <w:marTop w:val="0"/>
      <w:marBottom w:val="0"/>
      <w:divBdr>
        <w:top w:val="none" w:sz="0" w:space="0" w:color="auto"/>
        <w:left w:val="none" w:sz="0" w:space="0" w:color="auto"/>
        <w:bottom w:val="none" w:sz="0" w:space="0" w:color="auto"/>
        <w:right w:val="none" w:sz="0" w:space="0" w:color="auto"/>
      </w:divBdr>
    </w:div>
    <w:div w:id="168065158">
      <w:bodyDiv w:val="1"/>
      <w:marLeft w:val="0"/>
      <w:marRight w:val="0"/>
      <w:marTop w:val="0"/>
      <w:marBottom w:val="0"/>
      <w:divBdr>
        <w:top w:val="none" w:sz="0" w:space="0" w:color="auto"/>
        <w:left w:val="none" w:sz="0" w:space="0" w:color="auto"/>
        <w:bottom w:val="none" w:sz="0" w:space="0" w:color="auto"/>
        <w:right w:val="none" w:sz="0" w:space="0" w:color="auto"/>
      </w:divBdr>
    </w:div>
    <w:div w:id="173810131">
      <w:bodyDiv w:val="1"/>
      <w:marLeft w:val="0"/>
      <w:marRight w:val="0"/>
      <w:marTop w:val="0"/>
      <w:marBottom w:val="0"/>
      <w:divBdr>
        <w:top w:val="none" w:sz="0" w:space="0" w:color="auto"/>
        <w:left w:val="none" w:sz="0" w:space="0" w:color="auto"/>
        <w:bottom w:val="none" w:sz="0" w:space="0" w:color="auto"/>
        <w:right w:val="none" w:sz="0" w:space="0" w:color="auto"/>
      </w:divBdr>
    </w:div>
    <w:div w:id="180317285">
      <w:bodyDiv w:val="1"/>
      <w:marLeft w:val="0"/>
      <w:marRight w:val="0"/>
      <w:marTop w:val="0"/>
      <w:marBottom w:val="0"/>
      <w:divBdr>
        <w:top w:val="none" w:sz="0" w:space="0" w:color="auto"/>
        <w:left w:val="none" w:sz="0" w:space="0" w:color="auto"/>
        <w:bottom w:val="none" w:sz="0" w:space="0" w:color="auto"/>
        <w:right w:val="none" w:sz="0" w:space="0" w:color="auto"/>
      </w:divBdr>
      <w:divsChild>
        <w:div w:id="1169325879">
          <w:marLeft w:val="0"/>
          <w:marRight w:val="0"/>
          <w:marTop w:val="0"/>
          <w:marBottom w:val="0"/>
          <w:divBdr>
            <w:top w:val="none" w:sz="0" w:space="0" w:color="auto"/>
            <w:left w:val="none" w:sz="0" w:space="0" w:color="auto"/>
            <w:bottom w:val="none" w:sz="0" w:space="0" w:color="auto"/>
            <w:right w:val="none" w:sz="0" w:space="0" w:color="auto"/>
          </w:divBdr>
          <w:divsChild>
            <w:div w:id="165874250">
              <w:marLeft w:val="0"/>
              <w:marRight w:val="0"/>
              <w:marTop w:val="0"/>
              <w:marBottom w:val="0"/>
              <w:divBdr>
                <w:top w:val="none" w:sz="0" w:space="0" w:color="auto"/>
                <w:left w:val="none" w:sz="0" w:space="0" w:color="auto"/>
                <w:bottom w:val="none" w:sz="0" w:space="0" w:color="auto"/>
                <w:right w:val="none" w:sz="0" w:space="0" w:color="auto"/>
              </w:divBdr>
              <w:divsChild>
                <w:div w:id="2141989931">
                  <w:marLeft w:val="0"/>
                  <w:marRight w:val="0"/>
                  <w:marTop w:val="0"/>
                  <w:marBottom w:val="0"/>
                  <w:divBdr>
                    <w:top w:val="none" w:sz="0" w:space="0" w:color="auto"/>
                    <w:left w:val="none" w:sz="0" w:space="0" w:color="auto"/>
                    <w:bottom w:val="none" w:sz="0" w:space="0" w:color="auto"/>
                    <w:right w:val="none" w:sz="0" w:space="0" w:color="auto"/>
                  </w:divBdr>
                  <w:divsChild>
                    <w:div w:id="1320038210">
                      <w:marLeft w:val="0"/>
                      <w:marRight w:val="0"/>
                      <w:marTop w:val="0"/>
                      <w:marBottom w:val="0"/>
                      <w:divBdr>
                        <w:top w:val="none" w:sz="0" w:space="0" w:color="auto"/>
                        <w:left w:val="none" w:sz="0" w:space="0" w:color="auto"/>
                        <w:bottom w:val="none" w:sz="0" w:space="0" w:color="auto"/>
                        <w:right w:val="none" w:sz="0" w:space="0" w:color="auto"/>
                      </w:divBdr>
                      <w:divsChild>
                        <w:div w:id="2014530517">
                          <w:marLeft w:val="0"/>
                          <w:marRight w:val="0"/>
                          <w:marTop w:val="0"/>
                          <w:marBottom w:val="0"/>
                          <w:divBdr>
                            <w:top w:val="none" w:sz="0" w:space="0" w:color="auto"/>
                            <w:left w:val="none" w:sz="0" w:space="0" w:color="auto"/>
                            <w:bottom w:val="none" w:sz="0" w:space="0" w:color="auto"/>
                            <w:right w:val="none" w:sz="0" w:space="0" w:color="auto"/>
                          </w:divBdr>
                          <w:divsChild>
                            <w:div w:id="996955038">
                              <w:marLeft w:val="0"/>
                              <w:marRight w:val="0"/>
                              <w:marTop w:val="0"/>
                              <w:marBottom w:val="0"/>
                              <w:divBdr>
                                <w:top w:val="none" w:sz="0" w:space="0" w:color="auto"/>
                                <w:left w:val="none" w:sz="0" w:space="0" w:color="auto"/>
                                <w:bottom w:val="none" w:sz="0" w:space="0" w:color="auto"/>
                                <w:right w:val="none" w:sz="0" w:space="0" w:color="auto"/>
                              </w:divBdr>
                              <w:divsChild>
                                <w:div w:id="510412357">
                                  <w:marLeft w:val="0"/>
                                  <w:marRight w:val="0"/>
                                  <w:marTop w:val="0"/>
                                  <w:marBottom w:val="0"/>
                                  <w:divBdr>
                                    <w:top w:val="none" w:sz="0" w:space="0" w:color="auto"/>
                                    <w:left w:val="none" w:sz="0" w:space="0" w:color="auto"/>
                                    <w:bottom w:val="none" w:sz="0" w:space="0" w:color="auto"/>
                                    <w:right w:val="none" w:sz="0" w:space="0" w:color="auto"/>
                                  </w:divBdr>
                                </w:div>
                                <w:div w:id="1663703473">
                                  <w:marLeft w:val="0"/>
                                  <w:marRight w:val="0"/>
                                  <w:marTop w:val="0"/>
                                  <w:marBottom w:val="0"/>
                                  <w:divBdr>
                                    <w:top w:val="none" w:sz="0" w:space="0" w:color="auto"/>
                                    <w:left w:val="none" w:sz="0" w:space="0" w:color="auto"/>
                                    <w:bottom w:val="none" w:sz="0" w:space="0" w:color="auto"/>
                                    <w:right w:val="none" w:sz="0" w:space="0" w:color="auto"/>
                                  </w:divBdr>
                                </w:div>
                                <w:div w:id="425922267">
                                  <w:marLeft w:val="0"/>
                                  <w:marRight w:val="0"/>
                                  <w:marTop w:val="0"/>
                                  <w:marBottom w:val="0"/>
                                  <w:divBdr>
                                    <w:top w:val="none" w:sz="0" w:space="0" w:color="auto"/>
                                    <w:left w:val="none" w:sz="0" w:space="0" w:color="auto"/>
                                    <w:bottom w:val="none" w:sz="0" w:space="0" w:color="auto"/>
                                    <w:right w:val="none" w:sz="0" w:space="0" w:color="auto"/>
                                  </w:divBdr>
                                </w:div>
                                <w:div w:id="20917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89275">
      <w:bodyDiv w:val="1"/>
      <w:marLeft w:val="0"/>
      <w:marRight w:val="0"/>
      <w:marTop w:val="0"/>
      <w:marBottom w:val="0"/>
      <w:divBdr>
        <w:top w:val="none" w:sz="0" w:space="0" w:color="auto"/>
        <w:left w:val="none" w:sz="0" w:space="0" w:color="auto"/>
        <w:bottom w:val="none" w:sz="0" w:space="0" w:color="auto"/>
        <w:right w:val="none" w:sz="0" w:space="0" w:color="auto"/>
      </w:divBdr>
    </w:div>
    <w:div w:id="189295133">
      <w:bodyDiv w:val="1"/>
      <w:marLeft w:val="0"/>
      <w:marRight w:val="0"/>
      <w:marTop w:val="0"/>
      <w:marBottom w:val="0"/>
      <w:divBdr>
        <w:top w:val="none" w:sz="0" w:space="0" w:color="auto"/>
        <w:left w:val="none" w:sz="0" w:space="0" w:color="auto"/>
        <w:bottom w:val="none" w:sz="0" w:space="0" w:color="auto"/>
        <w:right w:val="none" w:sz="0" w:space="0" w:color="auto"/>
      </w:divBdr>
    </w:div>
    <w:div w:id="203754668">
      <w:bodyDiv w:val="1"/>
      <w:marLeft w:val="0"/>
      <w:marRight w:val="0"/>
      <w:marTop w:val="0"/>
      <w:marBottom w:val="0"/>
      <w:divBdr>
        <w:top w:val="none" w:sz="0" w:space="0" w:color="auto"/>
        <w:left w:val="none" w:sz="0" w:space="0" w:color="auto"/>
        <w:bottom w:val="none" w:sz="0" w:space="0" w:color="auto"/>
        <w:right w:val="none" w:sz="0" w:space="0" w:color="auto"/>
      </w:divBdr>
    </w:div>
    <w:div w:id="203834258">
      <w:bodyDiv w:val="1"/>
      <w:marLeft w:val="0"/>
      <w:marRight w:val="0"/>
      <w:marTop w:val="0"/>
      <w:marBottom w:val="0"/>
      <w:divBdr>
        <w:top w:val="none" w:sz="0" w:space="0" w:color="auto"/>
        <w:left w:val="none" w:sz="0" w:space="0" w:color="auto"/>
        <w:bottom w:val="none" w:sz="0" w:space="0" w:color="auto"/>
        <w:right w:val="none" w:sz="0" w:space="0" w:color="auto"/>
      </w:divBdr>
      <w:divsChild>
        <w:div w:id="119446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08263">
      <w:bodyDiv w:val="1"/>
      <w:marLeft w:val="0"/>
      <w:marRight w:val="0"/>
      <w:marTop w:val="0"/>
      <w:marBottom w:val="0"/>
      <w:divBdr>
        <w:top w:val="none" w:sz="0" w:space="0" w:color="auto"/>
        <w:left w:val="none" w:sz="0" w:space="0" w:color="auto"/>
        <w:bottom w:val="none" w:sz="0" w:space="0" w:color="auto"/>
        <w:right w:val="none" w:sz="0" w:space="0" w:color="auto"/>
      </w:divBdr>
    </w:div>
    <w:div w:id="229772188">
      <w:bodyDiv w:val="1"/>
      <w:marLeft w:val="0"/>
      <w:marRight w:val="0"/>
      <w:marTop w:val="0"/>
      <w:marBottom w:val="0"/>
      <w:divBdr>
        <w:top w:val="none" w:sz="0" w:space="0" w:color="auto"/>
        <w:left w:val="none" w:sz="0" w:space="0" w:color="auto"/>
        <w:bottom w:val="none" w:sz="0" w:space="0" w:color="auto"/>
        <w:right w:val="none" w:sz="0" w:space="0" w:color="auto"/>
      </w:divBdr>
    </w:div>
    <w:div w:id="251553181">
      <w:bodyDiv w:val="1"/>
      <w:marLeft w:val="0"/>
      <w:marRight w:val="0"/>
      <w:marTop w:val="0"/>
      <w:marBottom w:val="0"/>
      <w:divBdr>
        <w:top w:val="none" w:sz="0" w:space="0" w:color="auto"/>
        <w:left w:val="none" w:sz="0" w:space="0" w:color="auto"/>
        <w:bottom w:val="none" w:sz="0" w:space="0" w:color="auto"/>
        <w:right w:val="none" w:sz="0" w:space="0" w:color="auto"/>
      </w:divBdr>
    </w:div>
    <w:div w:id="257098933">
      <w:bodyDiv w:val="1"/>
      <w:marLeft w:val="0"/>
      <w:marRight w:val="0"/>
      <w:marTop w:val="0"/>
      <w:marBottom w:val="0"/>
      <w:divBdr>
        <w:top w:val="none" w:sz="0" w:space="0" w:color="auto"/>
        <w:left w:val="none" w:sz="0" w:space="0" w:color="auto"/>
        <w:bottom w:val="none" w:sz="0" w:space="0" w:color="auto"/>
        <w:right w:val="none" w:sz="0" w:space="0" w:color="auto"/>
      </w:divBdr>
      <w:divsChild>
        <w:div w:id="190239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550503">
      <w:bodyDiv w:val="1"/>
      <w:marLeft w:val="0"/>
      <w:marRight w:val="0"/>
      <w:marTop w:val="0"/>
      <w:marBottom w:val="0"/>
      <w:divBdr>
        <w:top w:val="none" w:sz="0" w:space="0" w:color="auto"/>
        <w:left w:val="none" w:sz="0" w:space="0" w:color="auto"/>
        <w:bottom w:val="none" w:sz="0" w:space="0" w:color="auto"/>
        <w:right w:val="none" w:sz="0" w:space="0" w:color="auto"/>
      </w:divBdr>
    </w:div>
    <w:div w:id="352918635">
      <w:bodyDiv w:val="1"/>
      <w:marLeft w:val="0"/>
      <w:marRight w:val="0"/>
      <w:marTop w:val="0"/>
      <w:marBottom w:val="0"/>
      <w:divBdr>
        <w:top w:val="none" w:sz="0" w:space="0" w:color="auto"/>
        <w:left w:val="none" w:sz="0" w:space="0" w:color="auto"/>
        <w:bottom w:val="none" w:sz="0" w:space="0" w:color="auto"/>
        <w:right w:val="none" w:sz="0" w:space="0" w:color="auto"/>
      </w:divBdr>
    </w:div>
    <w:div w:id="363487566">
      <w:bodyDiv w:val="1"/>
      <w:marLeft w:val="0"/>
      <w:marRight w:val="0"/>
      <w:marTop w:val="0"/>
      <w:marBottom w:val="0"/>
      <w:divBdr>
        <w:top w:val="none" w:sz="0" w:space="0" w:color="auto"/>
        <w:left w:val="none" w:sz="0" w:space="0" w:color="auto"/>
        <w:bottom w:val="none" w:sz="0" w:space="0" w:color="auto"/>
        <w:right w:val="none" w:sz="0" w:space="0" w:color="auto"/>
      </w:divBdr>
    </w:div>
    <w:div w:id="432552856">
      <w:bodyDiv w:val="1"/>
      <w:marLeft w:val="0"/>
      <w:marRight w:val="0"/>
      <w:marTop w:val="0"/>
      <w:marBottom w:val="0"/>
      <w:divBdr>
        <w:top w:val="none" w:sz="0" w:space="0" w:color="auto"/>
        <w:left w:val="none" w:sz="0" w:space="0" w:color="auto"/>
        <w:bottom w:val="none" w:sz="0" w:space="0" w:color="auto"/>
        <w:right w:val="none" w:sz="0" w:space="0" w:color="auto"/>
      </w:divBdr>
      <w:divsChild>
        <w:div w:id="724986715">
          <w:marLeft w:val="0"/>
          <w:marRight w:val="0"/>
          <w:marTop w:val="0"/>
          <w:marBottom w:val="0"/>
          <w:divBdr>
            <w:top w:val="none" w:sz="0" w:space="0" w:color="auto"/>
            <w:left w:val="none" w:sz="0" w:space="0" w:color="auto"/>
            <w:bottom w:val="none" w:sz="0" w:space="0" w:color="auto"/>
            <w:right w:val="none" w:sz="0" w:space="0" w:color="auto"/>
          </w:divBdr>
          <w:divsChild>
            <w:div w:id="1457481886">
              <w:marLeft w:val="0"/>
              <w:marRight w:val="0"/>
              <w:marTop w:val="0"/>
              <w:marBottom w:val="0"/>
              <w:divBdr>
                <w:top w:val="none" w:sz="0" w:space="0" w:color="auto"/>
                <w:left w:val="none" w:sz="0" w:space="0" w:color="auto"/>
                <w:bottom w:val="none" w:sz="0" w:space="0" w:color="auto"/>
                <w:right w:val="none" w:sz="0" w:space="0" w:color="auto"/>
              </w:divBdr>
              <w:divsChild>
                <w:div w:id="1899585888">
                  <w:marLeft w:val="0"/>
                  <w:marRight w:val="0"/>
                  <w:marTop w:val="0"/>
                  <w:marBottom w:val="0"/>
                  <w:divBdr>
                    <w:top w:val="none" w:sz="0" w:space="0" w:color="auto"/>
                    <w:left w:val="none" w:sz="0" w:space="0" w:color="auto"/>
                    <w:bottom w:val="none" w:sz="0" w:space="0" w:color="auto"/>
                    <w:right w:val="none" w:sz="0" w:space="0" w:color="auto"/>
                  </w:divBdr>
                  <w:divsChild>
                    <w:div w:id="1982150186">
                      <w:marLeft w:val="0"/>
                      <w:marRight w:val="0"/>
                      <w:marTop w:val="0"/>
                      <w:marBottom w:val="0"/>
                      <w:divBdr>
                        <w:top w:val="none" w:sz="0" w:space="0" w:color="auto"/>
                        <w:left w:val="none" w:sz="0" w:space="0" w:color="auto"/>
                        <w:bottom w:val="none" w:sz="0" w:space="0" w:color="auto"/>
                        <w:right w:val="none" w:sz="0" w:space="0" w:color="auto"/>
                      </w:divBdr>
                      <w:divsChild>
                        <w:div w:id="187716026">
                          <w:marLeft w:val="0"/>
                          <w:marRight w:val="0"/>
                          <w:marTop w:val="0"/>
                          <w:marBottom w:val="0"/>
                          <w:divBdr>
                            <w:top w:val="none" w:sz="0" w:space="0" w:color="auto"/>
                            <w:left w:val="none" w:sz="0" w:space="0" w:color="auto"/>
                            <w:bottom w:val="none" w:sz="0" w:space="0" w:color="auto"/>
                            <w:right w:val="none" w:sz="0" w:space="0" w:color="auto"/>
                          </w:divBdr>
                          <w:divsChild>
                            <w:div w:id="8798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085225">
      <w:bodyDiv w:val="1"/>
      <w:marLeft w:val="0"/>
      <w:marRight w:val="0"/>
      <w:marTop w:val="0"/>
      <w:marBottom w:val="0"/>
      <w:divBdr>
        <w:top w:val="none" w:sz="0" w:space="0" w:color="auto"/>
        <w:left w:val="none" w:sz="0" w:space="0" w:color="auto"/>
        <w:bottom w:val="none" w:sz="0" w:space="0" w:color="auto"/>
        <w:right w:val="none" w:sz="0" w:space="0" w:color="auto"/>
      </w:divBdr>
    </w:div>
    <w:div w:id="466165171">
      <w:bodyDiv w:val="1"/>
      <w:marLeft w:val="0"/>
      <w:marRight w:val="0"/>
      <w:marTop w:val="0"/>
      <w:marBottom w:val="0"/>
      <w:divBdr>
        <w:top w:val="none" w:sz="0" w:space="0" w:color="auto"/>
        <w:left w:val="none" w:sz="0" w:space="0" w:color="auto"/>
        <w:bottom w:val="none" w:sz="0" w:space="0" w:color="auto"/>
        <w:right w:val="none" w:sz="0" w:space="0" w:color="auto"/>
      </w:divBdr>
      <w:divsChild>
        <w:div w:id="319889768">
          <w:marLeft w:val="0"/>
          <w:marRight w:val="0"/>
          <w:marTop w:val="0"/>
          <w:marBottom w:val="0"/>
          <w:divBdr>
            <w:top w:val="none" w:sz="0" w:space="0" w:color="auto"/>
            <w:left w:val="none" w:sz="0" w:space="0" w:color="auto"/>
            <w:bottom w:val="none" w:sz="0" w:space="0" w:color="auto"/>
            <w:right w:val="none" w:sz="0" w:space="0" w:color="auto"/>
          </w:divBdr>
          <w:divsChild>
            <w:div w:id="608583698">
              <w:marLeft w:val="0"/>
              <w:marRight w:val="0"/>
              <w:marTop w:val="0"/>
              <w:marBottom w:val="0"/>
              <w:divBdr>
                <w:top w:val="none" w:sz="0" w:space="0" w:color="auto"/>
                <w:left w:val="none" w:sz="0" w:space="0" w:color="auto"/>
                <w:bottom w:val="none" w:sz="0" w:space="0" w:color="auto"/>
                <w:right w:val="none" w:sz="0" w:space="0" w:color="auto"/>
              </w:divBdr>
              <w:divsChild>
                <w:div w:id="591360382">
                  <w:marLeft w:val="0"/>
                  <w:marRight w:val="0"/>
                  <w:marTop w:val="0"/>
                  <w:marBottom w:val="0"/>
                  <w:divBdr>
                    <w:top w:val="none" w:sz="0" w:space="0" w:color="auto"/>
                    <w:left w:val="none" w:sz="0" w:space="0" w:color="auto"/>
                    <w:bottom w:val="none" w:sz="0" w:space="0" w:color="auto"/>
                    <w:right w:val="none" w:sz="0" w:space="0" w:color="auto"/>
                  </w:divBdr>
                  <w:divsChild>
                    <w:div w:id="537863435">
                      <w:marLeft w:val="0"/>
                      <w:marRight w:val="0"/>
                      <w:marTop w:val="0"/>
                      <w:marBottom w:val="0"/>
                      <w:divBdr>
                        <w:top w:val="none" w:sz="0" w:space="0" w:color="auto"/>
                        <w:left w:val="none" w:sz="0" w:space="0" w:color="auto"/>
                        <w:bottom w:val="none" w:sz="0" w:space="0" w:color="auto"/>
                        <w:right w:val="none" w:sz="0" w:space="0" w:color="auto"/>
                      </w:divBdr>
                      <w:divsChild>
                        <w:div w:id="2127265104">
                          <w:marLeft w:val="0"/>
                          <w:marRight w:val="0"/>
                          <w:marTop w:val="0"/>
                          <w:marBottom w:val="0"/>
                          <w:divBdr>
                            <w:top w:val="none" w:sz="0" w:space="0" w:color="auto"/>
                            <w:left w:val="none" w:sz="0" w:space="0" w:color="auto"/>
                            <w:bottom w:val="none" w:sz="0" w:space="0" w:color="auto"/>
                            <w:right w:val="none" w:sz="0" w:space="0" w:color="auto"/>
                          </w:divBdr>
                          <w:divsChild>
                            <w:div w:id="10978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58726">
      <w:bodyDiv w:val="1"/>
      <w:marLeft w:val="0"/>
      <w:marRight w:val="0"/>
      <w:marTop w:val="0"/>
      <w:marBottom w:val="0"/>
      <w:divBdr>
        <w:top w:val="none" w:sz="0" w:space="0" w:color="auto"/>
        <w:left w:val="none" w:sz="0" w:space="0" w:color="auto"/>
        <w:bottom w:val="none" w:sz="0" w:space="0" w:color="auto"/>
        <w:right w:val="none" w:sz="0" w:space="0" w:color="auto"/>
      </w:divBdr>
      <w:divsChild>
        <w:div w:id="1646735304">
          <w:marLeft w:val="0"/>
          <w:marRight w:val="0"/>
          <w:marTop w:val="0"/>
          <w:marBottom w:val="0"/>
          <w:divBdr>
            <w:top w:val="none" w:sz="0" w:space="0" w:color="auto"/>
            <w:left w:val="none" w:sz="0" w:space="0" w:color="auto"/>
            <w:bottom w:val="none" w:sz="0" w:space="0" w:color="auto"/>
            <w:right w:val="none" w:sz="0" w:space="0" w:color="auto"/>
          </w:divBdr>
          <w:divsChild>
            <w:div w:id="359819164">
              <w:marLeft w:val="0"/>
              <w:marRight w:val="0"/>
              <w:marTop w:val="0"/>
              <w:marBottom w:val="0"/>
              <w:divBdr>
                <w:top w:val="none" w:sz="0" w:space="0" w:color="auto"/>
                <w:left w:val="none" w:sz="0" w:space="0" w:color="auto"/>
                <w:bottom w:val="none" w:sz="0" w:space="0" w:color="auto"/>
                <w:right w:val="none" w:sz="0" w:space="0" w:color="auto"/>
              </w:divBdr>
              <w:divsChild>
                <w:div w:id="928660278">
                  <w:marLeft w:val="0"/>
                  <w:marRight w:val="0"/>
                  <w:marTop w:val="192"/>
                  <w:marBottom w:val="250"/>
                  <w:divBdr>
                    <w:top w:val="none" w:sz="0" w:space="0" w:color="auto"/>
                    <w:left w:val="none" w:sz="0" w:space="0" w:color="auto"/>
                    <w:bottom w:val="none" w:sz="0" w:space="0" w:color="auto"/>
                    <w:right w:val="none" w:sz="0" w:space="0" w:color="auto"/>
                  </w:divBdr>
                  <w:divsChild>
                    <w:div w:id="913319566">
                      <w:marLeft w:val="0"/>
                      <w:marRight w:val="0"/>
                      <w:marTop w:val="0"/>
                      <w:marBottom w:val="0"/>
                      <w:divBdr>
                        <w:top w:val="none" w:sz="0" w:space="0" w:color="auto"/>
                        <w:left w:val="none" w:sz="0" w:space="0" w:color="auto"/>
                        <w:bottom w:val="none" w:sz="0" w:space="0" w:color="auto"/>
                        <w:right w:val="none" w:sz="0" w:space="0" w:color="auto"/>
                      </w:divBdr>
                      <w:divsChild>
                        <w:div w:id="932013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20846908">
      <w:bodyDiv w:val="1"/>
      <w:marLeft w:val="0"/>
      <w:marRight w:val="0"/>
      <w:marTop w:val="0"/>
      <w:marBottom w:val="0"/>
      <w:divBdr>
        <w:top w:val="none" w:sz="0" w:space="0" w:color="auto"/>
        <w:left w:val="none" w:sz="0" w:space="0" w:color="auto"/>
        <w:bottom w:val="none" w:sz="0" w:space="0" w:color="auto"/>
        <w:right w:val="none" w:sz="0" w:space="0" w:color="auto"/>
      </w:divBdr>
    </w:div>
    <w:div w:id="624584360">
      <w:bodyDiv w:val="1"/>
      <w:marLeft w:val="0"/>
      <w:marRight w:val="0"/>
      <w:marTop w:val="0"/>
      <w:marBottom w:val="0"/>
      <w:divBdr>
        <w:top w:val="none" w:sz="0" w:space="0" w:color="auto"/>
        <w:left w:val="none" w:sz="0" w:space="0" w:color="auto"/>
        <w:bottom w:val="none" w:sz="0" w:space="0" w:color="auto"/>
        <w:right w:val="none" w:sz="0" w:space="0" w:color="auto"/>
      </w:divBdr>
      <w:divsChild>
        <w:div w:id="339089851">
          <w:marLeft w:val="0"/>
          <w:marRight w:val="0"/>
          <w:marTop w:val="0"/>
          <w:marBottom w:val="0"/>
          <w:divBdr>
            <w:top w:val="none" w:sz="0" w:space="0" w:color="auto"/>
            <w:left w:val="none" w:sz="0" w:space="0" w:color="auto"/>
            <w:bottom w:val="none" w:sz="0" w:space="0" w:color="auto"/>
            <w:right w:val="none" w:sz="0" w:space="0" w:color="auto"/>
          </w:divBdr>
          <w:divsChild>
            <w:div w:id="993872378">
              <w:marLeft w:val="2454"/>
              <w:marRight w:val="0"/>
              <w:marTop w:val="0"/>
              <w:marBottom w:val="0"/>
              <w:divBdr>
                <w:top w:val="none" w:sz="0" w:space="0" w:color="auto"/>
                <w:left w:val="none" w:sz="0" w:space="0" w:color="auto"/>
                <w:bottom w:val="none" w:sz="0" w:space="0" w:color="auto"/>
                <w:right w:val="none" w:sz="0" w:space="0" w:color="auto"/>
              </w:divBdr>
              <w:divsChild>
                <w:div w:id="283967583">
                  <w:marLeft w:val="0"/>
                  <w:marRight w:val="-2442"/>
                  <w:marTop w:val="0"/>
                  <w:marBottom w:val="0"/>
                  <w:divBdr>
                    <w:top w:val="none" w:sz="0" w:space="0" w:color="auto"/>
                    <w:left w:val="none" w:sz="0" w:space="0" w:color="auto"/>
                    <w:bottom w:val="none" w:sz="0" w:space="0" w:color="auto"/>
                    <w:right w:val="none" w:sz="0" w:space="0" w:color="auto"/>
                  </w:divBdr>
                  <w:divsChild>
                    <w:div w:id="496119465">
                      <w:marLeft w:val="0"/>
                      <w:marRight w:val="0"/>
                      <w:marTop w:val="0"/>
                      <w:marBottom w:val="0"/>
                      <w:divBdr>
                        <w:top w:val="none" w:sz="0" w:space="0" w:color="auto"/>
                        <w:left w:val="none" w:sz="0" w:space="0" w:color="auto"/>
                        <w:bottom w:val="none" w:sz="0" w:space="0" w:color="auto"/>
                        <w:right w:val="none" w:sz="0" w:space="0" w:color="auto"/>
                      </w:divBdr>
                      <w:divsChild>
                        <w:div w:id="7853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534474">
      <w:bodyDiv w:val="1"/>
      <w:marLeft w:val="0"/>
      <w:marRight w:val="0"/>
      <w:marTop w:val="0"/>
      <w:marBottom w:val="0"/>
      <w:divBdr>
        <w:top w:val="none" w:sz="0" w:space="0" w:color="auto"/>
        <w:left w:val="none" w:sz="0" w:space="0" w:color="auto"/>
        <w:bottom w:val="none" w:sz="0" w:space="0" w:color="auto"/>
        <w:right w:val="none" w:sz="0" w:space="0" w:color="auto"/>
      </w:divBdr>
    </w:div>
    <w:div w:id="705255357">
      <w:bodyDiv w:val="1"/>
      <w:marLeft w:val="0"/>
      <w:marRight w:val="0"/>
      <w:marTop w:val="0"/>
      <w:marBottom w:val="0"/>
      <w:divBdr>
        <w:top w:val="none" w:sz="0" w:space="0" w:color="auto"/>
        <w:left w:val="none" w:sz="0" w:space="0" w:color="auto"/>
        <w:bottom w:val="none" w:sz="0" w:space="0" w:color="auto"/>
        <w:right w:val="none" w:sz="0" w:space="0" w:color="auto"/>
      </w:divBdr>
    </w:div>
    <w:div w:id="738329853">
      <w:bodyDiv w:val="1"/>
      <w:marLeft w:val="0"/>
      <w:marRight w:val="0"/>
      <w:marTop w:val="0"/>
      <w:marBottom w:val="0"/>
      <w:divBdr>
        <w:top w:val="none" w:sz="0" w:space="0" w:color="auto"/>
        <w:left w:val="none" w:sz="0" w:space="0" w:color="auto"/>
        <w:bottom w:val="none" w:sz="0" w:space="0" w:color="auto"/>
        <w:right w:val="none" w:sz="0" w:space="0" w:color="auto"/>
      </w:divBdr>
    </w:div>
    <w:div w:id="753279977">
      <w:bodyDiv w:val="1"/>
      <w:marLeft w:val="0"/>
      <w:marRight w:val="0"/>
      <w:marTop w:val="0"/>
      <w:marBottom w:val="0"/>
      <w:divBdr>
        <w:top w:val="none" w:sz="0" w:space="0" w:color="auto"/>
        <w:left w:val="none" w:sz="0" w:space="0" w:color="auto"/>
        <w:bottom w:val="none" w:sz="0" w:space="0" w:color="auto"/>
        <w:right w:val="none" w:sz="0" w:space="0" w:color="auto"/>
      </w:divBdr>
    </w:div>
    <w:div w:id="764761842">
      <w:bodyDiv w:val="1"/>
      <w:marLeft w:val="0"/>
      <w:marRight w:val="0"/>
      <w:marTop w:val="0"/>
      <w:marBottom w:val="0"/>
      <w:divBdr>
        <w:top w:val="none" w:sz="0" w:space="0" w:color="auto"/>
        <w:left w:val="none" w:sz="0" w:space="0" w:color="auto"/>
        <w:bottom w:val="none" w:sz="0" w:space="0" w:color="auto"/>
        <w:right w:val="none" w:sz="0" w:space="0" w:color="auto"/>
      </w:divBdr>
    </w:div>
    <w:div w:id="766968728">
      <w:bodyDiv w:val="1"/>
      <w:marLeft w:val="0"/>
      <w:marRight w:val="0"/>
      <w:marTop w:val="0"/>
      <w:marBottom w:val="0"/>
      <w:divBdr>
        <w:top w:val="none" w:sz="0" w:space="0" w:color="auto"/>
        <w:left w:val="none" w:sz="0" w:space="0" w:color="auto"/>
        <w:bottom w:val="none" w:sz="0" w:space="0" w:color="auto"/>
        <w:right w:val="none" w:sz="0" w:space="0" w:color="auto"/>
      </w:divBdr>
    </w:div>
    <w:div w:id="770125931">
      <w:bodyDiv w:val="1"/>
      <w:marLeft w:val="0"/>
      <w:marRight w:val="0"/>
      <w:marTop w:val="0"/>
      <w:marBottom w:val="0"/>
      <w:divBdr>
        <w:top w:val="none" w:sz="0" w:space="0" w:color="auto"/>
        <w:left w:val="none" w:sz="0" w:space="0" w:color="auto"/>
        <w:bottom w:val="none" w:sz="0" w:space="0" w:color="auto"/>
        <w:right w:val="none" w:sz="0" w:space="0" w:color="auto"/>
      </w:divBdr>
    </w:div>
    <w:div w:id="805008468">
      <w:bodyDiv w:val="1"/>
      <w:marLeft w:val="0"/>
      <w:marRight w:val="0"/>
      <w:marTop w:val="0"/>
      <w:marBottom w:val="0"/>
      <w:divBdr>
        <w:top w:val="none" w:sz="0" w:space="0" w:color="auto"/>
        <w:left w:val="none" w:sz="0" w:space="0" w:color="auto"/>
        <w:bottom w:val="none" w:sz="0" w:space="0" w:color="auto"/>
        <w:right w:val="none" w:sz="0" w:space="0" w:color="auto"/>
      </w:divBdr>
    </w:div>
    <w:div w:id="821779340">
      <w:bodyDiv w:val="1"/>
      <w:marLeft w:val="0"/>
      <w:marRight w:val="0"/>
      <w:marTop w:val="0"/>
      <w:marBottom w:val="0"/>
      <w:divBdr>
        <w:top w:val="none" w:sz="0" w:space="0" w:color="auto"/>
        <w:left w:val="none" w:sz="0" w:space="0" w:color="auto"/>
        <w:bottom w:val="none" w:sz="0" w:space="0" w:color="auto"/>
        <w:right w:val="none" w:sz="0" w:space="0" w:color="auto"/>
      </w:divBdr>
    </w:div>
    <w:div w:id="833685785">
      <w:bodyDiv w:val="1"/>
      <w:marLeft w:val="0"/>
      <w:marRight w:val="0"/>
      <w:marTop w:val="0"/>
      <w:marBottom w:val="0"/>
      <w:divBdr>
        <w:top w:val="none" w:sz="0" w:space="0" w:color="auto"/>
        <w:left w:val="none" w:sz="0" w:space="0" w:color="auto"/>
        <w:bottom w:val="none" w:sz="0" w:space="0" w:color="auto"/>
        <w:right w:val="none" w:sz="0" w:space="0" w:color="auto"/>
      </w:divBdr>
      <w:divsChild>
        <w:div w:id="300426521">
          <w:marLeft w:val="0"/>
          <w:marRight w:val="0"/>
          <w:marTop w:val="0"/>
          <w:marBottom w:val="0"/>
          <w:divBdr>
            <w:top w:val="none" w:sz="0" w:space="0" w:color="auto"/>
            <w:left w:val="none" w:sz="0" w:space="0" w:color="auto"/>
            <w:bottom w:val="none" w:sz="0" w:space="0" w:color="auto"/>
            <w:right w:val="none" w:sz="0" w:space="0" w:color="auto"/>
          </w:divBdr>
          <w:divsChild>
            <w:div w:id="1015813686">
              <w:marLeft w:val="0"/>
              <w:marRight w:val="0"/>
              <w:marTop w:val="0"/>
              <w:marBottom w:val="0"/>
              <w:divBdr>
                <w:top w:val="none" w:sz="0" w:space="0" w:color="auto"/>
                <w:left w:val="none" w:sz="0" w:space="0" w:color="auto"/>
                <w:bottom w:val="none" w:sz="0" w:space="0" w:color="auto"/>
                <w:right w:val="none" w:sz="0" w:space="0" w:color="auto"/>
              </w:divBdr>
              <w:divsChild>
                <w:div w:id="379087834">
                  <w:marLeft w:val="0"/>
                  <w:marRight w:val="0"/>
                  <w:marTop w:val="0"/>
                  <w:marBottom w:val="0"/>
                  <w:divBdr>
                    <w:top w:val="none" w:sz="0" w:space="0" w:color="auto"/>
                    <w:left w:val="none" w:sz="0" w:space="0" w:color="auto"/>
                    <w:bottom w:val="none" w:sz="0" w:space="0" w:color="auto"/>
                    <w:right w:val="none" w:sz="0" w:space="0" w:color="auto"/>
                  </w:divBdr>
                  <w:divsChild>
                    <w:div w:id="1505709269">
                      <w:marLeft w:val="0"/>
                      <w:marRight w:val="0"/>
                      <w:marTop w:val="0"/>
                      <w:marBottom w:val="0"/>
                      <w:divBdr>
                        <w:top w:val="none" w:sz="0" w:space="0" w:color="auto"/>
                        <w:left w:val="none" w:sz="0" w:space="0" w:color="auto"/>
                        <w:bottom w:val="none" w:sz="0" w:space="0" w:color="auto"/>
                        <w:right w:val="none" w:sz="0" w:space="0" w:color="auto"/>
                      </w:divBdr>
                      <w:divsChild>
                        <w:div w:id="1701124143">
                          <w:marLeft w:val="0"/>
                          <w:marRight w:val="0"/>
                          <w:marTop w:val="0"/>
                          <w:marBottom w:val="0"/>
                          <w:divBdr>
                            <w:top w:val="none" w:sz="0" w:space="0" w:color="auto"/>
                            <w:left w:val="none" w:sz="0" w:space="0" w:color="auto"/>
                            <w:bottom w:val="none" w:sz="0" w:space="0" w:color="auto"/>
                            <w:right w:val="none" w:sz="0" w:space="0" w:color="auto"/>
                          </w:divBdr>
                          <w:divsChild>
                            <w:div w:id="11575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699802">
      <w:bodyDiv w:val="1"/>
      <w:marLeft w:val="0"/>
      <w:marRight w:val="0"/>
      <w:marTop w:val="0"/>
      <w:marBottom w:val="0"/>
      <w:divBdr>
        <w:top w:val="none" w:sz="0" w:space="0" w:color="auto"/>
        <w:left w:val="none" w:sz="0" w:space="0" w:color="auto"/>
        <w:bottom w:val="none" w:sz="0" w:space="0" w:color="auto"/>
        <w:right w:val="none" w:sz="0" w:space="0" w:color="auto"/>
      </w:divBdr>
      <w:divsChild>
        <w:div w:id="1743680451">
          <w:marLeft w:val="0"/>
          <w:marRight w:val="0"/>
          <w:marTop w:val="0"/>
          <w:marBottom w:val="0"/>
          <w:divBdr>
            <w:top w:val="none" w:sz="0" w:space="0" w:color="auto"/>
            <w:left w:val="none" w:sz="0" w:space="0" w:color="auto"/>
            <w:bottom w:val="none" w:sz="0" w:space="0" w:color="auto"/>
            <w:right w:val="none" w:sz="0" w:space="0" w:color="auto"/>
          </w:divBdr>
          <w:divsChild>
            <w:div w:id="1213345604">
              <w:marLeft w:val="0"/>
              <w:marRight w:val="0"/>
              <w:marTop w:val="0"/>
              <w:marBottom w:val="0"/>
              <w:divBdr>
                <w:top w:val="none" w:sz="0" w:space="0" w:color="auto"/>
                <w:left w:val="none" w:sz="0" w:space="0" w:color="auto"/>
                <w:bottom w:val="none" w:sz="0" w:space="0" w:color="auto"/>
                <w:right w:val="none" w:sz="0" w:space="0" w:color="auto"/>
              </w:divBdr>
              <w:divsChild>
                <w:div w:id="908344286">
                  <w:marLeft w:val="0"/>
                  <w:marRight w:val="0"/>
                  <w:marTop w:val="0"/>
                  <w:marBottom w:val="0"/>
                  <w:divBdr>
                    <w:top w:val="none" w:sz="0" w:space="0" w:color="auto"/>
                    <w:left w:val="none" w:sz="0" w:space="0" w:color="auto"/>
                    <w:bottom w:val="none" w:sz="0" w:space="0" w:color="auto"/>
                    <w:right w:val="none" w:sz="0" w:space="0" w:color="auto"/>
                  </w:divBdr>
                  <w:divsChild>
                    <w:div w:id="765884979">
                      <w:marLeft w:val="0"/>
                      <w:marRight w:val="0"/>
                      <w:marTop w:val="0"/>
                      <w:marBottom w:val="0"/>
                      <w:divBdr>
                        <w:top w:val="none" w:sz="0" w:space="0" w:color="auto"/>
                        <w:left w:val="none" w:sz="0" w:space="0" w:color="auto"/>
                        <w:bottom w:val="none" w:sz="0" w:space="0" w:color="auto"/>
                        <w:right w:val="none" w:sz="0" w:space="0" w:color="auto"/>
                      </w:divBdr>
                      <w:divsChild>
                        <w:div w:id="88895320">
                          <w:marLeft w:val="0"/>
                          <w:marRight w:val="0"/>
                          <w:marTop w:val="0"/>
                          <w:marBottom w:val="0"/>
                          <w:divBdr>
                            <w:top w:val="none" w:sz="0" w:space="0" w:color="auto"/>
                            <w:left w:val="none" w:sz="0" w:space="0" w:color="auto"/>
                            <w:bottom w:val="none" w:sz="0" w:space="0" w:color="auto"/>
                            <w:right w:val="none" w:sz="0" w:space="0" w:color="auto"/>
                          </w:divBdr>
                          <w:divsChild>
                            <w:div w:id="14701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9458">
      <w:bodyDiv w:val="1"/>
      <w:marLeft w:val="0"/>
      <w:marRight w:val="0"/>
      <w:marTop w:val="0"/>
      <w:marBottom w:val="0"/>
      <w:divBdr>
        <w:top w:val="none" w:sz="0" w:space="0" w:color="auto"/>
        <w:left w:val="none" w:sz="0" w:space="0" w:color="auto"/>
        <w:bottom w:val="none" w:sz="0" w:space="0" w:color="auto"/>
        <w:right w:val="none" w:sz="0" w:space="0" w:color="auto"/>
      </w:divBdr>
    </w:div>
    <w:div w:id="846596065">
      <w:bodyDiv w:val="1"/>
      <w:marLeft w:val="0"/>
      <w:marRight w:val="0"/>
      <w:marTop w:val="0"/>
      <w:marBottom w:val="0"/>
      <w:divBdr>
        <w:top w:val="none" w:sz="0" w:space="0" w:color="auto"/>
        <w:left w:val="none" w:sz="0" w:space="0" w:color="auto"/>
        <w:bottom w:val="none" w:sz="0" w:space="0" w:color="auto"/>
        <w:right w:val="none" w:sz="0" w:space="0" w:color="auto"/>
      </w:divBdr>
    </w:div>
    <w:div w:id="878473659">
      <w:bodyDiv w:val="1"/>
      <w:marLeft w:val="0"/>
      <w:marRight w:val="0"/>
      <w:marTop w:val="0"/>
      <w:marBottom w:val="0"/>
      <w:divBdr>
        <w:top w:val="none" w:sz="0" w:space="0" w:color="auto"/>
        <w:left w:val="none" w:sz="0" w:space="0" w:color="auto"/>
        <w:bottom w:val="none" w:sz="0" w:space="0" w:color="auto"/>
        <w:right w:val="none" w:sz="0" w:space="0" w:color="auto"/>
      </w:divBdr>
    </w:div>
    <w:div w:id="883758613">
      <w:bodyDiv w:val="1"/>
      <w:marLeft w:val="0"/>
      <w:marRight w:val="0"/>
      <w:marTop w:val="0"/>
      <w:marBottom w:val="0"/>
      <w:divBdr>
        <w:top w:val="none" w:sz="0" w:space="0" w:color="auto"/>
        <w:left w:val="none" w:sz="0" w:space="0" w:color="auto"/>
        <w:bottom w:val="none" w:sz="0" w:space="0" w:color="auto"/>
        <w:right w:val="none" w:sz="0" w:space="0" w:color="auto"/>
      </w:divBdr>
      <w:divsChild>
        <w:div w:id="2044279159">
          <w:marLeft w:val="0"/>
          <w:marRight w:val="0"/>
          <w:marTop w:val="0"/>
          <w:marBottom w:val="0"/>
          <w:divBdr>
            <w:top w:val="none" w:sz="0" w:space="0" w:color="auto"/>
            <w:left w:val="none" w:sz="0" w:space="0" w:color="auto"/>
            <w:bottom w:val="none" w:sz="0" w:space="0" w:color="auto"/>
            <w:right w:val="none" w:sz="0" w:space="0" w:color="auto"/>
          </w:divBdr>
          <w:divsChild>
            <w:div w:id="53285315">
              <w:marLeft w:val="0"/>
              <w:marRight w:val="0"/>
              <w:marTop w:val="0"/>
              <w:marBottom w:val="0"/>
              <w:divBdr>
                <w:top w:val="none" w:sz="0" w:space="0" w:color="auto"/>
                <w:left w:val="none" w:sz="0" w:space="0" w:color="auto"/>
                <w:bottom w:val="none" w:sz="0" w:space="0" w:color="auto"/>
                <w:right w:val="none" w:sz="0" w:space="0" w:color="auto"/>
              </w:divBdr>
              <w:divsChild>
                <w:div w:id="1278877088">
                  <w:marLeft w:val="0"/>
                  <w:marRight w:val="0"/>
                  <w:marTop w:val="0"/>
                  <w:marBottom w:val="0"/>
                  <w:divBdr>
                    <w:top w:val="none" w:sz="0" w:space="0" w:color="auto"/>
                    <w:left w:val="none" w:sz="0" w:space="0" w:color="auto"/>
                    <w:bottom w:val="none" w:sz="0" w:space="0" w:color="auto"/>
                    <w:right w:val="none" w:sz="0" w:space="0" w:color="auto"/>
                  </w:divBdr>
                  <w:divsChild>
                    <w:div w:id="1193224347">
                      <w:marLeft w:val="0"/>
                      <w:marRight w:val="0"/>
                      <w:marTop w:val="0"/>
                      <w:marBottom w:val="0"/>
                      <w:divBdr>
                        <w:top w:val="none" w:sz="0" w:space="0" w:color="auto"/>
                        <w:left w:val="none" w:sz="0" w:space="0" w:color="auto"/>
                        <w:bottom w:val="none" w:sz="0" w:space="0" w:color="auto"/>
                        <w:right w:val="none" w:sz="0" w:space="0" w:color="auto"/>
                      </w:divBdr>
                      <w:divsChild>
                        <w:div w:id="12607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0627">
      <w:bodyDiv w:val="1"/>
      <w:marLeft w:val="0"/>
      <w:marRight w:val="0"/>
      <w:marTop w:val="0"/>
      <w:marBottom w:val="0"/>
      <w:divBdr>
        <w:top w:val="none" w:sz="0" w:space="0" w:color="auto"/>
        <w:left w:val="none" w:sz="0" w:space="0" w:color="auto"/>
        <w:bottom w:val="none" w:sz="0" w:space="0" w:color="auto"/>
        <w:right w:val="none" w:sz="0" w:space="0" w:color="auto"/>
      </w:divBdr>
      <w:divsChild>
        <w:div w:id="1673800592">
          <w:marLeft w:val="0"/>
          <w:marRight w:val="0"/>
          <w:marTop w:val="0"/>
          <w:marBottom w:val="0"/>
          <w:divBdr>
            <w:top w:val="none" w:sz="0" w:space="0" w:color="auto"/>
            <w:left w:val="none" w:sz="0" w:space="0" w:color="auto"/>
            <w:bottom w:val="none" w:sz="0" w:space="0" w:color="auto"/>
            <w:right w:val="none" w:sz="0" w:space="0" w:color="auto"/>
          </w:divBdr>
          <w:divsChild>
            <w:div w:id="2145269646">
              <w:marLeft w:val="0"/>
              <w:marRight w:val="0"/>
              <w:marTop w:val="0"/>
              <w:marBottom w:val="0"/>
              <w:divBdr>
                <w:top w:val="none" w:sz="0" w:space="0" w:color="auto"/>
                <w:left w:val="none" w:sz="0" w:space="0" w:color="auto"/>
                <w:bottom w:val="none" w:sz="0" w:space="0" w:color="auto"/>
                <w:right w:val="none" w:sz="0" w:space="0" w:color="auto"/>
              </w:divBdr>
              <w:divsChild>
                <w:div w:id="1979068002">
                  <w:marLeft w:val="0"/>
                  <w:marRight w:val="0"/>
                  <w:marTop w:val="0"/>
                  <w:marBottom w:val="0"/>
                  <w:divBdr>
                    <w:top w:val="none" w:sz="0" w:space="0" w:color="auto"/>
                    <w:left w:val="none" w:sz="0" w:space="0" w:color="auto"/>
                    <w:bottom w:val="none" w:sz="0" w:space="0" w:color="auto"/>
                    <w:right w:val="none" w:sz="0" w:space="0" w:color="auto"/>
                  </w:divBdr>
                  <w:divsChild>
                    <w:div w:id="1155414650">
                      <w:marLeft w:val="0"/>
                      <w:marRight w:val="0"/>
                      <w:marTop w:val="0"/>
                      <w:marBottom w:val="0"/>
                      <w:divBdr>
                        <w:top w:val="none" w:sz="0" w:space="0" w:color="auto"/>
                        <w:left w:val="none" w:sz="0" w:space="0" w:color="auto"/>
                        <w:bottom w:val="none" w:sz="0" w:space="0" w:color="auto"/>
                        <w:right w:val="none" w:sz="0" w:space="0" w:color="auto"/>
                      </w:divBdr>
                      <w:divsChild>
                        <w:div w:id="569460389">
                          <w:marLeft w:val="0"/>
                          <w:marRight w:val="0"/>
                          <w:marTop w:val="0"/>
                          <w:marBottom w:val="0"/>
                          <w:divBdr>
                            <w:top w:val="none" w:sz="0" w:space="0" w:color="auto"/>
                            <w:left w:val="none" w:sz="0" w:space="0" w:color="auto"/>
                            <w:bottom w:val="none" w:sz="0" w:space="0" w:color="auto"/>
                            <w:right w:val="none" w:sz="0" w:space="0" w:color="auto"/>
                          </w:divBdr>
                          <w:divsChild>
                            <w:div w:id="681930354">
                              <w:marLeft w:val="0"/>
                              <w:marRight w:val="0"/>
                              <w:marTop w:val="0"/>
                              <w:marBottom w:val="0"/>
                              <w:divBdr>
                                <w:top w:val="none" w:sz="0" w:space="0" w:color="auto"/>
                                <w:left w:val="none" w:sz="0" w:space="0" w:color="auto"/>
                                <w:bottom w:val="none" w:sz="0" w:space="0" w:color="auto"/>
                                <w:right w:val="none" w:sz="0" w:space="0" w:color="auto"/>
                              </w:divBdr>
                              <w:divsChild>
                                <w:div w:id="695471946">
                                  <w:marLeft w:val="0"/>
                                  <w:marRight w:val="0"/>
                                  <w:marTop w:val="0"/>
                                  <w:marBottom w:val="0"/>
                                  <w:divBdr>
                                    <w:top w:val="none" w:sz="0" w:space="0" w:color="auto"/>
                                    <w:left w:val="none" w:sz="0" w:space="0" w:color="auto"/>
                                    <w:bottom w:val="none" w:sz="0" w:space="0" w:color="auto"/>
                                    <w:right w:val="none" w:sz="0" w:space="0" w:color="auto"/>
                                  </w:divBdr>
                                </w:div>
                                <w:div w:id="820582081">
                                  <w:marLeft w:val="0"/>
                                  <w:marRight w:val="0"/>
                                  <w:marTop w:val="0"/>
                                  <w:marBottom w:val="0"/>
                                  <w:divBdr>
                                    <w:top w:val="none" w:sz="0" w:space="0" w:color="auto"/>
                                    <w:left w:val="none" w:sz="0" w:space="0" w:color="auto"/>
                                    <w:bottom w:val="none" w:sz="0" w:space="0" w:color="auto"/>
                                    <w:right w:val="none" w:sz="0" w:space="0" w:color="auto"/>
                                  </w:divBdr>
                                </w:div>
                                <w:div w:id="1526821251">
                                  <w:marLeft w:val="0"/>
                                  <w:marRight w:val="0"/>
                                  <w:marTop w:val="0"/>
                                  <w:marBottom w:val="0"/>
                                  <w:divBdr>
                                    <w:top w:val="none" w:sz="0" w:space="0" w:color="auto"/>
                                    <w:left w:val="none" w:sz="0" w:space="0" w:color="auto"/>
                                    <w:bottom w:val="none" w:sz="0" w:space="0" w:color="auto"/>
                                    <w:right w:val="none" w:sz="0" w:space="0" w:color="auto"/>
                                  </w:divBdr>
                                </w:div>
                                <w:div w:id="1582567204">
                                  <w:marLeft w:val="0"/>
                                  <w:marRight w:val="0"/>
                                  <w:marTop w:val="0"/>
                                  <w:marBottom w:val="0"/>
                                  <w:divBdr>
                                    <w:top w:val="none" w:sz="0" w:space="0" w:color="auto"/>
                                    <w:left w:val="none" w:sz="0" w:space="0" w:color="auto"/>
                                    <w:bottom w:val="none" w:sz="0" w:space="0" w:color="auto"/>
                                    <w:right w:val="none" w:sz="0" w:space="0" w:color="auto"/>
                                  </w:divBdr>
                                </w:div>
                                <w:div w:id="1604342247">
                                  <w:marLeft w:val="0"/>
                                  <w:marRight w:val="0"/>
                                  <w:marTop w:val="0"/>
                                  <w:marBottom w:val="0"/>
                                  <w:divBdr>
                                    <w:top w:val="none" w:sz="0" w:space="0" w:color="auto"/>
                                    <w:left w:val="none" w:sz="0" w:space="0" w:color="auto"/>
                                    <w:bottom w:val="none" w:sz="0" w:space="0" w:color="auto"/>
                                    <w:right w:val="none" w:sz="0" w:space="0" w:color="auto"/>
                                  </w:divBdr>
                                </w:div>
                                <w:div w:id="1636259083">
                                  <w:marLeft w:val="0"/>
                                  <w:marRight w:val="0"/>
                                  <w:marTop w:val="0"/>
                                  <w:marBottom w:val="0"/>
                                  <w:divBdr>
                                    <w:top w:val="none" w:sz="0" w:space="0" w:color="auto"/>
                                    <w:left w:val="none" w:sz="0" w:space="0" w:color="auto"/>
                                    <w:bottom w:val="none" w:sz="0" w:space="0" w:color="auto"/>
                                    <w:right w:val="none" w:sz="0" w:space="0" w:color="auto"/>
                                  </w:divBdr>
                                </w:div>
                                <w:div w:id="1705984644">
                                  <w:marLeft w:val="0"/>
                                  <w:marRight w:val="0"/>
                                  <w:marTop w:val="0"/>
                                  <w:marBottom w:val="0"/>
                                  <w:divBdr>
                                    <w:top w:val="none" w:sz="0" w:space="0" w:color="auto"/>
                                    <w:left w:val="none" w:sz="0" w:space="0" w:color="auto"/>
                                    <w:bottom w:val="none" w:sz="0" w:space="0" w:color="auto"/>
                                    <w:right w:val="none" w:sz="0" w:space="0" w:color="auto"/>
                                  </w:divBdr>
                                </w:div>
                                <w:div w:id="20652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276679">
      <w:bodyDiv w:val="1"/>
      <w:marLeft w:val="0"/>
      <w:marRight w:val="0"/>
      <w:marTop w:val="0"/>
      <w:marBottom w:val="0"/>
      <w:divBdr>
        <w:top w:val="none" w:sz="0" w:space="0" w:color="auto"/>
        <w:left w:val="none" w:sz="0" w:space="0" w:color="auto"/>
        <w:bottom w:val="none" w:sz="0" w:space="0" w:color="auto"/>
        <w:right w:val="none" w:sz="0" w:space="0" w:color="auto"/>
      </w:divBdr>
      <w:divsChild>
        <w:div w:id="1356882045">
          <w:marLeft w:val="0"/>
          <w:marRight w:val="0"/>
          <w:marTop w:val="0"/>
          <w:marBottom w:val="0"/>
          <w:divBdr>
            <w:top w:val="none" w:sz="0" w:space="0" w:color="auto"/>
            <w:left w:val="none" w:sz="0" w:space="0" w:color="auto"/>
            <w:bottom w:val="none" w:sz="0" w:space="0" w:color="auto"/>
            <w:right w:val="none" w:sz="0" w:space="0" w:color="auto"/>
          </w:divBdr>
          <w:divsChild>
            <w:div w:id="839589028">
              <w:marLeft w:val="0"/>
              <w:marRight w:val="0"/>
              <w:marTop w:val="0"/>
              <w:marBottom w:val="0"/>
              <w:divBdr>
                <w:top w:val="none" w:sz="0" w:space="0" w:color="auto"/>
                <w:left w:val="none" w:sz="0" w:space="0" w:color="auto"/>
                <w:bottom w:val="none" w:sz="0" w:space="0" w:color="auto"/>
                <w:right w:val="none" w:sz="0" w:space="0" w:color="auto"/>
              </w:divBdr>
              <w:divsChild>
                <w:div w:id="2116049147">
                  <w:marLeft w:val="0"/>
                  <w:marRight w:val="0"/>
                  <w:marTop w:val="0"/>
                  <w:marBottom w:val="0"/>
                  <w:divBdr>
                    <w:top w:val="none" w:sz="0" w:space="0" w:color="auto"/>
                    <w:left w:val="none" w:sz="0" w:space="0" w:color="auto"/>
                    <w:bottom w:val="none" w:sz="0" w:space="0" w:color="auto"/>
                    <w:right w:val="none" w:sz="0" w:space="0" w:color="auto"/>
                  </w:divBdr>
                  <w:divsChild>
                    <w:div w:id="1790277954">
                      <w:marLeft w:val="0"/>
                      <w:marRight w:val="0"/>
                      <w:marTop w:val="0"/>
                      <w:marBottom w:val="0"/>
                      <w:divBdr>
                        <w:top w:val="none" w:sz="0" w:space="0" w:color="auto"/>
                        <w:left w:val="none" w:sz="0" w:space="0" w:color="auto"/>
                        <w:bottom w:val="none" w:sz="0" w:space="0" w:color="auto"/>
                        <w:right w:val="none" w:sz="0" w:space="0" w:color="auto"/>
                      </w:divBdr>
                      <w:divsChild>
                        <w:div w:id="932661456">
                          <w:marLeft w:val="0"/>
                          <w:marRight w:val="0"/>
                          <w:marTop w:val="0"/>
                          <w:marBottom w:val="0"/>
                          <w:divBdr>
                            <w:top w:val="none" w:sz="0" w:space="0" w:color="auto"/>
                            <w:left w:val="none" w:sz="0" w:space="0" w:color="auto"/>
                            <w:bottom w:val="none" w:sz="0" w:space="0" w:color="auto"/>
                            <w:right w:val="none" w:sz="0" w:space="0" w:color="auto"/>
                          </w:divBdr>
                          <w:divsChild>
                            <w:div w:id="6946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09355">
      <w:bodyDiv w:val="1"/>
      <w:marLeft w:val="0"/>
      <w:marRight w:val="0"/>
      <w:marTop w:val="0"/>
      <w:marBottom w:val="0"/>
      <w:divBdr>
        <w:top w:val="none" w:sz="0" w:space="0" w:color="auto"/>
        <w:left w:val="none" w:sz="0" w:space="0" w:color="auto"/>
        <w:bottom w:val="none" w:sz="0" w:space="0" w:color="auto"/>
        <w:right w:val="none" w:sz="0" w:space="0" w:color="auto"/>
      </w:divBdr>
    </w:div>
    <w:div w:id="982926434">
      <w:bodyDiv w:val="1"/>
      <w:marLeft w:val="0"/>
      <w:marRight w:val="0"/>
      <w:marTop w:val="0"/>
      <w:marBottom w:val="0"/>
      <w:divBdr>
        <w:top w:val="none" w:sz="0" w:space="0" w:color="auto"/>
        <w:left w:val="none" w:sz="0" w:space="0" w:color="auto"/>
        <w:bottom w:val="none" w:sz="0" w:space="0" w:color="auto"/>
        <w:right w:val="none" w:sz="0" w:space="0" w:color="auto"/>
      </w:divBdr>
      <w:divsChild>
        <w:div w:id="527136284">
          <w:marLeft w:val="0"/>
          <w:marRight w:val="0"/>
          <w:marTop w:val="0"/>
          <w:marBottom w:val="0"/>
          <w:divBdr>
            <w:top w:val="none" w:sz="0" w:space="0" w:color="auto"/>
            <w:left w:val="none" w:sz="0" w:space="0" w:color="auto"/>
            <w:bottom w:val="none" w:sz="0" w:space="0" w:color="auto"/>
            <w:right w:val="none" w:sz="0" w:space="0" w:color="auto"/>
          </w:divBdr>
          <w:divsChild>
            <w:div w:id="1000278184">
              <w:marLeft w:val="0"/>
              <w:marRight w:val="0"/>
              <w:marTop w:val="0"/>
              <w:marBottom w:val="0"/>
              <w:divBdr>
                <w:top w:val="none" w:sz="0" w:space="0" w:color="auto"/>
                <w:left w:val="none" w:sz="0" w:space="0" w:color="auto"/>
                <w:bottom w:val="none" w:sz="0" w:space="0" w:color="auto"/>
                <w:right w:val="none" w:sz="0" w:space="0" w:color="auto"/>
              </w:divBdr>
              <w:divsChild>
                <w:div w:id="1642730202">
                  <w:marLeft w:val="0"/>
                  <w:marRight w:val="0"/>
                  <w:marTop w:val="0"/>
                  <w:marBottom w:val="0"/>
                  <w:divBdr>
                    <w:top w:val="none" w:sz="0" w:space="0" w:color="auto"/>
                    <w:left w:val="none" w:sz="0" w:space="0" w:color="auto"/>
                    <w:bottom w:val="none" w:sz="0" w:space="0" w:color="auto"/>
                    <w:right w:val="none" w:sz="0" w:space="0" w:color="auto"/>
                  </w:divBdr>
                  <w:divsChild>
                    <w:div w:id="177693435">
                      <w:marLeft w:val="0"/>
                      <w:marRight w:val="0"/>
                      <w:marTop w:val="0"/>
                      <w:marBottom w:val="0"/>
                      <w:divBdr>
                        <w:top w:val="none" w:sz="0" w:space="0" w:color="auto"/>
                        <w:left w:val="none" w:sz="0" w:space="0" w:color="auto"/>
                        <w:bottom w:val="none" w:sz="0" w:space="0" w:color="auto"/>
                        <w:right w:val="none" w:sz="0" w:space="0" w:color="auto"/>
                      </w:divBdr>
                      <w:divsChild>
                        <w:div w:id="12404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53030">
      <w:marLeft w:val="0"/>
      <w:marRight w:val="0"/>
      <w:marTop w:val="0"/>
      <w:marBottom w:val="0"/>
      <w:divBdr>
        <w:top w:val="none" w:sz="0" w:space="0" w:color="auto"/>
        <w:left w:val="none" w:sz="0" w:space="0" w:color="auto"/>
        <w:bottom w:val="none" w:sz="0" w:space="0" w:color="auto"/>
        <w:right w:val="none" w:sz="0" w:space="0" w:color="auto"/>
      </w:divBdr>
      <w:divsChild>
        <w:div w:id="1155342186">
          <w:marLeft w:val="0"/>
          <w:marRight w:val="0"/>
          <w:marTop w:val="0"/>
          <w:marBottom w:val="0"/>
          <w:divBdr>
            <w:top w:val="none" w:sz="0" w:space="0" w:color="auto"/>
            <w:left w:val="none" w:sz="0" w:space="0" w:color="auto"/>
            <w:bottom w:val="none" w:sz="0" w:space="0" w:color="auto"/>
            <w:right w:val="none" w:sz="0" w:space="0" w:color="auto"/>
          </w:divBdr>
          <w:divsChild>
            <w:div w:id="9652114">
              <w:marLeft w:val="0"/>
              <w:marRight w:val="0"/>
              <w:marTop w:val="0"/>
              <w:marBottom w:val="0"/>
              <w:divBdr>
                <w:top w:val="none" w:sz="0" w:space="0" w:color="auto"/>
                <w:left w:val="none" w:sz="0" w:space="0" w:color="auto"/>
                <w:bottom w:val="none" w:sz="0" w:space="0" w:color="auto"/>
                <w:right w:val="none" w:sz="0" w:space="0" w:color="auto"/>
              </w:divBdr>
              <w:divsChild>
                <w:div w:id="1705789131">
                  <w:marLeft w:val="0"/>
                  <w:marRight w:val="0"/>
                  <w:marTop w:val="0"/>
                  <w:marBottom w:val="0"/>
                  <w:divBdr>
                    <w:top w:val="none" w:sz="0" w:space="0" w:color="auto"/>
                    <w:left w:val="none" w:sz="0" w:space="0" w:color="auto"/>
                    <w:bottom w:val="none" w:sz="0" w:space="0" w:color="auto"/>
                    <w:right w:val="none" w:sz="0" w:space="0" w:color="auto"/>
                  </w:divBdr>
                  <w:divsChild>
                    <w:div w:id="4259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44172">
      <w:bodyDiv w:val="1"/>
      <w:marLeft w:val="0"/>
      <w:marRight w:val="0"/>
      <w:marTop w:val="0"/>
      <w:marBottom w:val="0"/>
      <w:divBdr>
        <w:top w:val="none" w:sz="0" w:space="0" w:color="auto"/>
        <w:left w:val="none" w:sz="0" w:space="0" w:color="auto"/>
        <w:bottom w:val="none" w:sz="0" w:space="0" w:color="auto"/>
        <w:right w:val="none" w:sz="0" w:space="0" w:color="auto"/>
      </w:divBdr>
      <w:divsChild>
        <w:div w:id="1718429904">
          <w:marLeft w:val="0"/>
          <w:marRight w:val="0"/>
          <w:marTop w:val="0"/>
          <w:marBottom w:val="0"/>
          <w:divBdr>
            <w:top w:val="none" w:sz="0" w:space="0" w:color="auto"/>
            <w:left w:val="none" w:sz="0" w:space="0" w:color="auto"/>
            <w:bottom w:val="none" w:sz="0" w:space="0" w:color="auto"/>
            <w:right w:val="none" w:sz="0" w:space="0" w:color="auto"/>
          </w:divBdr>
          <w:divsChild>
            <w:div w:id="1118717512">
              <w:marLeft w:val="0"/>
              <w:marRight w:val="0"/>
              <w:marTop w:val="0"/>
              <w:marBottom w:val="0"/>
              <w:divBdr>
                <w:top w:val="none" w:sz="0" w:space="0" w:color="auto"/>
                <w:left w:val="single" w:sz="4" w:space="0" w:color="7B6976"/>
                <w:bottom w:val="none" w:sz="0" w:space="0" w:color="auto"/>
                <w:right w:val="single" w:sz="4" w:space="0" w:color="7B6976"/>
              </w:divBdr>
              <w:divsChild>
                <w:div w:id="10634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2319">
      <w:bodyDiv w:val="1"/>
      <w:marLeft w:val="0"/>
      <w:marRight w:val="0"/>
      <w:marTop w:val="0"/>
      <w:marBottom w:val="0"/>
      <w:divBdr>
        <w:top w:val="none" w:sz="0" w:space="0" w:color="auto"/>
        <w:left w:val="none" w:sz="0" w:space="0" w:color="auto"/>
        <w:bottom w:val="none" w:sz="0" w:space="0" w:color="auto"/>
        <w:right w:val="none" w:sz="0" w:space="0" w:color="auto"/>
      </w:divBdr>
      <w:divsChild>
        <w:div w:id="1741364845">
          <w:marLeft w:val="0"/>
          <w:marRight w:val="0"/>
          <w:marTop w:val="0"/>
          <w:marBottom w:val="0"/>
          <w:divBdr>
            <w:top w:val="none" w:sz="0" w:space="0" w:color="auto"/>
            <w:left w:val="none" w:sz="0" w:space="0" w:color="auto"/>
            <w:bottom w:val="none" w:sz="0" w:space="0" w:color="auto"/>
            <w:right w:val="none" w:sz="0" w:space="0" w:color="auto"/>
          </w:divBdr>
          <w:divsChild>
            <w:div w:id="1020471815">
              <w:marLeft w:val="0"/>
              <w:marRight w:val="0"/>
              <w:marTop w:val="0"/>
              <w:marBottom w:val="0"/>
              <w:divBdr>
                <w:top w:val="none" w:sz="0" w:space="0" w:color="auto"/>
                <w:left w:val="none" w:sz="0" w:space="0" w:color="auto"/>
                <w:bottom w:val="none" w:sz="0" w:space="0" w:color="auto"/>
                <w:right w:val="none" w:sz="0" w:space="0" w:color="auto"/>
              </w:divBdr>
              <w:divsChild>
                <w:div w:id="1024787685">
                  <w:marLeft w:val="0"/>
                  <w:marRight w:val="0"/>
                  <w:marTop w:val="0"/>
                  <w:marBottom w:val="0"/>
                  <w:divBdr>
                    <w:top w:val="none" w:sz="0" w:space="0" w:color="auto"/>
                    <w:left w:val="none" w:sz="0" w:space="0" w:color="auto"/>
                    <w:bottom w:val="none" w:sz="0" w:space="0" w:color="auto"/>
                    <w:right w:val="none" w:sz="0" w:space="0" w:color="auto"/>
                  </w:divBdr>
                  <w:divsChild>
                    <w:div w:id="663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05966">
      <w:bodyDiv w:val="1"/>
      <w:marLeft w:val="0"/>
      <w:marRight w:val="0"/>
      <w:marTop w:val="0"/>
      <w:marBottom w:val="0"/>
      <w:divBdr>
        <w:top w:val="none" w:sz="0" w:space="0" w:color="auto"/>
        <w:left w:val="none" w:sz="0" w:space="0" w:color="auto"/>
        <w:bottom w:val="none" w:sz="0" w:space="0" w:color="auto"/>
        <w:right w:val="none" w:sz="0" w:space="0" w:color="auto"/>
      </w:divBdr>
    </w:div>
    <w:div w:id="1150631323">
      <w:bodyDiv w:val="1"/>
      <w:marLeft w:val="0"/>
      <w:marRight w:val="0"/>
      <w:marTop w:val="0"/>
      <w:marBottom w:val="0"/>
      <w:divBdr>
        <w:top w:val="none" w:sz="0" w:space="0" w:color="auto"/>
        <w:left w:val="none" w:sz="0" w:space="0" w:color="auto"/>
        <w:bottom w:val="none" w:sz="0" w:space="0" w:color="auto"/>
        <w:right w:val="none" w:sz="0" w:space="0" w:color="auto"/>
      </w:divBdr>
    </w:div>
    <w:div w:id="1155413080">
      <w:bodyDiv w:val="1"/>
      <w:marLeft w:val="0"/>
      <w:marRight w:val="0"/>
      <w:marTop w:val="0"/>
      <w:marBottom w:val="0"/>
      <w:divBdr>
        <w:top w:val="none" w:sz="0" w:space="0" w:color="auto"/>
        <w:left w:val="none" w:sz="0" w:space="0" w:color="auto"/>
        <w:bottom w:val="none" w:sz="0" w:space="0" w:color="auto"/>
        <w:right w:val="none" w:sz="0" w:space="0" w:color="auto"/>
      </w:divBdr>
    </w:div>
    <w:div w:id="1166172603">
      <w:bodyDiv w:val="1"/>
      <w:marLeft w:val="0"/>
      <w:marRight w:val="0"/>
      <w:marTop w:val="0"/>
      <w:marBottom w:val="0"/>
      <w:divBdr>
        <w:top w:val="none" w:sz="0" w:space="0" w:color="auto"/>
        <w:left w:val="none" w:sz="0" w:space="0" w:color="auto"/>
        <w:bottom w:val="none" w:sz="0" w:space="0" w:color="auto"/>
        <w:right w:val="none" w:sz="0" w:space="0" w:color="auto"/>
      </w:divBdr>
    </w:div>
    <w:div w:id="1217473687">
      <w:bodyDiv w:val="1"/>
      <w:marLeft w:val="0"/>
      <w:marRight w:val="0"/>
      <w:marTop w:val="0"/>
      <w:marBottom w:val="0"/>
      <w:divBdr>
        <w:top w:val="none" w:sz="0" w:space="0" w:color="auto"/>
        <w:left w:val="none" w:sz="0" w:space="0" w:color="auto"/>
        <w:bottom w:val="none" w:sz="0" w:space="0" w:color="auto"/>
        <w:right w:val="none" w:sz="0" w:space="0" w:color="auto"/>
      </w:divBdr>
    </w:div>
    <w:div w:id="1233152003">
      <w:bodyDiv w:val="1"/>
      <w:marLeft w:val="0"/>
      <w:marRight w:val="0"/>
      <w:marTop w:val="0"/>
      <w:marBottom w:val="0"/>
      <w:divBdr>
        <w:top w:val="none" w:sz="0" w:space="0" w:color="auto"/>
        <w:left w:val="none" w:sz="0" w:space="0" w:color="auto"/>
        <w:bottom w:val="none" w:sz="0" w:space="0" w:color="auto"/>
        <w:right w:val="none" w:sz="0" w:space="0" w:color="auto"/>
      </w:divBdr>
    </w:div>
    <w:div w:id="1288511289">
      <w:bodyDiv w:val="1"/>
      <w:marLeft w:val="0"/>
      <w:marRight w:val="0"/>
      <w:marTop w:val="0"/>
      <w:marBottom w:val="0"/>
      <w:divBdr>
        <w:top w:val="none" w:sz="0" w:space="0" w:color="auto"/>
        <w:left w:val="none" w:sz="0" w:space="0" w:color="auto"/>
        <w:bottom w:val="none" w:sz="0" w:space="0" w:color="auto"/>
        <w:right w:val="none" w:sz="0" w:space="0" w:color="auto"/>
      </w:divBdr>
    </w:div>
    <w:div w:id="1310791615">
      <w:bodyDiv w:val="1"/>
      <w:marLeft w:val="0"/>
      <w:marRight w:val="0"/>
      <w:marTop w:val="0"/>
      <w:marBottom w:val="0"/>
      <w:divBdr>
        <w:top w:val="none" w:sz="0" w:space="0" w:color="auto"/>
        <w:left w:val="none" w:sz="0" w:space="0" w:color="auto"/>
        <w:bottom w:val="none" w:sz="0" w:space="0" w:color="auto"/>
        <w:right w:val="none" w:sz="0" w:space="0" w:color="auto"/>
      </w:divBdr>
    </w:div>
    <w:div w:id="1360201106">
      <w:bodyDiv w:val="1"/>
      <w:marLeft w:val="0"/>
      <w:marRight w:val="0"/>
      <w:marTop w:val="0"/>
      <w:marBottom w:val="0"/>
      <w:divBdr>
        <w:top w:val="none" w:sz="0" w:space="0" w:color="auto"/>
        <w:left w:val="none" w:sz="0" w:space="0" w:color="auto"/>
        <w:bottom w:val="none" w:sz="0" w:space="0" w:color="auto"/>
        <w:right w:val="none" w:sz="0" w:space="0" w:color="auto"/>
      </w:divBdr>
      <w:divsChild>
        <w:div w:id="1113669355">
          <w:marLeft w:val="0"/>
          <w:marRight w:val="0"/>
          <w:marTop w:val="0"/>
          <w:marBottom w:val="0"/>
          <w:divBdr>
            <w:top w:val="none" w:sz="0" w:space="0" w:color="auto"/>
            <w:left w:val="none" w:sz="0" w:space="0" w:color="auto"/>
            <w:bottom w:val="none" w:sz="0" w:space="0" w:color="auto"/>
            <w:right w:val="none" w:sz="0" w:space="0" w:color="auto"/>
          </w:divBdr>
          <w:divsChild>
            <w:div w:id="960652503">
              <w:marLeft w:val="0"/>
              <w:marRight w:val="0"/>
              <w:marTop w:val="0"/>
              <w:marBottom w:val="0"/>
              <w:divBdr>
                <w:top w:val="none" w:sz="0" w:space="0" w:color="auto"/>
                <w:left w:val="none" w:sz="0" w:space="0" w:color="auto"/>
                <w:bottom w:val="none" w:sz="0" w:space="0" w:color="auto"/>
                <w:right w:val="none" w:sz="0" w:space="0" w:color="auto"/>
              </w:divBdr>
              <w:divsChild>
                <w:div w:id="517502172">
                  <w:marLeft w:val="0"/>
                  <w:marRight w:val="0"/>
                  <w:marTop w:val="0"/>
                  <w:marBottom w:val="0"/>
                  <w:divBdr>
                    <w:top w:val="none" w:sz="0" w:space="0" w:color="auto"/>
                    <w:left w:val="none" w:sz="0" w:space="0" w:color="auto"/>
                    <w:bottom w:val="none" w:sz="0" w:space="0" w:color="auto"/>
                    <w:right w:val="none" w:sz="0" w:space="0" w:color="auto"/>
                  </w:divBdr>
                  <w:divsChild>
                    <w:div w:id="579757124">
                      <w:marLeft w:val="0"/>
                      <w:marRight w:val="0"/>
                      <w:marTop w:val="0"/>
                      <w:marBottom w:val="0"/>
                      <w:divBdr>
                        <w:top w:val="none" w:sz="0" w:space="0" w:color="auto"/>
                        <w:left w:val="none" w:sz="0" w:space="0" w:color="auto"/>
                        <w:bottom w:val="none" w:sz="0" w:space="0" w:color="auto"/>
                        <w:right w:val="none" w:sz="0" w:space="0" w:color="auto"/>
                      </w:divBdr>
                      <w:divsChild>
                        <w:div w:id="422992580">
                          <w:marLeft w:val="0"/>
                          <w:marRight w:val="0"/>
                          <w:marTop w:val="0"/>
                          <w:marBottom w:val="0"/>
                          <w:divBdr>
                            <w:top w:val="none" w:sz="0" w:space="0" w:color="auto"/>
                            <w:left w:val="none" w:sz="0" w:space="0" w:color="auto"/>
                            <w:bottom w:val="none" w:sz="0" w:space="0" w:color="auto"/>
                            <w:right w:val="none" w:sz="0" w:space="0" w:color="auto"/>
                          </w:divBdr>
                          <w:divsChild>
                            <w:div w:id="327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18590">
      <w:bodyDiv w:val="1"/>
      <w:marLeft w:val="0"/>
      <w:marRight w:val="0"/>
      <w:marTop w:val="0"/>
      <w:marBottom w:val="0"/>
      <w:divBdr>
        <w:top w:val="none" w:sz="0" w:space="0" w:color="auto"/>
        <w:left w:val="none" w:sz="0" w:space="0" w:color="auto"/>
        <w:bottom w:val="none" w:sz="0" w:space="0" w:color="auto"/>
        <w:right w:val="none" w:sz="0" w:space="0" w:color="auto"/>
      </w:divBdr>
      <w:divsChild>
        <w:div w:id="1532107997">
          <w:marLeft w:val="0"/>
          <w:marRight w:val="0"/>
          <w:marTop w:val="0"/>
          <w:marBottom w:val="0"/>
          <w:divBdr>
            <w:top w:val="none" w:sz="0" w:space="0" w:color="auto"/>
            <w:left w:val="none" w:sz="0" w:space="0" w:color="auto"/>
            <w:bottom w:val="none" w:sz="0" w:space="0" w:color="auto"/>
            <w:right w:val="none" w:sz="0" w:space="0" w:color="auto"/>
          </w:divBdr>
          <w:divsChild>
            <w:div w:id="676618769">
              <w:marLeft w:val="0"/>
              <w:marRight w:val="0"/>
              <w:marTop w:val="0"/>
              <w:marBottom w:val="0"/>
              <w:divBdr>
                <w:top w:val="none" w:sz="0" w:space="0" w:color="auto"/>
                <w:left w:val="none" w:sz="0" w:space="0" w:color="auto"/>
                <w:bottom w:val="none" w:sz="0" w:space="0" w:color="auto"/>
                <w:right w:val="none" w:sz="0" w:space="0" w:color="auto"/>
              </w:divBdr>
              <w:divsChild>
                <w:div w:id="695077546">
                  <w:marLeft w:val="0"/>
                  <w:marRight w:val="0"/>
                  <w:marTop w:val="0"/>
                  <w:marBottom w:val="0"/>
                  <w:divBdr>
                    <w:top w:val="none" w:sz="0" w:space="0" w:color="auto"/>
                    <w:left w:val="none" w:sz="0" w:space="0" w:color="auto"/>
                    <w:bottom w:val="none" w:sz="0" w:space="0" w:color="auto"/>
                    <w:right w:val="none" w:sz="0" w:space="0" w:color="auto"/>
                  </w:divBdr>
                  <w:divsChild>
                    <w:div w:id="1907059740">
                      <w:marLeft w:val="0"/>
                      <w:marRight w:val="0"/>
                      <w:marTop w:val="0"/>
                      <w:marBottom w:val="0"/>
                      <w:divBdr>
                        <w:top w:val="none" w:sz="0" w:space="0" w:color="auto"/>
                        <w:left w:val="none" w:sz="0" w:space="0" w:color="auto"/>
                        <w:bottom w:val="none" w:sz="0" w:space="0" w:color="auto"/>
                        <w:right w:val="none" w:sz="0" w:space="0" w:color="auto"/>
                      </w:divBdr>
                      <w:divsChild>
                        <w:div w:id="9676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624173">
      <w:bodyDiv w:val="1"/>
      <w:marLeft w:val="0"/>
      <w:marRight w:val="0"/>
      <w:marTop w:val="0"/>
      <w:marBottom w:val="0"/>
      <w:divBdr>
        <w:top w:val="none" w:sz="0" w:space="0" w:color="auto"/>
        <w:left w:val="none" w:sz="0" w:space="0" w:color="auto"/>
        <w:bottom w:val="none" w:sz="0" w:space="0" w:color="auto"/>
        <w:right w:val="none" w:sz="0" w:space="0" w:color="auto"/>
      </w:divBdr>
    </w:div>
    <w:div w:id="1403259433">
      <w:bodyDiv w:val="1"/>
      <w:marLeft w:val="0"/>
      <w:marRight w:val="0"/>
      <w:marTop w:val="0"/>
      <w:marBottom w:val="0"/>
      <w:divBdr>
        <w:top w:val="none" w:sz="0" w:space="0" w:color="auto"/>
        <w:left w:val="none" w:sz="0" w:space="0" w:color="auto"/>
        <w:bottom w:val="none" w:sz="0" w:space="0" w:color="auto"/>
        <w:right w:val="none" w:sz="0" w:space="0" w:color="auto"/>
      </w:divBdr>
    </w:div>
    <w:div w:id="1411078631">
      <w:bodyDiv w:val="1"/>
      <w:marLeft w:val="0"/>
      <w:marRight w:val="0"/>
      <w:marTop w:val="0"/>
      <w:marBottom w:val="0"/>
      <w:divBdr>
        <w:top w:val="none" w:sz="0" w:space="0" w:color="auto"/>
        <w:left w:val="none" w:sz="0" w:space="0" w:color="auto"/>
        <w:bottom w:val="none" w:sz="0" w:space="0" w:color="auto"/>
        <w:right w:val="none" w:sz="0" w:space="0" w:color="auto"/>
      </w:divBdr>
    </w:div>
    <w:div w:id="1415780786">
      <w:bodyDiv w:val="1"/>
      <w:marLeft w:val="0"/>
      <w:marRight w:val="0"/>
      <w:marTop w:val="0"/>
      <w:marBottom w:val="0"/>
      <w:divBdr>
        <w:top w:val="none" w:sz="0" w:space="0" w:color="auto"/>
        <w:left w:val="none" w:sz="0" w:space="0" w:color="auto"/>
        <w:bottom w:val="none" w:sz="0" w:space="0" w:color="auto"/>
        <w:right w:val="none" w:sz="0" w:space="0" w:color="auto"/>
      </w:divBdr>
      <w:divsChild>
        <w:div w:id="1714618627">
          <w:marLeft w:val="0"/>
          <w:marRight w:val="0"/>
          <w:marTop w:val="0"/>
          <w:marBottom w:val="0"/>
          <w:divBdr>
            <w:top w:val="none" w:sz="0" w:space="0" w:color="auto"/>
            <w:left w:val="none" w:sz="0" w:space="0" w:color="auto"/>
            <w:bottom w:val="none" w:sz="0" w:space="0" w:color="auto"/>
            <w:right w:val="none" w:sz="0" w:space="0" w:color="auto"/>
          </w:divBdr>
        </w:div>
      </w:divsChild>
    </w:div>
    <w:div w:id="1430660394">
      <w:bodyDiv w:val="1"/>
      <w:marLeft w:val="0"/>
      <w:marRight w:val="0"/>
      <w:marTop w:val="0"/>
      <w:marBottom w:val="0"/>
      <w:divBdr>
        <w:top w:val="none" w:sz="0" w:space="0" w:color="auto"/>
        <w:left w:val="none" w:sz="0" w:space="0" w:color="auto"/>
        <w:bottom w:val="none" w:sz="0" w:space="0" w:color="auto"/>
        <w:right w:val="none" w:sz="0" w:space="0" w:color="auto"/>
      </w:divBdr>
      <w:divsChild>
        <w:div w:id="255409282">
          <w:marLeft w:val="0"/>
          <w:marRight w:val="0"/>
          <w:marTop w:val="0"/>
          <w:marBottom w:val="0"/>
          <w:divBdr>
            <w:top w:val="none" w:sz="0" w:space="0" w:color="auto"/>
            <w:left w:val="none" w:sz="0" w:space="0" w:color="auto"/>
            <w:bottom w:val="none" w:sz="0" w:space="0" w:color="auto"/>
            <w:right w:val="none" w:sz="0" w:space="0" w:color="auto"/>
          </w:divBdr>
          <w:divsChild>
            <w:div w:id="897011127">
              <w:marLeft w:val="0"/>
              <w:marRight w:val="0"/>
              <w:marTop w:val="0"/>
              <w:marBottom w:val="0"/>
              <w:divBdr>
                <w:top w:val="none" w:sz="0" w:space="0" w:color="auto"/>
                <w:left w:val="none" w:sz="0" w:space="0" w:color="auto"/>
                <w:bottom w:val="none" w:sz="0" w:space="0" w:color="auto"/>
                <w:right w:val="none" w:sz="0" w:space="0" w:color="auto"/>
              </w:divBdr>
              <w:divsChild>
                <w:div w:id="1684936293">
                  <w:marLeft w:val="0"/>
                  <w:marRight w:val="0"/>
                  <w:marTop w:val="0"/>
                  <w:marBottom w:val="0"/>
                  <w:divBdr>
                    <w:top w:val="none" w:sz="0" w:space="0" w:color="auto"/>
                    <w:left w:val="none" w:sz="0" w:space="0" w:color="auto"/>
                    <w:bottom w:val="none" w:sz="0" w:space="0" w:color="auto"/>
                    <w:right w:val="none" w:sz="0" w:space="0" w:color="auto"/>
                  </w:divBdr>
                  <w:divsChild>
                    <w:div w:id="530336025">
                      <w:marLeft w:val="0"/>
                      <w:marRight w:val="0"/>
                      <w:marTop w:val="0"/>
                      <w:marBottom w:val="0"/>
                      <w:divBdr>
                        <w:top w:val="none" w:sz="0" w:space="0" w:color="auto"/>
                        <w:left w:val="none" w:sz="0" w:space="0" w:color="auto"/>
                        <w:bottom w:val="none" w:sz="0" w:space="0" w:color="auto"/>
                        <w:right w:val="none" w:sz="0" w:space="0" w:color="auto"/>
                      </w:divBdr>
                      <w:divsChild>
                        <w:div w:id="802846986">
                          <w:marLeft w:val="0"/>
                          <w:marRight w:val="0"/>
                          <w:marTop w:val="0"/>
                          <w:marBottom w:val="0"/>
                          <w:divBdr>
                            <w:top w:val="none" w:sz="0" w:space="0" w:color="auto"/>
                            <w:left w:val="none" w:sz="0" w:space="0" w:color="auto"/>
                            <w:bottom w:val="none" w:sz="0" w:space="0" w:color="auto"/>
                            <w:right w:val="none" w:sz="0" w:space="0" w:color="auto"/>
                          </w:divBdr>
                          <w:divsChild>
                            <w:div w:id="6780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08588">
      <w:bodyDiv w:val="1"/>
      <w:marLeft w:val="0"/>
      <w:marRight w:val="0"/>
      <w:marTop w:val="0"/>
      <w:marBottom w:val="0"/>
      <w:divBdr>
        <w:top w:val="none" w:sz="0" w:space="0" w:color="auto"/>
        <w:left w:val="none" w:sz="0" w:space="0" w:color="auto"/>
        <w:bottom w:val="none" w:sz="0" w:space="0" w:color="auto"/>
        <w:right w:val="none" w:sz="0" w:space="0" w:color="auto"/>
      </w:divBdr>
    </w:div>
    <w:div w:id="1472944524">
      <w:bodyDiv w:val="1"/>
      <w:marLeft w:val="0"/>
      <w:marRight w:val="0"/>
      <w:marTop w:val="0"/>
      <w:marBottom w:val="0"/>
      <w:divBdr>
        <w:top w:val="none" w:sz="0" w:space="0" w:color="auto"/>
        <w:left w:val="none" w:sz="0" w:space="0" w:color="auto"/>
        <w:bottom w:val="none" w:sz="0" w:space="0" w:color="auto"/>
        <w:right w:val="none" w:sz="0" w:space="0" w:color="auto"/>
      </w:divBdr>
    </w:div>
    <w:div w:id="1479879723">
      <w:bodyDiv w:val="1"/>
      <w:marLeft w:val="0"/>
      <w:marRight w:val="0"/>
      <w:marTop w:val="0"/>
      <w:marBottom w:val="0"/>
      <w:divBdr>
        <w:top w:val="none" w:sz="0" w:space="0" w:color="auto"/>
        <w:left w:val="none" w:sz="0" w:space="0" w:color="auto"/>
        <w:bottom w:val="none" w:sz="0" w:space="0" w:color="auto"/>
        <w:right w:val="none" w:sz="0" w:space="0" w:color="auto"/>
      </w:divBdr>
    </w:div>
    <w:div w:id="1484738675">
      <w:bodyDiv w:val="1"/>
      <w:marLeft w:val="0"/>
      <w:marRight w:val="0"/>
      <w:marTop w:val="0"/>
      <w:marBottom w:val="0"/>
      <w:divBdr>
        <w:top w:val="none" w:sz="0" w:space="0" w:color="auto"/>
        <w:left w:val="none" w:sz="0" w:space="0" w:color="auto"/>
        <w:bottom w:val="none" w:sz="0" w:space="0" w:color="auto"/>
        <w:right w:val="none" w:sz="0" w:space="0" w:color="auto"/>
      </w:divBdr>
    </w:div>
    <w:div w:id="1488595655">
      <w:bodyDiv w:val="1"/>
      <w:marLeft w:val="0"/>
      <w:marRight w:val="0"/>
      <w:marTop w:val="0"/>
      <w:marBottom w:val="0"/>
      <w:divBdr>
        <w:top w:val="none" w:sz="0" w:space="0" w:color="auto"/>
        <w:left w:val="none" w:sz="0" w:space="0" w:color="auto"/>
        <w:bottom w:val="none" w:sz="0" w:space="0" w:color="auto"/>
        <w:right w:val="none" w:sz="0" w:space="0" w:color="auto"/>
      </w:divBdr>
      <w:divsChild>
        <w:div w:id="1289163576">
          <w:marLeft w:val="0"/>
          <w:marRight w:val="0"/>
          <w:marTop w:val="0"/>
          <w:marBottom w:val="0"/>
          <w:divBdr>
            <w:top w:val="none" w:sz="0" w:space="0" w:color="auto"/>
            <w:left w:val="none" w:sz="0" w:space="0" w:color="auto"/>
            <w:bottom w:val="none" w:sz="0" w:space="0" w:color="auto"/>
            <w:right w:val="none" w:sz="0" w:space="0" w:color="auto"/>
          </w:divBdr>
        </w:div>
      </w:divsChild>
    </w:div>
    <w:div w:id="1505898298">
      <w:bodyDiv w:val="1"/>
      <w:marLeft w:val="0"/>
      <w:marRight w:val="0"/>
      <w:marTop w:val="0"/>
      <w:marBottom w:val="0"/>
      <w:divBdr>
        <w:top w:val="none" w:sz="0" w:space="0" w:color="auto"/>
        <w:left w:val="none" w:sz="0" w:space="0" w:color="auto"/>
        <w:bottom w:val="none" w:sz="0" w:space="0" w:color="auto"/>
        <w:right w:val="none" w:sz="0" w:space="0" w:color="auto"/>
      </w:divBdr>
      <w:divsChild>
        <w:div w:id="910428320">
          <w:marLeft w:val="0"/>
          <w:marRight w:val="0"/>
          <w:marTop w:val="0"/>
          <w:marBottom w:val="0"/>
          <w:divBdr>
            <w:top w:val="none" w:sz="0" w:space="0" w:color="auto"/>
            <w:left w:val="none" w:sz="0" w:space="0" w:color="auto"/>
            <w:bottom w:val="none" w:sz="0" w:space="0" w:color="auto"/>
            <w:right w:val="none" w:sz="0" w:space="0" w:color="auto"/>
          </w:divBdr>
          <w:divsChild>
            <w:div w:id="1211266251">
              <w:marLeft w:val="0"/>
              <w:marRight w:val="0"/>
              <w:marTop w:val="0"/>
              <w:marBottom w:val="0"/>
              <w:divBdr>
                <w:top w:val="none" w:sz="0" w:space="0" w:color="auto"/>
                <w:left w:val="none" w:sz="0" w:space="0" w:color="auto"/>
                <w:bottom w:val="none" w:sz="0" w:space="0" w:color="auto"/>
                <w:right w:val="none" w:sz="0" w:space="0" w:color="auto"/>
              </w:divBdr>
              <w:divsChild>
                <w:div w:id="955524921">
                  <w:marLeft w:val="0"/>
                  <w:marRight w:val="0"/>
                  <w:marTop w:val="0"/>
                  <w:marBottom w:val="0"/>
                  <w:divBdr>
                    <w:top w:val="none" w:sz="0" w:space="0" w:color="auto"/>
                    <w:left w:val="none" w:sz="0" w:space="0" w:color="auto"/>
                    <w:bottom w:val="none" w:sz="0" w:space="0" w:color="auto"/>
                    <w:right w:val="none" w:sz="0" w:space="0" w:color="auto"/>
                  </w:divBdr>
                  <w:divsChild>
                    <w:div w:id="9555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2088">
      <w:bodyDiv w:val="1"/>
      <w:marLeft w:val="0"/>
      <w:marRight w:val="0"/>
      <w:marTop w:val="0"/>
      <w:marBottom w:val="0"/>
      <w:divBdr>
        <w:top w:val="none" w:sz="0" w:space="0" w:color="auto"/>
        <w:left w:val="none" w:sz="0" w:space="0" w:color="auto"/>
        <w:bottom w:val="none" w:sz="0" w:space="0" w:color="auto"/>
        <w:right w:val="none" w:sz="0" w:space="0" w:color="auto"/>
      </w:divBdr>
    </w:div>
    <w:div w:id="1649750254">
      <w:bodyDiv w:val="1"/>
      <w:marLeft w:val="0"/>
      <w:marRight w:val="0"/>
      <w:marTop w:val="0"/>
      <w:marBottom w:val="0"/>
      <w:divBdr>
        <w:top w:val="none" w:sz="0" w:space="0" w:color="auto"/>
        <w:left w:val="none" w:sz="0" w:space="0" w:color="auto"/>
        <w:bottom w:val="none" w:sz="0" w:space="0" w:color="auto"/>
        <w:right w:val="none" w:sz="0" w:space="0" w:color="auto"/>
      </w:divBdr>
      <w:divsChild>
        <w:div w:id="824584778">
          <w:marLeft w:val="0"/>
          <w:marRight w:val="0"/>
          <w:marTop w:val="0"/>
          <w:marBottom w:val="0"/>
          <w:divBdr>
            <w:top w:val="none" w:sz="0" w:space="0" w:color="auto"/>
            <w:left w:val="none" w:sz="0" w:space="0" w:color="auto"/>
            <w:bottom w:val="none" w:sz="0" w:space="0" w:color="auto"/>
            <w:right w:val="none" w:sz="0" w:space="0" w:color="auto"/>
          </w:divBdr>
          <w:divsChild>
            <w:div w:id="655449883">
              <w:marLeft w:val="0"/>
              <w:marRight w:val="0"/>
              <w:marTop w:val="0"/>
              <w:marBottom w:val="0"/>
              <w:divBdr>
                <w:top w:val="none" w:sz="0" w:space="0" w:color="auto"/>
                <w:left w:val="none" w:sz="0" w:space="0" w:color="auto"/>
                <w:bottom w:val="none" w:sz="0" w:space="0" w:color="auto"/>
                <w:right w:val="none" w:sz="0" w:space="0" w:color="auto"/>
              </w:divBdr>
              <w:divsChild>
                <w:div w:id="271591458">
                  <w:marLeft w:val="2379"/>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 w:id="1704667041">
      <w:bodyDiv w:val="1"/>
      <w:marLeft w:val="0"/>
      <w:marRight w:val="0"/>
      <w:marTop w:val="0"/>
      <w:marBottom w:val="0"/>
      <w:divBdr>
        <w:top w:val="none" w:sz="0" w:space="0" w:color="auto"/>
        <w:left w:val="none" w:sz="0" w:space="0" w:color="auto"/>
        <w:bottom w:val="none" w:sz="0" w:space="0" w:color="auto"/>
        <w:right w:val="none" w:sz="0" w:space="0" w:color="auto"/>
      </w:divBdr>
    </w:div>
    <w:div w:id="1725636190">
      <w:bodyDiv w:val="1"/>
      <w:marLeft w:val="0"/>
      <w:marRight w:val="0"/>
      <w:marTop w:val="0"/>
      <w:marBottom w:val="0"/>
      <w:divBdr>
        <w:top w:val="none" w:sz="0" w:space="0" w:color="auto"/>
        <w:left w:val="none" w:sz="0" w:space="0" w:color="auto"/>
        <w:bottom w:val="none" w:sz="0" w:space="0" w:color="auto"/>
        <w:right w:val="none" w:sz="0" w:space="0" w:color="auto"/>
      </w:divBdr>
    </w:div>
    <w:div w:id="1737587140">
      <w:bodyDiv w:val="1"/>
      <w:marLeft w:val="0"/>
      <w:marRight w:val="0"/>
      <w:marTop w:val="0"/>
      <w:marBottom w:val="0"/>
      <w:divBdr>
        <w:top w:val="none" w:sz="0" w:space="0" w:color="auto"/>
        <w:left w:val="none" w:sz="0" w:space="0" w:color="auto"/>
        <w:bottom w:val="none" w:sz="0" w:space="0" w:color="auto"/>
        <w:right w:val="none" w:sz="0" w:space="0" w:color="auto"/>
      </w:divBdr>
    </w:div>
    <w:div w:id="1755932095">
      <w:bodyDiv w:val="1"/>
      <w:marLeft w:val="0"/>
      <w:marRight w:val="0"/>
      <w:marTop w:val="0"/>
      <w:marBottom w:val="0"/>
      <w:divBdr>
        <w:top w:val="none" w:sz="0" w:space="0" w:color="auto"/>
        <w:left w:val="none" w:sz="0" w:space="0" w:color="auto"/>
        <w:bottom w:val="none" w:sz="0" w:space="0" w:color="auto"/>
        <w:right w:val="none" w:sz="0" w:space="0" w:color="auto"/>
      </w:divBdr>
    </w:div>
    <w:div w:id="1759793798">
      <w:bodyDiv w:val="1"/>
      <w:marLeft w:val="0"/>
      <w:marRight w:val="0"/>
      <w:marTop w:val="0"/>
      <w:marBottom w:val="0"/>
      <w:divBdr>
        <w:top w:val="none" w:sz="0" w:space="0" w:color="auto"/>
        <w:left w:val="none" w:sz="0" w:space="0" w:color="auto"/>
        <w:bottom w:val="none" w:sz="0" w:space="0" w:color="auto"/>
        <w:right w:val="none" w:sz="0" w:space="0" w:color="auto"/>
      </w:divBdr>
      <w:divsChild>
        <w:div w:id="2016422714">
          <w:marLeft w:val="0"/>
          <w:marRight w:val="0"/>
          <w:marTop w:val="0"/>
          <w:marBottom w:val="0"/>
          <w:divBdr>
            <w:top w:val="none" w:sz="0" w:space="0" w:color="auto"/>
            <w:left w:val="none" w:sz="0" w:space="0" w:color="auto"/>
            <w:bottom w:val="none" w:sz="0" w:space="0" w:color="auto"/>
            <w:right w:val="none" w:sz="0" w:space="0" w:color="auto"/>
          </w:divBdr>
          <w:divsChild>
            <w:div w:id="409737941">
              <w:marLeft w:val="0"/>
              <w:marRight w:val="0"/>
              <w:marTop w:val="0"/>
              <w:marBottom w:val="0"/>
              <w:divBdr>
                <w:top w:val="none" w:sz="0" w:space="0" w:color="auto"/>
                <w:left w:val="none" w:sz="0" w:space="0" w:color="auto"/>
                <w:bottom w:val="none" w:sz="0" w:space="0" w:color="auto"/>
                <w:right w:val="none" w:sz="0" w:space="0" w:color="auto"/>
              </w:divBdr>
              <w:divsChild>
                <w:div w:id="1793674559">
                  <w:marLeft w:val="0"/>
                  <w:marRight w:val="0"/>
                  <w:marTop w:val="0"/>
                  <w:marBottom w:val="0"/>
                  <w:divBdr>
                    <w:top w:val="none" w:sz="0" w:space="0" w:color="auto"/>
                    <w:left w:val="none" w:sz="0" w:space="0" w:color="auto"/>
                    <w:bottom w:val="none" w:sz="0" w:space="0" w:color="auto"/>
                    <w:right w:val="none" w:sz="0" w:space="0" w:color="auto"/>
                  </w:divBdr>
                  <w:divsChild>
                    <w:div w:id="867764351">
                      <w:marLeft w:val="0"/>
                      <w:marRight w:val="0"/>
                      <w:marTop w:val="0"/>
                      <w:marBottom w:val="0"/>
                      <w:divBdr>
                        <w:top w:val="none" w:sz="0" w:space="0" w:color="auto"/>
                        <w:left w:val="none" w:sz="0" w:space="0" w:color="auto"/>
                        <w:bottom w:val="none" w:sz="0" w:space="0" w:color="auto"/>
                        <w:right w:val="none" w:sz="0" w:space="0" w:color="auto"/>
                      </w:divBdr>
                      <w:divsChild>
                        <w:div w:id="1760253716">
                          <w:marLeft w:val="0"/>
                          <w:marRight w:val="0"/>
                          <w:marTop w:val="0"/>
                          <w:marBottom w:val="0"/>
                          <w:divBdr>
                            <w:top w:val="none" w:sz="0" w:space="0" w:color="auto"/>
                            <w:left w:val="none" w:sz="0" w:space="0" w:color="auto"/>
                            <w:bottom w:val="none" w:sz="0" w:space="0" w:color="auto"/>
                            <w:right w:val="none" w:sz="0" w:space="0" w:color="auto"/>
                          </w:divBdr>
                          <w:divsChild>
                            <w:div w:id="1130709743">
                              <w:marLeft w:val="0"/>
                              <w:marRight w:val="0"/>
                              <w:marTop w:val="0"/>
                              <w:marBottom w:val="0"/>
                              <w:divBdr>
                                <w:top w:val="none" w:sz="0" w:space="0" w:color="auto"/>
                                <w:left w:val="none" w:sz="0" w:space="0" w:color="auto"/>
                                <w:bottom w:val="none" w:sz="0" w:space="0" w:color="auto"/>
                                <w:right w:val="none" w:sz="0" w:space="0" w:color="auto"/>
                              </w:divBdr>
                              <w:divsChild>
                                <w:div w:id="606932264">
                                  <w:marLeft w:val="0"/>
                                  <w:marRight w:val="0"/>
                                  <w:marTop w:val="0"/>
                                  <w:marBottom w:val="0"/>
                                  <w:divBdr>
                                    <w:top w:val="none" w:sz="0" w:space="0" w:color="auto"/>
                                    <w:left w:val="none" w:sz="0" w:space="0" w:color="auto"/>
                                    <w:bottom w:val="none" w:sz="0" w:space="0" w:color="auto"/>
                                    <w:right w:val="none" w:sz="0" w:space="0" w:color="auto"/>
                                  </w:divBdr>
                                  <w:divsChild>
                                    <w:div w:id="1423726165">
                                      <w:marLeft w:val="0"/>
                                      <w:marRight w:val="0"/>
                                      <w:marTop w:val="0"/>
                                      <w:marBottom w:val="0"/>
                                      <w:divBdr>
                                        <w:top w:val="none" w:sz="0" w:space="0" w:color="auto"/>
                                        <w:left w:val="none" w:sz="0" w:space="0" w:color="auto"/>
                                        <w:bottom w:val="none" w:sz="0" w:space="0" w:color="auto"/>
                                        <w:right w:val="none" w:sz="0" w:space="0" w:color="auto"/>
                                      </w:divBdr>
                                      <w:divsChild>
                                        <w:div w:id="52703935">
                                          <w:marLeft w:val="0"/>
                                          <w:marRight w:val="0"/>
                                          <w:marTop w:val="0"/>
                                          <w:marBottom w:val="0"/>
                                          <w:divBdr>
                                            <w:top w:val="none" w:sz="0" w:space="0" w:color="auto"/>
                                            <w:left w:val="none" w:sz="0" w:space="0" w:color="auto"/>
                                            <w:bottom w:val="none" w:sz="0" w:space="0" w:color="auto"/>
                                            <w:right w:val="none" w:sz="0" w:space="0" w:color="auto"/>
                                          </w:divBdr>
                                          <w:divsChild>
                                            <w:div w:id="1852332412">
                                              <w:marLeft w:val="0"/>
                                              <w:marRight w:val="0"/>
                                              <w:marTop w:val="0"/>
                                              <w:marBottom w:val="0"/>
                                              <w:divBdr>
                                                <w:top w:val="none" w:sz="0" w:space="0" w:color="auto"/>
                                                <w:left w:val="none" w:sz="0" w:space="0" w:color="auto"/>
                                                <w:bottom w:val="none" w:sz="0" w:space="0" w:color="auto"/>
                                                <w:right w:val="none" w:sz="0" w:space="0" w:color="auto"/>
                                              </w:divBdr>
                                              <w:divsChild>
                                                <w:div w:id="1378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821987">
      <w:bodyDiv w:val="1"/>
      <w:marLeft w:val="0"/>
      <w:marRight w:val="0"/>
      <w:marTop w:val="0"/>
      <w:marBottom w:val="0"/>
      <w:divBdr>
        <w:top w:val="none" w:sz="0" w:space="0" w:color="auto"/>
        <w:left w:val="none" w:sz="0" w:space="0" w:color="auto"/>
        <w:bottom w:val="none" w:sz="0" w:space="0" w:color="auto"/>
        <w:right w:val="none" w:sz="0" w:space="0" w:color="auto"/>
      </w:divBdr>
    </w:div>
    <w:div w:id="1802187701">
      <w:bodyDiv w:val="1"/>
      <w:marLeft w:val="0"/>
      <w:marRight w:val="0"/>
      <w:marTop w:val="0"/>
      <w:marBottom w:val="0"/>
      <w:divBdr>
        <w:top w:val="none" w:sz="0" w:space="0" w:color="auto"/>
        <w:left w:val="none" w:sz="0" w:space="0" w:color="auto"/>
        <w:bottom w:val="none" w:sz="0" w:space="0" w:color="auto"/>
        <w:right w:val="none" w:sz="0" w:space="0" w:color="auto"/>
      </w:divBdr>
    </w:div>
    <w:div w:id="1856142662">
      <w:bodyDiv w:val="1"/>
      <w:marLeft w:val="0"/>
      <w:marRight w:val="0"/>
      <w:marTop w:val="0"/>
      <w:marBottom w:val="0"/>
      <w:divBdr>
        <w:top w:val="none" w:sz="0" w:space="0" w:color="auto"/>
        <w:left w:val="none" w:sz="0" w:space="0" w:color="auto"/>
        <w:bottom w:val="none" w:sz="0" w:space="0" w:color="auto"/>
        <w:right w:val="none" w:sz="0" w:space="0" w:color="auto"/>
      </w:divBdr>
      <w:divsChild>
        <w:div w:id="1794403792">
          <w:marLeft w:val="0"/>
          <w:marRight w:val="0"/>
          <w:marTop w:val="0"/>
          <w:marBottom w:val="0"/>
          <w:divBdr>
            <w:top w:val="none" w:sz="0" w:space="0" w:color="auto"/>
            <w:left w:val="none" w:sz="0" w:space="0" w:color="auto"/>
            <w:bottom w:val="none" w:sz="0" w:space="0" w:color="auto"/>
            <w:right w:val="none" w:sz="0" w:space="0" w:color="auto"/>
          </w:divBdr>
          <w:divsChild>
            <w:div w:id="1894851044">
              <w:marLeft w:val="0"/>
              <w:marRight w:val="0"/>
              <w:marTop w:val="0"/>
              <w:marBottom w:val="0"/>
              <w:divBdr>
                <w:top w:val="none" w:sz="0" w:space="0" w:color="auto"/>
                <w:left w:val="none" w:sz="0" w:space="0" w:color="auto"/>
                <w:bottom w:val="none" w:sz="0" w:space="0" w:color="auto"/>
                <w:right w:val="none" w:sz="0" w:space="0" w:color="auto"/>
              </w:divBdr>
            </w:div>
            <w:div w:id="681393209">
              <w:marLeft w:val="0"/>
              <w:marRight w:val="0"/>
              <w:marTop w:val="0"/>
              <w:marBottom w:val="0"/>
              <w:divBdr>
                <w:top w:val="none" w:sz="0" w:space="0" w:color="auto"/>
                <w:left w:val="none" w:sz="0" w:space="0" w:color="auto"/>
                <w:bottom w:val="none" w:sz="0" w:space="0" w:color="auto"/>
                <w:right w:val="none" w:sz="0" w:space="0" w:color="auto"/>
              </w:divBdr>
            </w:div>
            <w:div w:id="11615969">
              <w:marLeft w:val="0"/>
              <w:marRight w:val="0"/>
              <w:marTop w:val="0"/>
              <w:marBottom w:val="0"/>
              <w:divBdr>
                <w:top w:val="none" w:sz="0" w:space="0" w:color="auto"/>
                <w:left w:val="none" w:sz="0" w:space="0" w:color="auto"/>
                <w:bottom w:val="none" w:sz="0" w:space="0" w:color="auto"/>
                <w:right w:val="none" w:sz="0" w:space="0" w:color="auto"/>
              </w:divBdr>
            </w:div>
            <w:div w:id="1202786591">
              <w:marLeft w:val="0"/>
              <w:marRight w:val="0"/>
              <w:marTop w:val="0"/>
              <w:marBottom w:val="0"/>
              <w:divBdr>
                <w:top w:val="none" w:sz="0" w:space="0" w:color="auto"/>
                <w:left w:val="none" w:sz="0" w:space="0" w:color="auto"/>
                <w:bottom w:val="none" w:sz="0" w:space="0" w:color="auto"/>
                <w:right w:val="none" w:sz="0" w:space="0" w:color="auto"/>
              </w:divBdr>
            </w:div>
            <w:div w:id="1309361681">
              <w:marLeft w:val="0"/>
              <w:marRight w:val="0"/>
              <w:marTop w:val="0"/>
              <w:marBottom w:val="0"/>
              <w:divBdr>
                <w:top w:val="none" w:sz="0" w:space="0" w:color="auto"/>
                <w:left w:val="none" w:sz="0" w:space="0" w:color="auto"/>
                <w:bottom w:val="none" w:sz="0" w:space="0" w:color="auto"/>
                <w:right w:val="none" w:sz="0" w:space="0" w:color="auto"/>
              </w:divBdr>
            </w:div>
            <w:div w:id="172653614">
              <w:marLeft w:val="0"/>
              <w:marRight w:val="0"/>
              <w:marTop w:val="0"/>
              <w:marBottom w:val="0"/>
              <w:divBdr>
                <w:top w:val="none" w:sz="0" w:space="0" w:color="auto"/>
                <w:left w:val="none" w:sz="0" w:space="0" w:color="auto"/>
                <w:bottom w:val="none" w:sz="0" w:space="0" w:color="auto"/>
                <w:right w:val="none" w:sz="0" w:space="0" w:color="auto"/>
              </w:divBdr>
            </w:div>
            <w:div w:id="817721763">
              <w:marLeft w:val="0"/>
              <w:marRight w:val="0"/>
              <w:marTop w:val="0"/>
              <w:marBottom w:val="0"/>
              <w:divBdr>
                <w:top w:val="none" w:sz="0" w:space="0" w:color="auto"/>
                <w:left w:val="none" w:sz="0" w:space="0" w:color="auto"/>
                <w:bottom w:val="none" w:sz="0" w:space="0" w:color="auto"/>
                <w:right w:val="none" w:sz="0" w:space="0" w:color="auto"/>
              </w:divBdr>
            </w:div>
            <w:div w:id="7237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396">
      <w:bodyDiv w:val="1"/>
      <w:marLeft w:val="0"/>
      <w:marRight w:val="0"/>
      <w:marTop w:val="0"/>
      <w:marBottom w:val="0"/>
      <w:divBdr>
        <w:top w:val="none" w:sz="0" w:space="0" w:color="auto"/>
        <w:left w:val="none" w:sz="0" w:space="0" w:color="auto"/>
        <w:bottom w:val="none" w:sz="0" w:space="0" w:color="auto"/>
        <w:right w:val="none" w:sz="0" w:space="0" w:color="auto"/>
      </w:divBdr>
    </w:div>
    <w:div w:id="1933463951">
      <w:bodyDiv w:val="1"/>
      <w:marLeft w:val="0"/>
      <w:marRight w:val="0"/>
      <w:marTop w:val="0"/>
      <w:marBottom w:val="0"/>
      <w:divBdr>
        <w:top w:val="none" w:sz="0" w:space="0" w:color="auto"/>
        <w:left w:val="none" w:sz="0" w:space="0" w:color="auto"/>
        <w:bottom w:val="none" w:sz="0" w:space="0" w:color="auto"/>
        <w:right w:val="none" w:sz="0" w:space="0" w:color="auto"/>
      </w:divBdr>
    </w:div>
    <w:div w:id="1949501810">
      <w:bodyDiv w:val="1"/>
      <w:marLeft w:val="0"/>
      <w:marRight w:val="0"/>
      <w:marTop w:val="0"/>
      <w:marBottom w:val="0"/>
      <w:divBdr>
        <w:top w:val="none" w:sz="0" w:space="0" w:color="auto"/>
        <w:left w:val="none" w:sz="0" w:space="0" w:color="auto"/>
        <w:bottom w:val="none" w:sz="0" w:space="0" w:color="auto"/>
        <w:right w:val="none" w:sz="0" w:space="0" w:color="auto"/>
      </w:divBdr>
      <w:divsChild>
        <w:div w:id="613826938">
          <w:marLeft w:val="0"/>
          <w:marRight w:val="0"/>
          <w:marTop w:val="0"/>
          <w:marBottom w:val="0"/>
          <w:divBdr>
            <w:top w:val="none" w:sz="0" w:space="0" w:color="auto"/>
            <w:left w:val="none" w:sz="0" w:space="0" w:color="auto"/>
            <w:bottom w:val="none" w:sz="0" w:space="0" w:color="auto"/>
            <w:right w:val="none" w:sz="0" w:space="0" w:color="auto"/>
          </w:divBdr>
          <w:divsChild>
            <w:div w:id="1550919040">
              <w:marLeft w:val="0"/>
              <w:marRight w:val="0"/>
              <w:marTop w:val="0"/>
              <w:marBottom w:val="0"/>
              <w:divBdr>
                <w:top w:val="none" w:sz="0" w:space="0" w:color="auto"/>
                <w:left w:val="none" w:sz="0" w:space="0" w:color="auto"/>
                <w:bottom w:val="none" w:sz="0" w:space="0" w:color="auto"/>
                <w:right w:val="none" w:sz="0" w:space="0" w:color="auto"/>
              </w:divBdr>
              <w:divsChild>
                <w:div w:id="360017523">
                  <w:marLeft w:val="0"/>
                  <w:marRight w:val="0"/>
                  <w:marTop w:val="0"/>
                  <w:marBottom w:val="0"/>
                  <w:divBdr>
                    <w:top w:val="none" w:sz="0" w:space="0" w:color="auto"/>
                    <w:left w:val="none" w:sz="0" w:space="0" w:color="auto"/>
                    <w:bottom w:val="none" w:sz="0" w:space="0" w:color="auto"/>
                    <w:right w:val="none" w:sz="0" w:space="0" w:color="auto"/>
                  </w:divBdr>
                  <w:divsChild>
                    <w:div w:id="1794134342">
                      <w:marLeft w:val="0"/>
                      <w:marRight w:val="0"/>
                      <w:marTop w:val="0"/>
                      <w:marBottom w:val="0"/>
                      <w:divBdr>
                        <w:top w:val="none" w:sz="0" w:space="0" w:color="auto"/>
                        <w:left w:val="none" w:sz="0" w:space="0" w:color="auto"/>
                        <w:bottom w:val="none" w:sz="0" w:space="0" w:color="auto"/>
                        <w:right w:val="none" w:sz="0" w:space="0" w:color="auto"/>
                      </w:divBdr>
                      <w:divsChild>
                        <w:div w:id="170723298">
                          <w:marLeft w:val="0"/>
                          <w:marRight w:val="0"/>
                          <w:marTop w:val="0"/>
                          <w:marBottom w:val="0"/>
                          <w:divBdr>
                            <w:top w:val="none" w:sz="0" w:space="0" w:color="auto"/>
                            <w:left w:val="none" w:sz="0" w:space="0" w:color="auto"/>
                            <w:bottom w:val="none" w:sz="0" w:space="0" w:color="auto"/>
                            <w:right w:val="none" w:sz="0" w:space="0" w:color="auto"/>
                          </w:divBdr>
                          <w:divsChild>
                            <w:div w:id="1516655599">
                              <w:marLeft w:val="0"/>
                              <w:marRight w:val="0"/>
                              <w:marTop w:val="0"/>
                              <w:marBottom w:val="0"/>
                              <w:divBdr>
                                <w:top w:val="none" w:sz="0" w:space="0" w:color="auto"/>
                                <w:left w:val="none" w:sz="0" w:space="0" w:color="auto"/>
                                <w:bottom w:val="none" w:sz="0" w:space="0" w:color="auto"/>
                                <w:right w:val="none" w:sz="0" w:space="0" w:color="auto"/>
                              </w:divBdr>
                              <w:divsChild>
                                <w:div w:id="1540360982">
                                  <w:marLeft w:val="0"/>
                                  <w:marRight w:val="0"/>
                                  <w:marTop w:val="0"/>
                                  <w:marBottom w:val="0"/>
                                  <w:divBdr>
                                    <w:top w:val="none" w:sz="0" w:space="0" w:color="auto"/>
                                    <w:left w:val="none" w:sz="0" w:space="0" w:color="auto"/>
                                    <w:bottom w:val="none" w:sz="0" w:space="0" w:color="auto"/>
                                    <w:right w:val="none" w:sz="0" w:space="0" w:color="auto"/>
                                  </w:divBdr>
                                  <w:divsChild>
                                    <w:div w:id="2105412671">
                                      <w:marLeft w:val="0"/>
                                      <w:marRight w:val="0"/>
                                      <w:marTop w:val="0"/>
                                      <w:marBottom w:val="0"/>
                                      <w:divBdr>
                                        <w:top w:val="none" w:sz="0" w:space="0" w:color="auto"/>
                                        <w:left w:val="none" w:sz="0" w:space="0" w:color="auto"/>
                                        <w:bottom w:val="none" w:sz="0" w:space="0" w:color="auto"/>
                                        <w:right w:val="none" w:sz="0" w:space="0" w:color="auto"/>
                                      </w:divBdr>
                                      <w:divsChild>
                                        <w:div w:id="1528906740">
                                          <w:marLeft w:val="0"/>
                                          <w:marRight w:val="0"/>
                                          <w:marTop w:val="0"/>
                                          <w:marBottom w:val="0"/>
                                          <w:divBdr>
                                            <w:top w:val="none" w:sz="0" w:space="0" w:color="auto"/>
                                            <w:left w:val="none" w:sz="0" w:space="0" w:color="auto"/>
                                            <w:bottom w:val="none" w:sz="0" w:space="0" w:color="auto"/>
                                            <w:right w:val="none" w:sz="0" w:space="0" w:color="auto"/>
                                          </w:divBdr>
                                          <w:divsChild>
                                            <w:div w:id="885872558">
                                              <w:marLeft w:val="0"/>
                                              <w:marRight w:val="0"/>
                                              <w:marTop w:val="0"/>
                                              <w:marBottom w:val="0"/>
                                              <w:divBdr>
                                                <w:top w:val="none" w:sz="0" w:space="0" w:color="auto"/>
                                                <w:left w:val="none" w:sz="0" w:space="0" w:color="auto"/>
                                                <w:bottom w:val="none" w:sz="0" w:space="0" w:color="auto"/>
                                                <w:right w:val="none" w:sz="0" w:space="0" w:color="auto"/>
                                              </w:divBdr>
                                              <w:divsChild>
                                                <w:div w:id="111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038583">
      <w:bodyDiv w:val="1"/>
      <w:marLeft w:val="0"/>
      <w:marRight w:val="0"/>
      <w:marTop w:val="0"/>
      <w:marBottom w:val="0"/>
      <w:divBdr>
        <w:top w:val="none" w:sz="0" w:space="0" w:color="auto"/>
        <w:left w:val="none" w:sz="0" w:space="0" w:color="auto"/>
        <w:bottom w:val="none" w:sz="0" w:space="0" w:color="auto"/>
        <w:right w:val="none" w:sz="0" w:space="0" w:color="auto"/>
      </w:divBdr>
      <w:divsChild>
        <w:div w:id="470293923">
          <w:marLeft w:val="0"/>
          <w:marRight w:val="0"/>
          <w:marTop w:val="0"/>
          <w:marBottom w:val="0"/>
          <w:divBdr>
            <w:top w:val="none" w:sz="0" w:space="0" w:color="auto"/>
            <w:left w:val="none" w:sz="0" w:space="0" w:color="auto"/>
            <w:bottom w:val="none" w:sz="0" w:space="0" w:color="auto"/>
            <w:right w:val="none" w:sz="0" w:space="0" w:color="auto"/>
          </w:divBdr>
          <w:divsChild>
            <w:div w:id="1456409852">
              <w:marLeft w:val="0"/>
              <w:marRight w:val="0"/>
              <w:marTop w:val="0"/>
              <w:marBottom w:val="0"/>
              <w:divBdr>
                <w:top w:val="none" w:sz="0" w:space="0" w:color="auto"/>
                <w:left w:val="single" w:sz="4" w:space="0" w:color="7B6976"/>
                <w:bottom w:val="none" w:sz="0" w:space="0" w:color="auto"/>
                <w:right w:val="single" w:sz="4" w:space="0" w:color="7B6976"/>
              </w:divBdr>
              <w:divsChild>
                <w:div w:id="1441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4873">
      <w:bodyDiv w:val="1"/>
      <w:marLeft w:val="0"/>
      <w:marRight w:val="0"/>
      <w:marTop w:val="0"/>
      <w:marBottom w:val="0"/>
      <w:divBdr>
        <w:top w:val="none" w:sz="0" w:space="0" w:color="auto"/>
        <w:left w:val="none" w:sz="0" w:space="0" w:color="auto"/>
        <w:bottom w:val="none" w:sz="0" w:space="0" w:color="auto"/>
        <w:right w:val="none" w:sz="0" w:space="0" w:color="auto"/>
      </w:divBdr>
      <w:divsChild>
        <w:div w:id="1000306189">
          <w:marLeft w:val="0"/>
          <w:marRight w:val="0"/>
          <w:marTop w:val="0"/>
          <w:marBottom w:val="0"/>
          <w:divBdr>
            <w:top w:val="none" w:sz="0" w:space="0" w:color="auto"/>
            <w:left w:val="none" w:sz="0" w:space="0" w:color="auto"/>
            <w:bottom w:val="none" w:sz="0" w:space="0" w:color="auto"/>
            <w:right w:val="none" w:sz="0" w:space="0" w:color="auto"/>
          </w:divBdr>
          <w:divsChild>
            <w:div w:id="1031302063">
              <w:marLeft w:val="0"/>
              <w:marRight w:val="0"/>
              <w:marTop w:val="0"/>
              <w:marBottom w:val="0"/>
              <w:divBdr>
                <w:top w:val="none" w:sz="0" w:space="0" w:color="auto"/>
                <w:left w:val="none" w:sz="0" w:space="0" w:color="auto"/>
                <w:bottom w:val="none" w:sz="0" w:space="0" w:color="auto"/>
                <w:right w:val="none" w:sz="0" w:space="0" w:color="auto"/>
              </w:divBdr>
              <w:divsChild>
                <w:div w:id="1726028803">
                  <w:marLeft w:val="0"/>
                  <w:marRight w:val="0"/>
                  <w:marTop w:val="0"/>
                  <w:marBottom w:val="0"/>
                  <w:divBdr>
                    <w:top w:val="none" w:sz="0" w:space="0" w:color="auto"/>
                    <w:left w:val="none" w:sz="0" w:space="0" w:color="auto"/>
                    <w:bottom w:val="none" w:sz="0" w:space="0" w:color="auto"/>
                    <w:right w:val="none" w:sz="0" w:space="0" w:color="auto"/>
                  </w:divBdr>
                  <w:divsChild>
                    <w:div w:id="887183035">
                      <w:marLeft w:val="0"/>
                      <w:marRight w:val="0"/>
                      <w:marTop w:val="0"/>
                      <w:marBottom w:val="0"/>
                      <w:divBdr>
                        <w:top w:val="none" w:sz="0" w:space="0" w:color="auto"/>
                        <w:left w:val="none" w:sz="0" w:space="0" w:color="auto"/>
                        <w:bottom w:val="none" w:sz="0" w:space="0" w:color="auto"/>
                        <w:right w:val="none" w:sz="0" w:space="0" w:color="auto"/>
                      </w:divBdr>
                      <w:divsChild>
                        <w:div w:id="1466118062">
                          <w:marLeft w:val="0"/>
                          <w:marRight w:val="0"/>
                          <w:marTop w:val="0"/>
                          <w:marBottom w:val="0"/>
                          <w:divBdr>
                            <w:top w:val="none" w:sz="0" w:space="0" w:color="auto"/>
                            <w:left w:val="none" w:sz="0" w:space="0" w:color="auto"/>
                            <w:bottom w:val="none" w:sz="0" w:space="0" w:color="auto"/>
                            <w:right w:val="none" w:sz="0" w:space="0" w:color="auto"/>
                          </w:divBdr>
                          <w:divsChild>
                            <w:div w:id="12138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02145">
      <w:bodyDiv w:val="1"/>
      <w:marLeft w:val="0"/>
      <w:marRight w:val="0"/>
      <w:marTop w:val="0"/>
      <w:marBottom w:val="0"/>
      <w:divBdr>
        <w:top w:val="none" w:sz="0" w:space="0" w:color="auto"/>
        <w:left w:val="none" w:sz="0" w:space="0" w:color="auto"/>
        <w:bottom w:val="none" w:sz="0" w:space="0" w:color="auto"/>
        <w:right w:val="none" w:sz="0" w:space="0" w:color="auto"/>
      </w:divBdr>
      <w:divsChild>
        <w:div w:id="1147631004">
          <w:marLeft w:val="0"/>
          <w:marRight w:val="0"/>
          <w:marTop w:val="0"/>
          <w:marBottom w:val="0"/>
          <w:divBdr>
            <w:top w:val="none" w:sz="0" w:space="0" w:color="auto"/>
            <w:left w:val="none" w:sz="0" w:space="0" w:color="auto"/>
            <w:bottom w:val="none" w:sz="0" w:space="0" w:color="auto"/>
            <w:right w:val="none" w:sz="0" w:space="0" w:color="auto"/>
          </w:divBdr>
        </w:div>
      </w:divsChild>
    </w:div>
    <w:div w:id="2079207481">
      <w:bodyDiv w:val="1"/>
      <w:marLeft w:val="0"/>
      <w:marRight w:val="0"/>
      <w:marTop w:val="0"/>
      <w:marBottom w:val="0"/>
      <w:divBdr>
        <w:top w:val="none" w:sz="0" w:space="0" w:color="auto"/>
        <w:left w:val="none" w:sz="0" w:space="0" w:color="auto"/>
        <w:bottom w:val="none" w:sz="0" w:space="0" w:color="auto"/>
        <w:right w:val="none" w:sz="0" w:space="0" w:color="auto"/>
      </w:divBdr>
      <w:divsChild>
        <w:div w:id="1718234068">
          <w:marLeft w:val="0"/>
          <w:marRight w:val="0"/>
          <w:marTop w:val="0"/>
          <w:marBottom w:val="0"/>
          <w:divBdr>
            <w:top w:val="none" w:sz="0" w:space="0" w:color="auto"/>
            <w:left w:val="none" w:sz="0" w:space="0" w:color="auto"/>
            <w:bottom w:val="none" w:sz="0" w:space="0" w:color="auto"/>
            <w:right w:val="none" w:sz="0" w:space="0" w:color="auto"/>
          </w:divBdr>
          <w:divsChild>
            <w:div w:id="615914210">
              <w:marLeft w:val="0"/>
              <w:marRight w:val="0"/>
              <w:marTop w:val="0"/>
              <w:marBottom w:val="0"/>
              <w:divBdr>
                <w:top w:val="none" w:sz="0" w:space="0" w:color="auto"/>
                <w:left w:val="none" w:sz="0" w:space="0" w:color="auto"/>
                <w:bottom w:val="none" w:sz="0" w:space="0" w:color="auto"/>
                <w:right w:val="none" w:sz="0" w:space="0" w:color="auto"/>
              </w:divBdr>
              <w:divsChild>
                <w:div w:id="671837726">
                  <w:marLeft w:val="0"/>
                  <w:marRight w:val="0"/>
                  <w:marTop w:val="0"/>
                  <w:marBottom w:val="0"/>
                  <w:divBdr>
                    <w:top w:val="none" w:sz="0" w:space="0" w:color="auto"/>
                    <w:left w:val="none" w:sz="0" w:space="0" w:color="auto"/>
                    <w:bottom w:val="none" w:sz="0" w:space="0" w:color="auto"/>
                    <w:right w:val="none" w:sz="0" w:space="0" w:color="auto"/>
                  </w:divBdr>
                  <w:divsChild>
                    <w:div w:id="1104690952">
                      <w:marLeft w:val="0"/>
                      <w:marRight w:val="0"/>
                      <w:marTop w:val="0"/>
                      <w:marBottom w:val="0"/>
                      <w:divBdr>
                        <w:top w:val="none" w:sz="0" w:space="0" w:color="auto"/>
                        <w:left w:val="none" w:sz="0" w:space="0" w:color="auto"/>
                        <w:bottom w:val="none" w:sz="0" w:space="0" w:color="auto"/>
                        <w:right w:val="none" w:sz="0" w:space="0" w:color="auto"/>
                      </w:divBdr>
                      <w:divsChild>
                        <w:div w:id="1172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664490">
      <w:bodyDiv w:val="1"/>
      <w:marLeft w:val="0"/>
      <w:marRight w:val="0"/>
      <w:marTop w:val="0"/>
      <w:marBottom w:val="0"/>
      <w:divBdr>
        <w:top w:val="none" w:sz="0" w:space="0" w:color="auto"/>
        <w:left w:val="none" w:sz="0" w:space="0" w:color="auto"/>
        <w:bottom w:val="none" w:sz="0" w:space="0" w:color="auto"/>
        <w:right w:val="none" w:sz="0" w:space="0" w:color="auto"/>
      </w:divBdr>
      <w:divsChild>
        <w:div w:id="33162594">
          <w:marLeft w:val="0"/>
          <w:marRight w:val="0"/>
          <w:marTop w:val="0"/>
          <w:marBottom w:val="0"/>
          <w:divBdr>
            <w:top w:val="none" w:sz="0" w:space="0" w:color="auto"/>
            <w:left w:val="none" w:sz="0" w:space="0" w:color="auto"/>
            <w:bottom w:val="none" w:sz="0" w:space="0" w:color="auto"/>
            <w:right w:val="none" w:sz="0" w:space="0" w:color="auto"/>
          </w:divBdr>
          <w:divsChild>
            <w:div w:id="1306621400">
              <w:marLeft w:val="0"/>
              <w:marRight w:val="0"/>
              <w:marTop w:val="0"/>
              <w:marBottom w:val="0"/>
              <w:divBdr>
                <w:top w:val="none" w:sz="0" w:space="0" w:color="auto"/>
                <w:left w:val="none" w:sz="0" w:space="0" w:color="auto"/>
                <w:bottom w:val="none" w:sz="0" w:space="0" w:color="auto"/>
                <w:right w:val="none" w:sz="0" w:space="0" w:color="auto"/>
              </w:divBdr>
              <w:divsChild>
                <w:div w:id="11675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99953">
      <w:bodyDiv w:val="1"/>
      <w:marLeft w:val="0"/>
      <w:marRight w:val="0"/>
      <w:marTop w:val="0"/>
      <w:marBottom w:val="0"/>
      <w:divBdr>
        <w:top w:val="none" w:sz="0" w:space="0" w:color="auto"/>
        <w:left w:val="none" w:sz="0" w:space="0" w:color="auto"/>
        <w:bottom w:val="none" w:sz="0" w:space="0" w:color="auto"/>
        <w:right w:val="none" w:sz="0" w:space="0" w:color="auto"/>
      </w:divBdr>
      <w:divsChild>
        <w:div w:id="1668442416">
          <w:marLeft w:val="0"/>
          <w:marRight w:val="0"/>
          <w:marTop w:val="0"/>
          <w:marBottom w:val="0"/>
          <w:divBdr>
            <w:top w:val="none" w:sz="0" w:space="0" w:color="auto"/>
            <w:left w:val="none" w:sz="0" w:space="0" w:color="auto"/>
            <w:bottom w:val="none" w:sz="0" w:space="0" w:color="auto"/>
            <w:right w:val="none" w:sz="0" w:space="0" w:color="auto"/>
          </w:divBdr>
          <w:divsChild>
            <w:div w:id="446319037">
              <w:marLeft w:val="0"/>
              <w:marRight w:val="0"/>
              <w:marTop w:val="0"/>
              <w:marBottom w:val="0"/>
              <w:divBdr>
                <w:top w:val="none" w:sz="0" w:space="0" w:color="auto"/>
                <w:left w:val="none" w:sz="0" w:space="0" w:color="auto"/>
                <w:bottom w:val="none" w:sz="0" w:space="0" w:color="auto"/>
                <w:right w:val="none" w:sz="0" w:space="0" w:color="auto"/>
              </w:divBdr>
              <w:divsChild>
                <w:div w:id="331612354">
                  <w:marLeft w:val="0"/>
                  <w:marRight w:val="0"/>
                  <w:marTop w:val="0"/>
                  <w:marBottom w:val="0"/>
                  <w:divBdr>
                    <w:top w:val="none" w:sz="0" w:space="0" w:color="auto"/>
                    <w:left w:val="none" w:sz="0" w:space="0" w:color="auto"/>
                    <w:bottom w:val="none" w:sz="0" w:space="0" w:color="auto"/>
                    <w:right w:val="none" w:sz="0" w:space="0" w:color="auto"/>
                  </w:divBdr>
                  <w:divsChild>
                    <w:div w:id="1279410818">
                      <w:marLeft w:val="0"/>
                      <w:marRight w:val="0"/>
                      <w:marTop w:val="0"/>
                      <w:marBottom w:val="0"/>
                      <w:divBdr>
                        <w:top w:val="none" w:sz="0" w:space="0" w:color="auto"/>
                        <w:left w:val="none" w:sz="0" w:space="0" w:color="auto"/>
                        <w:bottom w:val="none" w:sz="0" w:space="0" w:color="auto"/>
                        <w:right w:val="none" w:sz="0" w:space="0" w:color="auto"/>
                      </w:divBdr>
                      <w:divsChild>
                        <w:div w:id="20777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www.environment.nsw.gov.au/wr/lgacodes.htm"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territory2030.nt.gov.au/summary/health_and_wellbeing.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cyclingnearyou.com.au" TargetMode="External"/><Relationship Id="rId33" Type="http://schemas.openxmlformats.org/officeDocument/2006/relationships/hyperlink" Target="http://www.territory2030.nt.gov.au/summary/economic_sustainability.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www.dlg.nsw.gov.au/dlg/dlghome/dlg_generalindex.asp?sectionid=1&amp;mi=6&amp;ml=9&amp;AreaIndex=IntPlanRep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yperlink" Target="http://www.territory2030.nt.gov.au/summary/society.html"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hyperlink" Target="http://www.environment.nsw.gov.au/soe/soe2009" TargetMode="External"/><Relationship Id="rId36" Type="http://schemas.openxmlformats.org/officeDocument/2006/relationships/hyperlink" Target="http://www.territory2030.nt.gov.au/summary/knowledge_creativity_innovation.html" TargetMode="Externa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hyperlink" Target="http://www.territory2030.nt.gov.au/summary/education.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hyperlink" Target="http://www.environment.nsw.gov.au/legislation/DECCActsummaries.htm" TargetMode="External"/><Relationship Id="rId30" Type="http://schemas.openxmlformats.org/officeDocument/2006/relationships/hyperlink" Target="http://www.territory2030.nt.gov.au/history/message.html" TargetMode="External"/><Relationship Id="rId35" Type="http://schemas.openxmlformats.org/officeDocument/2006/relationships/hyperlink" Target="http://www.territory2030.nt.gov.au/summary/environment.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a.vic.gov.au/waste/docs/EP-Amendment-(Landfill%20Levies)Bill-2011.pdf" TargetMode="External"/><Relationship Id="rId7" Type="http://schemas.openxmlformats.org/officeDocument/2006/relationships/hyperlink" Target="http://www.insidewaste.com.au/storyview.asp?storyid=447673" TargetMode="External"/><Relationship Id="rId2" Type="http://schemas.openxmlformats.org/officeDocument/2006/relationships/hyperlink" Target="http://www.dpcd.vic.gov.au/localgovernment/guide-to-local-government/what-councils-do/waste-management" TargetMode="External"/><Relationship Id="rId1" Type="http://schemas.openxmlformats.org/officeDocument/2006/relationships/hyperlink" Target="http://www.wastedataflow.org" TargetMode="External"/><Relationship Id="rId6" Type="http://schemas.openxmlformats.org/officeDocument/2006/relationships/hyperlink" Target="http://www.legassembly.act.gov.au/education/role-of-the-assembly.asp" TargetMode="External"/><Relationship Id="rId5" Type="http://schemas.openxmlformats.org/officeDocument/2006/relationships/hyperlink" Target="http://www.dpac.tas.gov.au/divisions/lgd/measuring_council_performance" TargetMode="External"/><Relationship Id="rId4" Type="http://schemas.openxmlformats.org/officeDocument/2006/relationships/hyperlink" Target="http://www.lga.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lient_Report_2S_1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ew Word Document" ma:contentTypeID="0x01010045CE9B57B320B94B8DBE6AC92460A35D" ma:contentTypeVersion="17" ma:contentTypeDescription="Create a new document." ma:contentTypeScope="" ma:versionID="3dcc223f38fb0062f3505d80a65c2476">
  <xsd:schema xmlns:xsd="http://www.w3.org/2001/XMLSchema" xmlns:p="http://schemas.microsoft.com/office/2006/metadata/properties" xmlns:ns2="a3934a9c-4d1f-4be5-b4f5-15e24c61f397" xmlns:ns3="68634ea0-c470-4a73-a052-d03ca6a8cd88" xmlns:ns4="9c61834d-447e-4b40-85f3-412776ef6271" targetNamespace="http://schemas.microsoft.com/office/2006/metadata/properties" ma:root="true" ma:fieldsID="096877313d69a1fdfeed8aeb25e842ad" ns2:_="" ns3:_="" ns4:_="">
    <xsd:import namespace="a3934a9c-4d1f-4be5-b4f5-15e24c61f397"/>
    <xsd:import namespace="68634ea0-c470-4a73-a052-d03ca6a8cd88"/>
    <xsd:import namespace="9c61834d-447e-4b40-85f3-412776ef6271"/>
    <xsd:element name="properties">
      <xsd:complexType>
        <xsd:sequence>
          <xsd:element name="documentManagement">
            <xsd:complexType>
              <xsd:all>
                <xsd:element ref="ns2:Description_x003a_" minOccurs="0"/>
                <xsd:element ref="ns3:Discipline_x003a_" minOccurs="0"/>
                <xsd:element ref="ns3:Type_x003a_" minOccurs="0"/>
                <xsd:element ref="ns4:Recipient_x003a_" minOccurs="0"/>
                <xsd:element ref="ns4:Companies_x003a_" minOccurs="0"/>
                <xsd:element ref="ns4:Other_x0020_companies_x003a_" minOccurs="0"/>
                <xsd:element ref="ns4:Sender_x003a_" minOccurs="0"/>
                <xsd:element ref="ns4:Date_x003a_" minOccurs="0"/>
                <xsd:element ref="ns4:Status_x003a_" minOccurs="0"/>
                <xsd:element ref="ns4:Reason_x003a_" minOccurs="0"/>
                <xsd:element ref="ns4:Delivery_x003a_" minOccurs="0"/>
              </xsd:all>
            </xsd:complexType>
          </xsd:element>
        </xsd:sequence>
      </xsd:complexType>
    </xsd:element>
  </xsd:schema>
  <xsd:schema xmlns:xsd="http://www.w3.org/2001/XMLSchema" xmlns:dms="http://schemas.microsoft.com/office/2006/documentManagement/types" targetNamespace="a3934a9c-4d1f-4be5-b4f5-15e24c61f397" elementFormDefault="qualified">
    <xsd:import namespace="http://schemas.microsoft.com/office/2006/documentManagement/types"/>
    <xsd:element name="Description_x003a_" ma:index="8" nillable="true" ma:displayName="Description:" ma:description="Title, subject, contents or keywords" ma:internalName="Description_x003a_">
      <xsd:simpleType>
        <xsd:restriction base="dms:Text">
          <xsd:maxLength value="255"/>
        </xsd:restriction>
      </xsd:simpleType>
    </xsd:element>
  </xsd:schema>
  <xsd:schema xmlns:xsd="http://www.w3.org/2001/XMLSchema" xmlns:dms="http://schemas.microsoft.com/office/2006/documentManagement/types" targetNamespace="68634ea0-c470-4a73-a052-d03ca6a8cd88" elementFormDefault="qualified">
    <xsd:import namespace="http://schemas.microsoft.com/office/2006/documentManagement/types"/>
    <xsd:element name="Discipline_x003a_" ma:index="9" nillable="true" ma:displayName="Discipline:" ma:default="(none)" ma:format="Dropdown" ma:internalName="Discipline_x003a_">
      <xsd:simpleType>
        <xsd:restriction base="dms:Choice">
          <xsd:enumeration value="(none)"/>
          <xsd:enumeration value="Acoustics"/>
          <xsd:enumeration value="Advisory"/>
          <xsd:enumeration value="All"/>
          <xsd:enumeration value="BIT"/>
          <xsd:enumeration value="Bridges"/>
          <xsd:enumeration value="Building Structures"/>
          <xsd:enumeration value="Civil"/>
          <xsd:enumeration value="Clean Water"/>
          <xsd:enumeration value="Drainage"/>
          <xsd:enumeration value="Environment"/>
          <xsd:enumeration value="Facades"/>
          <xsd:enumeration value="Geotech"/>
          <xsd:enumeration value="GIS"/>
          <xsd:enumeration value="Highways"/>
          <xsd:enumeration value="IT"/>
          <xsd:enumeration value="Land Development"/>
          <xsd:enumeration value="Project Management"/>
          <xsd:enumeration value="Rail"/>
          <xsd:enumeration value="Sewage Treatment"/>
          <xsd:enumeration value="Sewerage"/>
          <xsd:enumeration value="Technology"/>
          <xsd:enumeration value="TLE"/>
          <xsd:enumeration value="Traffic"/>
          <xsd:enumeration value="Transport"/>
          <xsd:enumeration value="Tunnels"/>
          <xsd:enumeration value="Utilities"/>
        </xsd:restriction>
      </xsd:simpleType>
    </xsd:element>
    <xsd:element name="Type_x003a_" ma:index="10" nillable="true" ma:displayName="Type:" ma:default="(none)" ma:format="Dropdown" ma:internalName="Type_x003a_">
      <xsd:simpleType>
        <xsd:restriction base="dms:Choice">
          <xsd:enumeration value="(none)"/>
          <xsd:enumeration value="Agenda"/>
          <xsd:enumeration value="Agreement"/>
          <xsd:enumeration value="BOQ"/>
          <xsd:enumeration value="CAD"/>
          <xsd:enumeration value="Contract"/>
          <xsd:enumeration value="Deed"/>
          <xsd:enumeration value="Design"/>
          <xsd:enumeration value="Drawing"/>
          <xsd:enumeration value="Email"/>
          <xsd:enumeration value="Estimate"/>
          <xsd:enumeration value="Fax"/>
          <xsd:enumeration value="Information"/>
          <xsd:enumeration value="Invoice"/>
          <xsd:enumeration value="Letter"/>
          <xsd:enumeration value="Memo"/>
          <xsd:enumeration value="Minutes"/>
          <xsd:enumeration value="Other"/>
          <xsd:enumeration value="Programme"/>
          <xsd:enumeration value="Progress Claim"/>
          <xsd:enumeration value="QA"/>
          <xsd:enumeration value="RFI"/>
          <xsd:enumeration value="Schedule"/>
          <xsd:enumeration value="Site Diary"/>
          <xsd:enumeration value="Sketch"/>
          <xsd:enumeration value="Specification"/>
          <xsd:enumeration value="Submission"/>
          <xsd:enumeration value="Tender"/>
          <xsd:enumeration value="Xref"/>
        </xsd:restriction>
      </xsd:simpleType>
    </xsd:element>
  </xsd:schema>
  <xsd:schema xmlns:xsd="http://www.w3.org/2001/XMLSchema" xmlns:dms="http://schemas.microsoft.com/office/2006/documentManagement/types" targetNamespace="9c61834d-447e-4b40-85f3-412776ef6271" elementFormDefault="qualified">
    <xsd:import namespace="http://schemas.microsoft.com/office/2006/documentManagement/types"/>
    <xsd:element name="Recipient_x003a_" ma:index="11" nillable="true" ma:displayName="Recipient:" ma:internalName="Recipient_x003a_">
      <xsd:simpleType>
        <xsd:restriction base="dms:Text">
          <xsd:maxLength value="255"/>
        </xsd:restriction>
      </xsd:simpleType>
    </xsd:element>
    <xsd:element name="Companies_x003a_" ma:index="12" nillable="true" ma:displayName="Companies:" ma:list="{9EAAE0E6-3AED-483E-A643-00588AE94124}" ma:internalName="Companies_x003a_" ma:showField="Title">
      <xsd:simpleType>
        <xsd:restriction base="dms:Lookup"/>
      </xsd:simpleType>
    </xsd:element>
    <xsd:element name="Other_x0020_companies_x003a_" ma:index="13" nillable="true" ma:displayName="Other companies:" ma:description="One-off, not in Companies lookup" ma:internalName="Other_x0020_companies_x003a_">
      <xsd:simpleType>
        <xsd:restriction base="dms:Text">
          <xsd:maxLength value="255"/>
        </xsd:restriction>
      </xsd:simpleType>
    </xsd:element>
    <xsd:element name="Sender_x003a_" ma:index="14" nillable="true" ma:displayName="Sender:" ma:list="UserInfo" ma:internalName="Sender_x003a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3a_" ma:index="15" nillable="true" ma:displayName="Date:" ma:default="[today]" ma:format="DateTime" ma:internalName="Date_x003a_">
      <xsd:simpleType>
        <xsd:restriction base="dms:DateTime"/>
      </xsd:simpleType>
    </xsd:element>
    <xsd:element name="Status_x003a_" ma:index="16" nillable="true" ma:displayName="Status:" ma:list="{3A4E6030-BE6D-4A55-9A68-5E65CA485EDF}" ma:internalName="Status_x003a_" ma:showField="Title">
      <xsd:simpleType>
        <xsd:restriction base="dms:Lookup"/>
      </xsd:simpleType>
    </xsd:element>
    <xsd:element name="Reason_x003a_" ma:index="17" nillable="true" ma:displayName="Reason:" ma:list="{5F532EB9-766C-4B8B-B138-8D0254CC3365}" ma:internalName="Reason_x003a_" ma:showField="Title">
      <xsd:simpleType>
        <xsd:restriction base="dms:Lookup"/>
      </xsd:simpleType>
    </xsd:element>
    <xsd:element name="Delivery_x003a_" ma:index="18" nillable="true" ma:displayName="Delivery:" ma:list="{1F90C854-3358-4D48-BADD-DBF36F8F080F}" ma:internalName="Delivery_x003a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ate_x003a_ xmlns="9c61834d-447e-4b40-85f3-412776ef6271">2011-05-12T02:05:00+00:00</Date_x003a_>
    <Description_x003a_ xmlns="a3934a9c-4d1f-4be5-b4f5-15e24c61f397" xsi:nil="true"/>
    <Delivery_x003a_ xmlns="9c61834d-447e-4b40-85f3-412776ef6271" xsi:nil="true"/>
    <Type_x003a_ xmlns="68634ea0-c470-4a73-a052-d03ca6a8cd88">(none)</Type_x003a_>
    <Discipline_x003a_ xmlns="68634ea0-c470-4a73-a052-d03ca6a8cd88">(none)</Discipline_x003a_>
    <Recipient_x003a_ xmlns="9c61834d-447e-4b40-85f3-412776ef6271" xsi:nil="true"/>
    <Other_x0020_companies_x003a_ xmlns="9c61834d-447e-4b40-85f3-412776ef6271" xsi:nil="true"/>
    <Sender_x003a_ xmlns="9c61834d-447e-4b40-85f3-412776ef6271">
      <UserInfo>
        <DisplayName/>
        <AccountId xsi:nil="true"/>
        <AccountType/>
      </UserInfo>
    </Sender_x003a_>
    <Reason_x003a_ xmlns="9c61834d-447e-4b40-85f3-412776ef6271" xsi:nil="true"/>
    <Companies_x003a_ xmlns="9c61834d-447e-4b40-85f3-412776ef6271" xsi:nil="true"/>
    <Status_x003a_ xmlns="9c61834d-447e-4b40-85f3-412776ef62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1EC2-1BC3-4B7D-AB42-3A4870520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34a9c-4d1f-4be5-b4f5-15e24c61f397"/>
    <ds:schemaRef ds:uri="68634ea0-c470-4a73-a052-d03ca6a8cd88"/>
    <ds:schemaRef ds:uri="9c61834d-447e-4b40-85f3-412776ef6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13788C-E892-4DB8-B973-42B93772BB04}">
  <ds:schemaRefs>
    <ds:schemaRef ds:uri="http://schemas.microsoft.com/sharepoint/v3/contenttype/forms"/>
  </ds:schemaRefs>
</ds:datastoreItem>
</file>

<file path=customXml/itemProps3.xml><?xml version="1.0" encoding="utf-8"?>
<ds:datastoreItem xmlns:ds="http://schemas.openxmlformats.org/officeDocument/2006/customXml" ds:itemID="{BCDE2711-DCCA-4C0A-9BA5-E6378F6E33FA}">
  <ds:schemaRefs>
    <ds:schemaRef ds:uri="http://schemas.microsoft.com/office/2006/documentManagement/types"/>
    <ds:schemaRef ds:uri="68634ea0-c470-4a73-a052-d03ca6a8cd88"/>
    <ds:schemaRef ds:uri="http://purl.org/dc/terms/"/>
    <ds:schemaRef ds:uri="http://www.w3.org/XML/1998/namespace"/>
    <ds:schemaRef ds:uri="http://schemas.openxmlformats.org/package/2006/metadata/core-properties"/>
    <ds:schemaRef ds:uri="a3934a9c-4d1f-4be5-b4f5-15e24c61f397"/>
    <ds:schemaRef ds:uri="http://purl.org/dc/dcmitype/"/>
    <ds:schemaRef ds:uri="http://purl.org/dc/elements/1.1/"/>
    <ds:schemaRef ds:uri="9c61834d-447e-4b40-85f3-412776ef6271"/>
    <ds:schemaRef ds:uri="http://schemas.microsoft.com/office/2006/metadata/properties"/>
  </ds:schemaRefs>
</ds:datastoreItem>
</file>

<file path=customXml/itemProps4.xml><?xml version="1.0" encoding="utf-8"?>
<ds:datastoreItem xmlns:ds="http://schemas.openxmlformats.org/officeDocument/2006/customXml" ds:itemID="{17B82A04-CE93-40D3-9E86-AEADDD29BAD7}">
  <ds:schemaRefs>
    <ds:schemaRef ds:uri="http://schemas.openxmlformats.org/officeDocument/2006/bibliography"/>
  </ds:schemaRefs>
</ds:datastoreItem>
</file>

<file path=customXml/itemProps5.xml><?xml version="1.0" encoding="utf-8"?>
<ds:datastoreItem xmlns:ds="http://schemas.openxmlformats.org/officeDocument/2006/customXml" ds:itemID="{0EDA5BF3-78EE-4652-A69F-8E340B36A907}">
  <ds:schemaRefs>
    <ds:schemaRef ds:uri="http://schemas.openxmlformats.org/officeDocument/2006/bibliography"/>
  </ds:schemaRefs>
</ds:datastoreItem>
</file>

<file path=customXml/itemProps6.xml><?xml version="1.0" encoding="utf-8"?>
<ds:datastoreItem xmlns:ds="http://schemas.openxmlformats.org/officeDocument/2006/customXml" ds:itemID="{E37B6BF4-CE81-4B0C-B537-68D3DA636420}">
  <ds:schemaRefs>
    <ds:schemaRef ds:uri="http://schemas.openxmlformats.org/officeDocument/2006/bibliography"/>
  </ds:schemaRefs>
</ds:datastoreItem>
</file>

<file path=customXml/itemProps7.xml><?xml version="1.0" encoding="utf-8"?>
<ds:datastoreItem xmlns:ds="http://schemas.openxmlformats.org/officeDocument/2006/customXml" ds:itemID="{417CA46A-C149-47D8-B395-CDCB7E94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Client_Report_2S_1C</Template>
  <TotalTime>4</TotalTime>
  <Pages>104</Pages>
  <Words>33050</Words>
  <Characters>197482</Characters>
  <Application>Microsoft Office Word</Application>
  <DocSecurity>0</DocSecurity>
  <Lines>1645</Lines>
  <Paragraphs>460</Paragraphs>
  <ScaleCrop>false</ScaleCrop>
  <HeadingPairs>
    <vt:vector size="2" baseType="variant">
      <vt:variant>
        <vt:lpstr>Title</vt:lpstr>
      </vt:variant>
      <vt:variant>
        <vt:i4>1</vt:i4>
      </vt:variant>
    </vt:vector>
  </HeadingPairs>
  <TitlesOfParts>
    <vt:vector size="1" baseType="lpstr">
      <vt:lpstr>Waste and recycling related data and information</vt:lpstr>
    </vt:vector>
  </TitlesOfParts>
  <Company>Hyder Consulting</Company>
  <LinksUpToDate>false</LinksUpToDate>
  <CharactersWithSpaces>230072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and performance of local government - waste and recycling related data and information</dc:title>
  <dc:subject>Re-Brand Templates</dc:subject>
  <dc:creator>Fraser Brindley</dc:creator>
  <cp:keywords>Report</cp:keywords>
  <cp:lastModifiedBy>A00870</cp:lastModifiedBy>
  <cp:revision>3</cp:revision>
  <cp:lastPrinted>2011-10-26T22:23:00Z</cp:lastPrinted>
  <dcterms:created xsi:type="dcterms:W3CDTF">2012-05-28T23:46:00Z</dcterms:created>
  <dcterms:modified xsi:type="dcterms:W3CDTF">2012-06-03T22:42:00Z</dcterms:modified>
  <cp:category>Client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Text">
    <vt:lpwstr> </vt:lpwstr>
  </property>
  <property fmtid="{D5CDD505-2E9C-101B-9397-08002B2CF9AE}" pid="3" name="RevisionInfo">
    <vt:lpwstr> </vt:lpwstr>
  </property>
  <property fmtid="{D5CDD505-2E9C-101B-9397-08002B2CF9AE}" pid="4" name="Title">
    <vt:lpwstr>Waste and recycling related data and information</vt:lpwstr>
  </property>
  <property fmtid="{D5CDD505-2E9C-101B-9397-08002B2CF9AE}" pid="5" name="Subtitle">
    <vt:lpwstr/>
  </property>
  <property fmtid="{D5CDD505-2E9C-101B-9397-08002B2CF9AE}" pid="6" name="Project">
    <vt:lpwstr>Role and Performance of Local Government</vt:lpwstr>
  </property>
  <property fmtid="{D5CDD505-2E9C-101B-9397-08002B2CF9AE}" pid="7" name="Client">
    <vt:lpwstr>Department of Sustainability, Environment, Water, Population and Communities</vt:lpwstr>
  </property>
  <property fmtid="{D5CDD505-2E9C-101B-9397-08002B2CF9AE}" pid="8" name="Date">
    <vt:lpwstr>27 October 2011</vt:lpwstr>
  </property>
  <property fmtid="{D5CDD505-2E9C-101B-9397-08002B2CF9AE}" pid="9" name="Number">
    <vt:lpwstr/>
  </property>
  <property fmtid="{D5CDD505-2E9C-101B-9397-08002B2CF9AE}" pid="10" name="Author">
    <vt:lpwstr>Garth Lamb, Emma Mountjoy, Fraser Brindley, Lisa Shadforth</vt:lpwstr>
  </property>
  <property fmtid="{D5CDD505-2E9C-101B-9397-08002B2CF9AE}" pid="11" name="Checker">
    <vt:lpwstr>Victoria Bond</vt:lpwstr>
  </property>
  <property fmtid="{D5CDD505-2E9C-101B-9397-08002B2CF9AE}" pid="12" name="Approver">
    <vt:lpwstr>Victoria Bond</vt:lpwstr>
  </property>
  <property fmtid="{D5CDD505-2E9C-101B-9397-08002B2CF9AE}" pid="13" name="AppointmentDate">
    <vt:lpwstr/>
  </property>
  <property fmtid="{D5CDD505-2E9C-101B-9397-08002B2CF9AE}" pid="14" name="ContentTypeId">
    <vt:lpwstr>0x01010045CE9B57B320B94B8DBE6AC92460A35D</vt:lpwstr>
  </property>
</Properties>
</file>