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6CE" w:rsidRPr="004106CE" w:rsidRDefault="00860AC0" w:rsidP="001E6861">
      <w:pPr>
        <w:jc w:val="both"/>
        <w:rPr>
          <w:rFonts w:ascii="Avenir" w:hAnsi="Avenir"/>
        </w:rPr>
      </w:pPr>
      <w:r w:rsidRPr="004106CE">
        <w:rPr>
          <w:rFonts w:ascii="Avenir" w:hAnsi="Avenir"/>
          <w:noProof/>
          <w:lang w:eastAsia="en-AU"/>
        </w:rPr>
        <mc:AlternateContent>
          <mc:Choice Requires="wps">
            <w:drawing>
              <wp:anchor distT="0" distB="0" distL="114300" distR="114300" simplePos="0" relativeHeight="251706368" behindDoc="0" locked="0" layoutInCell="1" allowOverlap="1" wp14:anchorId="42833D98" wp14:editId="3FDECF27">
                <wp:simplePos x="0" y="0"/>
                <wp:positionH relativeFrom="column">
                  <wp:posOffset>-262890</wp:posOffset>
                </wp:positionH>
                <wp:positionV relativeFrom="page">
                  <wp:posOffset>3752850</wp:posOffset>
                </wp:positionV>
                <wp:extent cx="6791325" cy="1009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009650"/>
                        </a:xfrm>
                        <a:prstGeom prst="rect">
                          <a:avLst/>
                        </a:prstGeom>
                        <a:noFill/>
                        <a:ln w="9525">
                          <a:noFill/>
                          <a:miter lim="800000"/>
                          <a:headEnd/>
                          <a:tailEnd/>
                        </a:ln>
                      </wps:spPr>
                      <wps:txbx>
                        <w:txbxContent>
                          <w:p w:rsidR="0078615F" w:rsidRPr="0090789F" w:rsidRDefault="0078615F" w:rsidP="00860AC0">
                            <w:pPr>
                              <w:rPr>
                                <w:rFonts w:ascii="Avenir" w:hAnsi="Avenir"/>
                                <w:sz w:val="30"/>
                                <w:szCs w:val="30"/>
                              </w:rPr>
                            </w:pPr>
                            <w:r w:rsidRPr="0090789F">
                              <w:rPr>
                                <w:rFonts w:ascii="Avenir" w:hAnsi="Avenir"/>
                                <w:sz w:val="30"/>
                                <w:szCs w:val="30"/>
                                <w:lang w:val="en-US"/>
                              </w:rPr>
                              <w:t>Commonwealth of Australia, Department of Environment and Energy</w:t>
                            </w:r>
                            <w:r w:rsidRPr="0090789F">
                              <w:rPr>
                                <w:rFonts w:ascii="Avenir" w:hAnsi="Avenir"/>
                                <w:sz w:val="30"/>
                                <w:szCs w:val="30"/>
                                <w:lang w:val="en-US"/>
                              </w:rPr>
                              <w:br/>
                              <w:t xml:space="preserve">and </w:t>
                            </w:r>
                            <w:r>
                              <w:rPr>
                                <w:rFonts w:ascii="Avenir" w:hAnsi="Avenir"/>
                                <w:sz w:val="30"/>
                                <w:szCs w:val="30"/>
                                <w:lang w:val="en-US"/>
                              </w:rPr>
                              <w:t xml:space="preserve">NSW </w:t>
                            </w:r>
                            <w:r w:rsidRPr="0090789F">
                              <w:rPr>
                                <w:rFonts w:ascii="Avenir" w:hAnsi="Avenir"/>
                                <w:sz w:val="30"/>
                                <w:szCs w:val="30"/>
                                <w:lang w:val="en-US"/>
                              </w:rPr>
                              <w:t>Office of Environment and Heritage</w:t>
                            </w:r>
                          </w:p>
                          <w:p w:rsidR="0078615F" w:rsidRPr="0090789F" w:rsidRDefault="0078615F" w:rsidP="00860AC0">
                            <w:pPr>
                              <w:jc w:val="center"/>
                              <w:rPr>
                                <w:rFonts w:ascii="Avenir" w:hAnsi="Avenir"/>
                                <w:sz w:val="36"/>
                                <w:szCs w:val="42"/>
                                <w:lang w:val="en-US"/>
                              </w:rPr>
                            </w:pPr>
                            <w:r>
                              <w:rPr>
                                <w:rFonts w:ascii="Avenir" w:hAnsi="Avenir"/>
                                <w:sz w:val="42"/>
                                <w:szCs w:val="4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33D98" id="_x0000_t202" coordsize="21600,21600" o:spt="202" path="m,l,21600r21600,l21600,xe">
                <v:stroke joinstyle="miter"/>
                <v:path gradientshapeok="t" o:connecttype="rect"/>
              </v:shapetype>
              <v:shape id="Text Box 2" o:spid="_x0000_s1026" type="#_x0000_t202" style="position:absolute;left:0;text-align:left;margin-left:-20.7pt;margin-top:295.5pt;width:534.7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" filled="f" stroked="f">
                <v:textbox>
                  <w:txbxContent>
                    <w:p w14:paraId="1234A3F1" w14:textId="77777777" w:rsidR="0078615F" w:rsidRPr="0090789F" w:rsidRDefault="0078615F" w:rsidP="00860AC0">
                      <w:pPr>
                        <w:rPr>
                          <w:rFonts w:ascii="Avenir" w:hAnsi="Avenir"/>
                          <w:sz w:val="30"/>
                          <w:szCs w:val="30"/>
                        </w:rPr>
                      </w:pPr>
                      <w:r w:rsidRPr="0090789F">
                        <w:rPr>
                          <w:rFonts w:ascii="Avenir" w:hAnsi="Avenir"/>
                          <w:sz w:val="30"/>
                          <w:szCs w:val="30"/>
                          <w:lang w:val="en-US"/>
                        </w:rPr>
                        <w:t>Commonwealth of Australia, Department of Environment and Energy</w:t>
                      </w:r>
                      <w:r w:rsidRPr="0090789F">
                        <w:rPr>
                          <w:rFonts w:ascii="Avenir" w:hAnsi="Avenir"/>
                          <w:sz w:val="30"/>
                          <w:szCs w:val="30"/>
                          <w:lang w:val="en-US"/>
                        </w:rPr>
                        <w:br/>
                        <w:t xml:space="preserve">and </w:t>
                      </w:r>
                      <w:r>
                        <w:rPr>
                          <w:rFonts w:ascii="Avenir" w:hAnsi="Avenir"/>
                          <w:sz w:val="30"/>
                          <w:szCs w:val="30"/>
                          <w:lang w:val="en-US"/>
                        </w:rPr>
                        <w:t xml:space="preserve">NSW </w:t>
                      </w:r>
                      <w:r w:rsidRPr="0090789F">
                        <w:rPr>
                          <w:rFonts w:ascii="Avenir" w:hAnsi="Avenir"/>
                          <w:sz w:val="30"/>
                          <w:szCs w:val="30"/>
                          <w:lang w:val="en-US"/>
                        </w:rPr>
                        <w:t>Office of Environment and Heritage</w:t>
                      </w:r>
                    </w:p>
                    <w:p w14:paraId="0882155E" w14:textId="77777777" w:rsidR="0078615F" w:rsidRPr="0090789F" w:rsidRDefault="0078615F" w:rsidP="00860AC0">
                      <w:pPr>
                        <w:jc w:val="center"/>
                        <w:rPr>
                          <w:rFonts w:ascii="Avenir" w:hAnsi="Avenir"/>
                          <w:sz w:val="36"/>
                          <w:szCs w:val="42"/>
                          <w:lang w:val="en-US"/>
                        </w:rPr>
                      </w:pPr>
                      <w:r>
                        <w:rPr>
                          <w:rFonts w:ascii="Avenir" w:hAnsi="Avenir"/>
                          <w:sz w:val="42"/>
                          <w:szCs w:val="42"/>
                          <w:lang w:val="en-US"/>
                        </w:rPr>
                        <w:br/>
                      </w:r>
                    </w:p>
                  </w:txbxContent>
                </v:textbox>
                <w10:wrap anchory="page"/>
              </v:shape>
            </w:pict>
          </mc:Fallback>
        </mc:AlternateContent>
      </w:r>
      <w:r w:rsidRPr="004106CE">
        <w:rPr>
          <w:rFonts w:ascii="Avenir" w:hAnsi="Avenir"/>
          <w:noProof/>
          <w:lang w:eastAsia="en-AU"/>
        </w:rPr>
        <mc:AlternateContent>
          <mc:Choice Requires="wps">
            <w:drawing>
              <wp:anchor distT="0" distB="0" distL="114300" distR="114300" simplePos="0" relativeHeight="251660288" behindDoc="0" locked="0" layoutInCell="1" allowOverlap="1" wp14:anchorId="363B507C" wp14:editId="1C8B69FC">
                <wp:simplePos x="0" y="0"/>
                <wp:positionH relativeFrom="column">
                  <wp:posOffset>-300990</wp:posOffset>
                </wp:positionH>
                <wp:positionV relativeFrom="page">
                  <wp:posOffset>2590800</wp:posOffset>
                </wp:positionV>
                <wp:extent cx="6791325" cy="1009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009650"/>
                        </a:xfrm>
                        <a:prstGeom prst="rect">
                          <a:avLst/>
                        </a:prstGeom>
                        <a:noFill/>
                        <a:ln w="9525">
                          <a:noFill/>
                          <a:miter lim="800000"/>
                          <a:headEnd/>
                          <a:tailEnd/>
                        </a:ln>
                      </wps:spPr>
                      <wps:txbx>
                        <w:txbxContent>
                          <w:p w:rsidR="0078615F" w:rsidRPr="0090789F" w:rsidRDefault="0078615F" w:rsidP="00860AC0">
                            <w:pPr>
                              <w:rPr>
                                <w:rFonts w:ascii="Avenir" w:hAnsi="Avenir"/>
                                <w:sz w:val="36"/>
                                <w:szCs w:val="42"/>
                                <w:lang w:val="en-US"/>
                              </w:rPr>
                            </w:pPr>
                            <w:r>
                              <w:rPr>
                                <w:rFonts w:ascii="Avenir" w:hAnsi="Avenir"/>
                                <w:sz w:val="52"/>
                                <w:szCs w:val="42"/>
                                <w:lang w:val="en-US"/>
                              </w:rPr>
                              <w:t>Lower Macquarie Catchment</w:t>
                            </w:r>
                            <w:r>
                              <w:rPr>
                                <w:rFonts w:ascii="Avenir" w:hAnsi="Avenir"/>
                                <w:sz w:val="52"/>
                                <w:szCs w:val="42"/>
                                <w:lang w:val="en-US"/>
                              </w:rPr>
                              <w:br/>
                            </w:r>
                            <w:r w:rsidRPr="0090789F">
                              <w:rPr>
                                <w:rFonts w:ascii="Avenir" w:hAnsi="Avenir"/>
                                <w:sz w:val="52"/>
                                <w:szCs w:val="42"/>
                                <w:lang w:val="en-US"/>
                              </w:rPr>
                              <w:t>Temporary Water Monitoring</w:t>
                            </w:r>
                            <w:r>
                              <w:rPr>
                                <w:rFonts w:ascii="Avenir" w:hAnsi="Avenir"/>
                                <w:sz w:val="52"/>
                                <w:szCs w:val="42"/>
                                <w:lang w:val="en-US"/>
                              </w:rPr>
                              <w:t xml:space="preserve"> 2017</w:t>
                            </w:r>
                            <w:r>
                              <w:rPr>
                                <w:rFonts w:ascii="Avenir" w:hAnsi="Avenir"/>
                                <w:sz w:val="42"/>
                                <w:szCs w:val="4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507C" id="_x0000_s1027" type="#_x0000_t202" style="position:absolute;left:0;text-align:left;margin-left:-23.7pt;margin-top:204pt;width:534.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" filled="f" stroked="f">
                <v:textbox>
                  <w:txbxContent>
                    <w:p w14:paraId="53D19FD4" w14:textId="77777777" w:rsidR="0078615F" w:rsidRPr="0090789F" w:rsidRDefault="0078615F" w:rsidP="00860AC0">
                      <w:pPr>
                        <w:rPr>
                          <w:rFonts w:ascii="Avenir" w:hAnsi="Avenir"/>
                          <w:sz w:val="36"/>
                          <w:szCs w:val="42"/>
                          <w:lang w:val="en-US"/>
                        </w:rPr>
                      </w:pPr>
                      <w:r>
                        <w:rPr>
                          <w:rFonts w:ascii="Avenir" w:hAnsi="Avenir"/>
                          <w:sz w:val="52"/>
                          <w:szCs w:val="42"/>
                          <w:lang w:val="en-US"/>
                        </w:rPr>
                        <w:t>Lower Macquarie Catchment</w:t>
                      </w:r>
                      <w:r>
                        <w:rPr>
                          <w:rFonts w:ascii="Avenir" w:hAnsi="Avenir"/>
                          <w:sz w:val="52"/>
                          <w:szCs w:val="42"/>
                          <w:lang w:val="en-US"/>
                        </w:rPr>
                        <w:br/>
                      </w:r>
                      <w:r w:rsidRPr="0090789F">
                        <w:rPr>
                          <w:rFonts w:ascii="Avenir" w:hAnsi="Avenir"/>
                          <w:sz w:val="52"/>
                          <w:szCs w:val="42"/>
                          <w:lang w:val="en-US"/>
                        </w:rPr>
                        <w:t>Temporary Water Monitoring</w:t>
                      </w:r>
                      <w:r>
                        <w:rPr>
                          <w:rFonts w:ascii="Avenir" w:hAnsi="Avenir"/>
                          <w:sz w:val="52"/>
                          <w:szCs w:val="42"/>
                          <w:lang w:val="en-US"/>
                        </w:rPr>
                        <w:t xml:space="preserve"> 2017</w:t>
                      </w:r>
                      <w:r>
                        <w:rPr>
                          <w:rFonts w:ascii="Avenir" w:hAnsi="Avenir"/>
                          <w:sz w:val="42"/>
                          <w:szCs w:val="42"/>
                          <w:lang w:val="en-US"/>
                        </w:rPr>
                        <w:br/>
                      </w:r>
                    </w:p>
                  </w:txbxContent>
                </v:textbox>
                <w10:wrap anchory="page"/>
              </v:shape>
            </w:pict>
          </mc:Fallback>
        </mc:AlternateContent>
      </w:r>
      <w:r w:rsidR="00862283" w:rsidRPr="004106CE">
        <w:rPr>
          <w:rFonts w:ascii="Avenir" w:hAnsi="Avenir"/>
          <w:noProof/>
          <w:lang w:eastAsia="en-AU"/>
        </w:rPr>
        <w:drawing>
          <wp:anchor distT="0" distB="0" distL="114300" distR="114300" simplePos="0" relativeHeight="251658240" behindDoc="1" locked="0" layoutInCell="1" allowOverlap="1" wp14:anchorId="4B0DF8FA" wp14:editId="72157745">
            <wp:simplePos x="0" y="0"/>
            <wp:positionH relativeFrom="column">
              <wp:posOffset>-914400</wp:posOffset>
            </wp:positionH>
            <wp:positionV relativeFrom="paragraph">
              <wp:posOffset>-914400</wp:posOffset>
            </wp:positionV>
            <wp:extent cx="7572375" cy="10722610"/>
            <wp:effectExtent l="0" t="0" r="9525" b="2540"/>
            <wp:wrapThrough wrapText="bothSides">
              <wp:wrapPolygon edited="0">
                <wp:start x="0" y="0"/>
                <wp:lineTo x="0" y="21567"/>
                <wp:lineTo x="21573" y="21567"/>
                <wp:lineTo x="215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2375" cy="10722610"/>
                    </a:xfrm>
                    <a:prstGeom prst="rect">
                      <a:avLst/>
                    </a:prstGeom>
                  </pic:spPr>
                </pic:pic>
              </a:graphicData>
            </a:graphic>
            <wp14:sizeRelH relativeFrom="page">
              <wp14:pctWidth>0</wp14:pctWidth>
            </wp14:sizeRelH>
            <wp14:sizeRelV relativeFrom="page">
              <wp14:pctHeight>0</wp14:pctHeight>
            </wp14:sizeRelV>
          </wp:anchor>
        </w:drawing>
      </w: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Pr="004106CE" w:rsidRDefault="004106CE" w:rsidP="001E6861">
      <w:pPr>
        <w:jc w:val="both"/>
        <w:rPr>
          <w:rFonts w:ascii="Avenir" w:hAnsi="Avenir"/>
        </w:rPr>
      </w:pPr>
    </w:p>
    <w:p w:rsidR="004106CE" w:rsidRDefault="004106CE" w:rsidP="001E6861">
      <w:pPr>
        <w:jc w:val="both"/>
        <w:rPr>
          <w:rFonts w:ascii="Avenir" w:hAnsi="Avenir"/>
        </w:rPr>
      </w:pPr>
      <w:r w:rsidRPr="004106CE">
        <w:rPr>
          <w:rFonts w:ascii="Avenir" w:hAnsi="Avenir"/>
        </w:rPr>
        <w:t xml:space="preserve">Prepared for: </w:t>
      </w:r>
      <w:r w:rsidR="0090789F">
        <w:rPr>
          <w:rFonts w:ascii="Avenir" w:hAnsi="Avenir"/>
        </w:rPr>
        <w:t xml:space="preserve">Commonwealth of Australia, Department of Environment and Energy and concurrently NSW </w:t>
      </w:r>
      <w:r w:rsidRPr="004106CE">
        <w:rPr>
          <w:rFonts w:ascii="Avenir" w:hAnsi="Avenir"/>
        </w:rPr>
        <w:t>Office</w:t>
      </w:r>
      <w:r>
        <w:rPr>
          <w:rFonts w:ascii="Avenir" w:hAnsi="Avenir"/>
        </w:rPr>
        <w:t xml:space="preserve"> of Environment and Heritage</w:t>
      </w:r>
    </w:p>
    <w:p w:rsidR="004106CE" w:rsidRDefault="004106CE" w:rsidP="001E6861">
      <w:pPr>
        <w:jc w:val="both"/>
        <w:rPr>
          <w:rFonts w:ascii="Avenir" w:hAnsi="Avenir"/>
        </w:rPr>
      </w:pPr>
      <w:r>
        <w:rPr>
          <w:rFonts w:ascii="Avenir" w:hAnsi="Avenir"/>
        </w:rPr>
        <w:t xml:space="preserve">Report Prepared: </w:t>
      </w:r>
      <w:r w:rsidR="0078615F">
        <w:rPr>
          <w:rFonts w:ascii="Avenir" w:hAnsi="Avenir"/>
        </w:rPr>
        <w:t xml:space="preserve">October </w:t>
      </w:r>
      <w:r w:rsidR="0090789F">
        <w:rPr>
          <w:rFonts w:ascii="Avenir" w:hAnsi="Avenir"/>
        </w:rPr>
        <w:t>2017</w:t>
      </w:r>
    </w:p>
    <w:p w:rsidR="004106CE" w:rsidRDefault="004106CE" w:rsidP="001E6861">
      <w:pPr>
        <w:jc w:val="both"/>
        <w:rPr>
          <w:rFonts w:ascii="Avenir" w:hAnsi="Avenir"/>
        </w:rPr>
      </w:pPr>
      <w:r>
        <w:rPr>
          <w:rFonts w:ascii="Avenir" w:hAnsi="Avenir"/>
        </w:rPr>
        <w:t xml:space="preserve">Data Provided By: </w:t>
      </w:r>
      <w:bookmarkStart w:id="0" w:name="_GoBack"/>
      <w:r>
        <w:rPr>
          <w:rFonts w:ascii="Avenir" w:hAnsi="Avenir"/>
        </w:rPr>
        <w:t>WaterNSW</w:t>
      </w:r>
      <w:bookmarkEnd w:id="0"/>
      <w:r>
        <w:rPr>
          <w:rFonts w:ascii="Avenir" w:hAnsi="Avenir"/>
        </w:rPr>
        <w:t>, Water Catchment and Protection Unit, Hydrometrics</w:t>
      </w:r>
    </w:p>
    <w:p w:rsidR="0029468C" w:rsidRDefault="004106CE" w:rsidP="001E6861">
      <w:pPr>
        <w:jc w:val="both"/>
        <w:rPr>
          <w:rFonts w:ascii="Avenir" w:hAnsi="Avenir"/>
        </w:rPr>
      </w:pPr>
      <w:r>
        <w:rPr>
          <w:rFonts w:ascii="Avenir" w:hAnsi="Avenir"/>
        </w:rPr>
        <w:t xml:space="preserve">Front Cover: </w:t>
      </w:r>
      <w:r w:rsidR="0029468C">
        <w:rPr>
          <w:rFonts w:ascii="Avenir" w:hAnsi="Avenir"/>
        </w:rPr>
        <w:t xml:space="preserve">Gauging Station Site 421907, Macquarie River @ </w:t>
      </w:r>
      <w:proofErr w:type="spellStart"/>
      <w:r w:rsidR="0029468C">
        <w:rPr>
          <w:rFonts w:ascii="Avenir" w:hAnsi="Avenir"/>
        </w:rPr>
        <w:t>Brewon</w:t>
      </w:r>
      <w:proofErr w:type="spellEnd"/>
      <w:r w:rsidR="0029468C">
        <w:rPr>
          <w:rFonts w:ascii="Avenir" w:hAnsi="Avenir"/>
        </w:rPr>
        <w:t xml:space="preserve"> Bridge</w:t>
      </w:r>
    </w:p>
    <w:p w:rsidR="009F3790" w:rsidRDefault="009F3790" w:rsidP="001E6861">
      <w:pPr>
        <w:jc w:val="both"/>
        <w:rPr>
          <w:rFonts w:ascii="Avenir" w:hAnsi="Avenir"/>
        </w:rPr>
      </w:pPr>
    </w:p>
    <w:p w:rsidR="0029468C" w:rsidRDefault="0029468C" w:rsidP="001E6861">
      <w:pPr>
        <w:pStyle w:val="NormalWeb"/>
        <w:shd w:val="clear" w:color="auto" w:fill="FFFFFF"/>
        <w:spacing w:before="0" w:beforeAutospacing="0" w:after="0" w:afterAutospacing="0" w:line="320" w:lineRule="atLeast"/>
        <w:jc w:val="both"/>
        <w:textAlignment w:val="baseline"/>
        <w:rPr>
          <w:rFonts w:ascii="Avenir" w:hAnsi="Avenir" w:cs="Arial"/>
          <w:color w:val="7F7F7F" w:themeColor="text1" w:themeTint="80"/>
          <w:sz w:val="16"/>
          <w:szCs w:val="16"/>
        </w:rPr>
      </w:pPr>
      <w:r w:rsidRPr="0029468C">
        <w:rPr>
          <w:rFonts w:ascii="Avenir" w:hAnsi="Avenir" w:cs="Arial"/>
          <w:color w:val="7F7F7F" w:themeColor="text1" w:themeTint="80"/>
          <w:sz w:val="16"/>
          <w:szCs w:val="16"/>
        </w:rPr>
        <w:t>WaterNSW has prepared the information in this report with all due care and endeavours to</w:t>
      </w:r>
      <w:r w:rsidRPr="0029468C">
        <w:rPr>
          <w:rFonts w:ascii="Courier New" w:hAnsi="Courier New" w:cs="Courier New"/>
          <w:color w:val="7F7F7F" w:themeColor="text1" w:themeTint="80"/>
          <w:sz w:val="16"/>
          <w:szCs w:val="16"/>
        </w:rPr>
        <w:t> </w:t>
      </w:r>
      <w:r w:rsidR="009F3790">
        <w:rPr>
          <w:rFonts w:ascii="Courier New" w:hAnsi="Courier New" w:cs="Courier New"/>
          <w:color w:val="7F7F7F" w:themeColor="text1" w:themeTint="80"/>
          <w:sz w:val="16"/>
          <w:szCs w:val="16"/>
        </w:rPr>
        <w:t>p</w:t>
      </w:r>
      <w:r w:rsidRPr="0029468C">
        <w:rPr>
          <w:rFonts w:ascii="Avenir" w:hAnsi="Avenir" w:cs="Arial"/>
          <w:color w:val="7F7F7F" w:themeColor="text1" w:themeTint="80"/>
          <w:sz w:val="16"/>
          <w:szCs w:val="16"/>
        </w:rPr>
        <w:t>rovide accurate information that is considered true and correct at the date of publication. The information may change without notice. Any mistakes in this information that are brought to our attention will be corrected as soon as possible. WaterNSW disclaims, to the extent permitted by law, all warranties, representations or endorsements, express or implied, with regard to the information including but not limited to, all implied warranties of merchantability, fitness for a particular purpose, or non-infringement.</w:t>
      </w:r>
    </w:p>
    <w:p w:rsidR="0029468C" w:rsidRPr="0029468C" w:rsidRDefault="0029468C" w:rsidP="001E6861">
      <w:pPr>
        <w:pStyle w:val="NormalWeb"/>
        <w:shd w:val="clear" w:color="auto" w:fill="FFFFFF"/>
        <w:spacing w:before="0" w:beforeAutospacing="0" w:after="0" w:afterAutospacing="0" w:line="320" w:lineRule="atLeast"/>
        <w:jc w:val="both"/>
        <w:textAlignment w:val="baseline"/>
        <w:rPr>
          <w:rFonts w:ascii="Avenir" w:hAnsi="Avenir" w:cs="Arial"/>
          <w:color w:val="7F7F7F" w:themeColor="text1" w:themeTint="80"/>
          <w:sz w:val="16"/>
          <w:szCs w:val="16"/>
        </w:rPr>
      </w:pPr>
    </w:p>
    <w:p w:rsidR="0029468C" w:rsidRPr="0029468C" w:rsidRDefault="0029468C" w:rsidP="001E6861">
      <w:pPr>
        <w:pStyle w:val="NormalWeb"/>
        <w:shd w:val="clear" w:color="auto" w:fill="FFFFFF"/>
        <w:spacing w:before="0" w:beforeAutospacing="0" w:after="240" w:afterAutospacing="0" w:line="320" w:lineRule="atLeast"/>
        <w:jc w:val="both"/>
        <w:textAlignment w:val="baseline"/>
        <w:rPr>
          <w:rFonts w:ascii="Avenir" w:hAnsi="Avenir" w:cs="Arial"/>
          <w:color w:val="7F7F7F" w:themeColor="text1" w:themeTint="80"/>
          <w:sz w:val="16"/>
          <w:szCs w:val="16"/>
        </w:rPr>
      </w:pPr>
      <w:r w:rsidRPr="0029468C">
        <w:rPr>
          <w:rFonts w:ascii="Avenir" w:hAnsi="Avenir" w:cs="Arial"/>
          <w:color w:val="7F7F7F" w:themeColor="text1" w:themeTint="80"/>
          <w:sz w:val="16"/>
          <w:szCs w:val="16"/>
        </w:rPr>
        <w:t>The information is provided on the understanding that the</w:t>
      </w:r>
      <w:r w:rsidRPr="0029468C">
        <w:rPr>
          <w:rFonts w:ascii="Courier New" w:hAnsi="Courier New" w:cs="Courier New"/>
          <w:color w:val="7F7F7F" w:themeColor="text1" w:themeTint="80"/>
          <w:sz w:val="16"/>
          <w:szCs w:val="16"/>
        </w:rPr>
        <w:t> </w:t>
      </w:r>
      <w:r w:rsidRPr="0029468C">
        <w:rPr>
          <w:rFonts w:ascii="Avenir" w:hAnsi="Avenir" w:cs="Arial"/>
          <w:color w:val="7F7F7F" w:themeColor="text1" w:themeTint="80"/>
          <w:sz w:val="16"/>
          <w:szCs w:val="16"/>
        </w:rPr>
        <w:t xml:space="preserve">WaterNSW, its employees and agents have no liability (including but not limited to liability by reason of negligence) to the client for any loss, damage, cost or expense whether direct, indirect consequential or special, incurred by, or arising by reason of, any person using or relying on the information and whether caused by reason of any error, omission or misrepresentation in the information or otherwise. </w:t>
      </w:r>
    </w:p>
    <w:p w:rsidR="004106CE" w:rsidRPr="004106CE" w:rsidRDefault="004106CE" w:rsidP="001E6861">
      <w:pPr>
        <w:jc w:val="both"/>
        <w:rPr>
          <w:rFonts w:ascii="Avenir" w:hAnsi="Avenir"/>
        </w:rPr>
      </w:pPr>
      <w:r w:rsidRPr="004106CE">
        <w:rPr>
          <w:rFonts w:ascii="Avenir" w:hAnsi="Avenir"/>
        </w:rPr>
        <w:br w:type="page"/>
      </w:r>
    </w:p>
    <w:p w:rsidR="008A524A" w:rsidRPr="008A524A" w:rsidRDefault="008A524A" w:rsidP="001E6861">
      <w:pPr>
        <w:jc w:val="both"/>
        <w:rPr>
          <w:rFonts w:cs="Arial"/>
          <w:sz w:val="24"/>
          <w:szCs w:val="24"/>
        </w:rPr>
      </w:pPr>
      <w:r w:rsidRPr="008A524A">
        <w:rPr>
          <w:rFonts w:cs="Arial"/>
          <w:sz w:val="24"/>
          <w:szCs w:val="24"/>
        </w:rPr>
        <w:lastRenderedPageBreak/>
        <w:t xml:space="preserve">This report was </w:t>
      </w:r>
      <w:r w:rsidRPr="007442BB">
        <w:rPr>
          <w:rFonts w:cs="Arial"/>
          <w:sz w:val="24"/>
          <w:szCs w:val="24"/>
        </w:rPr>
        <w:t xml:space="preserve">prepared by the </w:t>
      </w:r>
      <w:r w:rsidR="007442BB" w:rsidRPr="007442BB">
        <w:rPr>
          <w:rFonts w:cs="Arial"/>
          <w:sz w:val="24"/>
          <w:szCs w:val="24"/>
        </w:rPr>
        <w:t xml:space="preserve">Water Catchment and Protection Unit </w:t>
      </w:r>
      <w:r w:rsidRPr="007442BB">
        <w:rPr>
          <w:rFonts w:cs="Arial"/>
          <w:sz w:val="24"/>
          <w:szCs w:val="24"/>
        </w:rPr>
        <w:t>of WaterNSW</w:t>
      </w:r>
      <w:r w:rsidRPr="008A524A">
        <w:rPr>
          <w:rFonts w:cs="Arial"/>
          <w:sz w:val="24"/>
          <w:szCs w:val="24"/>
        </w:rPr>
        <w:t xml:space="preserve"> to describe the installation of a temporary river gauging station and </w:t>
      </w:r>
      <w:r w:rsidR="00D54A34">
        <w:rPr>
          <w:rFonts w:cs="Arial"/>
          <w:sz w:val="24"/>
          <w:szCs w:val="24"/>
        </w:rPr>
        <w:t xml:space="preserve">to </w:t>
      </w:r>
      <w:r w:rsidRPr="008A524A">
        <w:rPr>
          <w:rFonts w:cs="Arial"/>
          <w:sz w:val="24"/>
          <w:szCs w:val="24"/>
        </w:rPr>
        <w:t>provide the hydrological data recorded during an environmental flow delivery to the Barwon River from t</w:t>
      </w:r>
      <w:r>
        <w:rPr>
          <w:rFonts w:cs="Arial"/>
          <w:sz w:val="24"/>
          <w:szCs w:val="24"/>
        </w:rPr>
        <w:t>he Macquarie River during May to</w:t>
      </w:r>
      <w:r w:rsidR="0049191B">
        <w:rPr>
          <w:rFonts w:cs="Arial"/>
          <w:sz w:val="24"/>
          <w:szCs w:val="24"/>
        </w:rPr>
        <w:t xml:space="preserve"> July 2017.</w:t>
      </w:r>
    </w:p>
    <w:sdt>
      <w:sdtPr>
        <w:rPr>
          <w:rFonts w:ascii="Arial" w:eastAsiaTheme="minorEastAsia" w:hAnsi="Arial" w:cs="Arial"/>
          <w:b w:val="0"/>
          <w:bCs w:val="0"/>
          <w:sz w:val="24"/>
          <w:szCs w:val="24"/>
          <w:lang w:val="en-GB" w:eastAsia="en-GB"/>
        </w:rPr>
        <w:id w:val="19763377"/>
        <w:docPartObj>
          <w:docPartGallery w:val="Table of Contents"/>
          <w:docPartUnique/>
        </w:docPartObj>
      </w:sdtPr>
      <w:sdtEndPr>
        <w:rPr>
          <w:rFonts w:eastAsiaTheme="minorHAnsi"/>
          <w:lang w:val="en-AU" w:eastAsia="en-US"/>
        </w:rPr>
      </w:sdtEndPr>
      <w:sdtContent>
        <w:p w:rsidR="008A524A" w:rsidRPr="008A524A" w:rsidRDefault="008A524A" w:rsidP="001E6861">
          <w:pPr>
            <w:pStyle w:val="TOCHeading"/>
            <w:jc w:val="both"/>
            <w:rPr>
              <w:rFonts w:ascii="Arial" w:hAnsi="Arial" w:cs="Arial"/>
              <w:color w:val="000000" w:themeColor="text1"/>
              <w:sz w:val="24"/>
              <w:szCs w:val="24"/>
            </w:rPr>
          </w:pPr>
          <w:r w:rsidRPr="008A524A">
            <w:rPr>
              <w:rFonts w:ascii="Arial" w:hAnsi="Arial" w:cs="Arial"/>
              <w:color w:val="000000" w:themeColor="text1"/>
              <w:sz w:val="24"/>
              <w:szCs w:val="24"/>
            </w:rPr>
            <w:t>Table of Contents</w:t>
          </w:r>
        </w:p>
        <w:p w:rsidR="00904D50" w:rsidRDefault="008A524A">
          <w:pPr>
            <w:pStyle w:val="TOC1"/>
            <w:rPr>
              <w:rFonts w:asciiTheme="minorHAnsi" w:hAnsiTheme="minorHAnsi"/>
              <w:noProof/>
              <w:lang w:val="en-AU" w:eastAsia="en-AU"/>
            </w:rPr>
          </w:pPr>
          <w:r w:rsidRPr="008A524A">
            <w:rPr>
              <w:rFonts w:cs="Arial"/>
              <w:sz w:val="24"/>
              <w:szCs w:val="24"/>
            </w:rPr>
            <w:fldChar w:fldCharType="begin"/>
          </w:r>
          <w:r w:rsidRPr="008A524A">
            <w:rPr>
              <w:rFonts w:cs="Arial"/>
              <w:sz w:val="24"/>
              <w:szCs w:val="24"/>
            </w:rPr>
            <w:instrText xml:space="preserve"> TOC \o "1-3" \h \z \u </w:instrText>
          </w:r>
          <w:r w:rsidRPr="008A524A">
            <w:rPr>
              <w:rFonts w:cs="Arial"/>
              <w:sz w:val="24"/>
              <w:szCs w:val="24"/>
            </w:rPr>
            <w:fldChar w:fldCharType="separate"/>
          </w:r>
          <w:hyperlink w:anchor="_Toc504477972" w:history="1">
            <w:r w:rsidR="00904D50" w:rsidRPr="00C93B24">
              <w:rPr>
                <w:rStyle w:val="Hyperlink"/>
                <w:rFonts w:cs="Arial"/>
                <w:noProof/>
              </w:rPr>
              <w:t>Hydrometric Gauging Stations within the Lower Macquarie Area</w:t>
            </w:r>
            <w:r w:rsidR="00904D50">
              <w:rPr>
                <w:noProof/>
                <w:webHidden/>
              </w:rPr>
              <w:tab/>
            </w:r>
            <w:r w:rsidR="00904D50">
              <w:rPr>
                <w:noProof/>
                <w:webHidden/>
              </w:rPr>
              <w:fldChar w:fldCharType="begin"/>
            </w:r>
            <w:r w:rsidR="00904D50">
              <w:rPr>
                <w:noProof/>
                <w:webHidden/>
              </w:rPr>
              <w:instrText xml:space="preserve"> PAGEREF _Toc504477972 \h </w:instrText>
            </w:r>
            <w:r w:rsidR="00904D50">
              <w:rPr>
                <w:noProof/>
                <w:webHidden/>
              </w:rPr>
            </w:r>
            <w:r w:rsidR="00904D50">
              <w:rPr>
                <w:noProof/>
                <w:webHidden/>
              </w:rPr>
              <w:fldChar w:fldCharType="separate"/>
            </w:r>
            <w:r w:rsidR="00904D50">
              <w:rPr>
                <w:noProof/>
                <w:webHidden/>
              </w:rPr>
              <w:t>4</w:t>
            </w:r>
            <w:r w:rsidR="00904D50">
              <w:rPr>
                <w:noProof/>
                <w:webHidden/>
              </w:rPr>
              <w:fldChar w:fldCharType="end"/>
            </w:r>
          </w:hyperlink>
        </w:p>
        <w:p w:rsidR="00904D50" w:rsidRDefault="00160996">
          <w:pPr>
            <w:pStyle w:val="TOC1"/>
            <w:rPr>
              <w:rFonts w:asciiTheme="minorHAnsi" w:hAnsiTheme="minorHAnsi"/>
              <w:noProof/>
              <w:lang w:val="en-AU" w:eastAsia="en-AU"/>
            </w:rPr>
          </w:pPr>
          <w:hyperlink w:anchor="_Toc504477973" w:history="1">
            <w:r w:rsidR="00904D50" w:rsidRPr="00C93B24">
              <w:rPr>
                <w:rStyle w:val="Hyperlink"/>
                <w:rFonts w:cs="Arial"/>
                <w:noProof/>
              </w:rPr>
              <w:t>Site Reconnaissance 27th and 28</w:t>
            </w:r>
            <w:r w:rsidR="00904D50" w:rsidRPr="00C93B24">
              <w:rPr>
                <w:rStyle w:val="Hyperlink"/>
                <w:rFonts w:cs="Arial"/>
                <w:noProof/>
                <w:vertAlign w:val="superscript"/>
              </w:rPr>
              <w:t>th</w:t>
            </w:r>
            <w:r w:rsidR="00904D50" w:rsidRPr="00C93B24">
              <w:rPr>
                <w:rStyle w:val="Hyperlink"/>
                <w:rFonts w:cs="Arial"/>
                <w:noProof/>
              </w:rPr>
              <w:t xml:space="preserve"> of April 2017</w:t>
            </w:r>
            <w:r w:rsidR="00904D50">
              <w:rPr>
                <w:noProof/>
                <w:webHidden/>
              </w:rPr>
              <w:tab/>
            </w:r>
            <w:r w:rsidR="00904D50">
              <w:rPr>
                <w:noProof/>
                <w:webHidden/>
              </w:rPr>
              <w:fldChar w:fldCharType="begin"/>
            </w:r>
            <w:r w:rsidR="00904D50">
              <w:rPr>
                <w:noProof/>
                <w:webHidden/>
              </w:rPr>
              <w:instrText xml:space="preserve"> PAGEREF _Toc504477973 \h </w:instrText>
            </w:r>
            <w:r w:rsidR="00904D50">
              <w:rPr>
                <w:noProof/>
                <w:webHidden/>
              </w:rPr>
            </w:r>
            <w:r w:rsidR="00904D50">
              <w:rPr>
                <w:noProof/>
                <w:webHidden/>
              </w:rPr>
              <w:fldChar w:fldCharType="separate"/>
            </w:r>
            <w:r w:rsidR="00904D50">
              <w:rPr>
                <w:noProof/>
                <w:webHidden/>
              </w:rPr>
              <w:t>4</w:t>
            </w:r>
            <w:r w:rsidR="00904D50">
              <w:rPr>
                <w:noProof/>
                <w:webHidden/>
              </w:rPr>
              <w:fldChar w:fldCharType="end"/>
            </w:r>
          </w:hyperlink>
        </w:p>
        <w:p w:rsidR="00904D50" w:rsidRDefault="00160996">
          <w:pPr>
            <w:pStyle w:val="TOC1"/>
            <w:rPr>
              <w:rFonts w:asciiTheme="minorHAnsi" w:hAnsiTheme="minorHAnsi"/>
              <w:noProof/>
              <w:lang w:val="en-AU" w:eastAsia="en-AU"/>
            </w:rPr>
          </w:pPr>
          <w:hyperlink w:anchor="_Toc504477974" w:history="1">
            <w:r w:rsidR="00904D50" w:rsidRPr="00C93B24">
              <w:rPr>
                <w:rStyle w:val="Hyperlink"/>
                <w:noProof/>
              </w:rPr>
              <w:t xml:space="preserve">Installation of </w:t>
            </w:r>
            <w:r w:rsidR="00904D50" w:rsidRPr="00C93B24">
              <w:rPr>
                <w:rStyle w:val="Hyperlink"/>
                <w:rFonts w:cs="Arial"/>
                <w:noProof/>
              </w:rPr>
              <w:t>421907 Macquarie River @ Brewon Bridge</w:t>
            </w:r>
            <w:r w:rsidR="00904D50">
              <w:rPr>
                <w:noProof/>
                <w:webHidden/>
              </w:rPr>
              <w:tab/>
            </w:r>
            <w:r w:rsidR="00904D50">
              <w:rPr>
                <w:noProof/>
                <w:webHidden/>
              </w:rPr>
              <w:fldChar w:fldCharType="begin"/>
            </w:r>
            <w:r w:rsidR="00904D50">
              <w:rPr>
                <w:noProof/>
                <w:webHidden/>
              </w:rPr>
              <w:instrText xml:space="preserve"> PAGEREF _Toc504477974 \h </w:instrText>
            </w:r>
            <w:r w:rsidR="00904D50">
              <w:rPr>
                <w:noProof/>
                <w:webHidden/>
              </w:rPr>
            </w:r>
            <w:r w:rsidR="00904D50">
              <w:rPr>
                <w:noProof/>
                <w:webHidden/>
              </w:rPr>
              <w:fldChar w:fldCharType="separate"/>
            </w:r>
            <w:r w:rsidR="00904D50">
              <w:rPr>
                <w:noProof/>
                <w:webHidden/>
              </w:rPr>
              <w:t>5</w:t>
            </w:r>
            <w:r w:rsidR="00904D50">
              <w:rPr>
                <w:noProof/>
                <w:webHidden/>
              </w:rPr>
              <w:fldChar w:fldCharType="end"/>
            </w:r>
          </w:hyperlink>
        </w:p>
        <w:p w:rsidR="00904D50" w:rsidRDefault="00904D50">
          <w:pPr>
            <w:pStyle w:val="TOC1"/>
            <w:rPr>
              <w:rFonts w:asciiTheme="minorHAnsi" w:hAnsiTheme="minorHAnsi"/>
              <w:noProof/>
              <w:lang w:val="en-AU" w:eastAsia="en-AU"/>
            </w:rPr>
          </w:pPr>
          <w:hyperlink w:anchor="_Toc504477976" w:history="1">
            <w:r w:rsidRPr="00C93B24">
              <w:rPr>
                <w:rStyle w:val="Hyperlink"/>
                <w:noProof/>
              </w:rPr>
              <w:t>Discharge Gaugings</w:t>
            </w:r>
            <w:r>
              <w:rPr>
                <w:noProof/>
                <w:webHidden/>
              </w:rPr>
              <w:tab/>
            </w:r>
            <w:r>
              <w:rPr>
                <w:noProof/>
                <w:webHidden/>
              </w:rPr>
              <w:fldChar w:fldCharType="begin"/>
            </w:r>
            <w:r>
              <w:rPr>
                <w:noProof/>
                <w:webHidden/>
              </w:rPr>
              <w:instrText xml:space="preserve"> PAGEREF _Toc504477976 \h </w:instrText>
            </w:r>
            <w:r>
              <w:rPr>
                <w:noProof/>
                <w:webHidden/>
              </w:rPr>
            </w:r>
            <w:r>
              <w:rPr>
                <w:noProof/>
                <w:webHidden/>
              </w:rPr>
              <w:fldChar w:fldCharType="separate"/>
            </w:r>
            <w:r>
              <w:rPr>
                <w:noProof/>
                <w:webHidden/>
              </w:rPr>
              <w:t>8</w:t>
            </w:r>
            <w:r>
              <w:rPr>
                <w:noProof/>
                <w:webHidden/>
              </w:rPr>
              <w:fldChar w:fldCharType="end"/>
            </w:r>
          </w:hyperlink>
        </w:p>
        <w:p w:rsidR="00904D50" w:rsidRDefault="00160996">
          <w:pPr>
            <w:pStyle w:val="TOC1"/>
            <w:rPr>
              <w:rFonts w:asciiTheme="minorHAnsi" w:hAnsiTheme="minorHAnsi"/>
              <w:noProof/>
              <w:lang w:val="en-AU" w:eastAsia="en-AU"/>
            </w:rPr>
          </w:pPr>
          <w:hyperlink w:anchor="_Toc504477977" w:history="1">
            <w:r w:rsidR="00904D50" w:rsidRPr="00C93B24">
              <w:rPr>
                <w:rStyle w:val="Hyperlink"/>
                <w:noProof/>
              </w:rPr>
              <w:t>Rating table development</w:t>
            </w:r>
            <w:r w:rsidR="00904D50">
              <w:rPr>
                <w:noProof/>
                <w:webHidden/>
              </w:rPr>
              <w:tab/>
            </w:r>
            <w:r w:rsidR="00904D50">
              <w:rPr>
                <w:noProof/>
                <w:webHidden/>
              </w:rPr>
              <w:fldChar w:fldCharType="begin"/>
            </w:r>
            <w:r w:rsidR="00904D50">
              <w:rPr>
                <w:noProof/>
                <w:webHidden/>
              </w:rPr>
              <w:instrText xml:space="preserve"> PAGEREF _Toc504477977 \h </w:instrText>
            </w:r>
            <w:r w:rsidR="00904D50">
              <w:rPr>
                <w:noProof/>
                <w:webHidden/>
              </w:rPr>
            </w:r>
            <w:r w:rsidR="00904D50">
              <w:rPr>
                <w:noProof/>
                <w:webHidden/>
              </w:rPr>
              <w:fldChar w:fldCharType="separate"/>
            </w:r>
            <w:r w:rsidR="00904D50">
              <w:rPr>
                <w:noProof/>
                <w:webHidden/>
              </w:rPr>
              <w:t>9</w:t>
            </w:r>
            <w:r w:rsidR="00904D50">
              <w:rPr>
                <w:noProof/>
                <w:webHidden/>
              </w:rPr>
              <w:fldChar w:fldCharType="end"/>
            </w:r>
          </w:hyperlink>
        </w:p>
        <w:p w:rsidR="00904D50" w:rsidRDefault="00160996">
          <w:pPr>
            <w:pStyle w:val="TOC1"/>
            <w:rPr>
              <w:rFonts w:asciiTheme="minorHAnsi" w:hAnsiTheme="minorHAnsi"/>
              <w:noProof/>
              <w:lang w:val="en-AU" w:eastAsia="en-AU"/>
            </w:rPr>
          </w:pPr>
          <w:hyperlink w:anchor="_Toc504477980" w:history="1">
            <w:r w:rsidR="00904D50" w:rsidRPr="00C93B24">
              <w:rPr>
                <w:rStyle w:val="Hyperlink"/>
                <w:noProof/>
              </w:rPr>
              <w:t>Discussion of key findings</w:t>
            </w:r>
            <w:r w:rsidR="00904D50">
              <w:rPr>
                <w:noProof/>
                <w:webHidden/>
              </w:rPr>
              <w:tab/>
            </w:r>
            <w:r w:rsidR="00904D50">
              <w:rPr>
                <w:noProof/>
                <w:webHidden/>
              </w:rPr>
              <w:fldChar w:fldCharType="begin"/>
            </w:r>
            <w:r w:rsidR="00904D50">
              <w:rPr>
                <w:noProof/>
                <w:webHidden/>
              </w:rPr>
              <w:instrText xml:space="preserve"> PAGEREF _Toc504477980 \h </w:instrText>
            </w:r>
            <w:r w:rsidR="00904D50">
              <w:rPr>
                <w:noProof/>
                <w:webHidden/>
              </w:rPr>
            </w:r>
            <w:r w:rsidR="00904D50">
              <w:rPr>
                <w:noProof/>
                <w:webHidden/>
              </w:rPr>
              <w:fldChar w:fldCharType="separate"/>
            </w:r>
            <w:r w:rsidR="00904D50">
              <w:rPr>
                <w:noProof/>
                <w:webHidden/>
              </w:rPr>
              <w:t>14</w:t>
            </w:r>
            <w:r w:rsidR="00904D50">
              <w:rPr>
                <w:noProof/>
                <w:webHidden/>
              </w:rPr>
              <w:fldChar w:fldCharType="end"/>
            </w:r>
          </w:hyperlink>
        </w:p>
        <w:p w:rsidR="008A524A" w:rsidRPr="008A524A" w:rsidRDefault="008A524A" w:rsidP="001E6861">
          <w:pPr>
            <w:jc w:val="both"/>
            <w:rPr>
              <w:rFonts w:cs="Arial"/>
              <w:sz w:val="24"/>
              <w:szCs w:val="24"/>
            </w:rPr>
          </w:pPr>
          <w:r w:rsidRPr="008A524A">
            <w:rPr>
              <w:rFonts w:cs="Arial"/>
              <w:sz w:val="24"/>
              <w:szCs w:val="24"/>
            </w:rPr>
            <w:fldChar w:fldCharType="end"/>
          </w:r>
        </w:p>
      </w:sdtContent>
    </w:sdt>
    <w:p w:rsidR="008A524A" w:rsidRPr="008A524A" w:rsidRDefault="008A524A" w:rsidP="001E6861">
      <w:pPr>
        <w:pStyle w:val="TableofFigures"/>
        <w:tabs>
          <w:tab w:val="right" w:leader="dot" w:pos="9016"/>
        </w:tabs>
        <w:jc w:val="both"/>
        <w:rPr>
          <w:rFonts w:cs="Arial"/>
          <w:sz w:val="24"/>
          <w:szCs w:val="24"/>
        </w:rPr>
      </w:pPr>
    </w:p>
    <w:p w:rsidR="008A524A" w:rsidRPr="008A524A" w:rsidRDefault="008A524A" w:rsidP="001E6861">
      <w:pPr>
        <w:pStyle w:val="TableofFigures"/>
        <w:tabs>
          <w:tab w:val="right" w:leader="dot" w:pos="9016"/>
        </w:tabs>
        <w:spacing w:before="120" w:after="120"/>
        <w:jc w:val="both"/>
        <w:rPr>
          <w:rFonts w:cs="Arial"/>
          <w:b/>
          <w:sz w:val="24"/>
          <w:szCs w:val="24"/>
        </w:rPr>
      </w:pPr>
      <w:r w:rsidRPr="008A524A">
        <w:rPr>
          <w:rFonts w:cs="Arial"/>
          <w:b/>
          <w:sz w:val="24"/>
          <w:szCs w:val="24"/>
        </w:rPr>
        <w:t>Table of Figures</w:t>
      </w:r>
    </w:p>
    <w:p w:rsidR="008A524A" w:rsidRPr="008A524A" w:rsidRDefault="008A524A" w:rsidP="00866BA5">
      <w:pPr>
        <w:pStyle w:val="TableofFigures"/>
        <w:tabs>
          <w:tab w:val="right" w:leader="dot" w:pos="9016"/>
        </w:tabs>
        <w:spacing w:line="360" w:lineRule="auto"/>
        <w:rPr>
          <w:rFonts w:cs="Arial"/>
          <w:noProof/>
          <w:sz w:val="24"/>
          <w:szCs w:val="24"/>
          <w:lang w:val="en-AU" w:eastAsia="en-AU"/>
        </w:rPr>
      </w:pPr>
      <w:r w:rsidRPr="008A524A">
        <w:rPr>
          <w:rFonts w:cs="Arial"/>
          <w:sz w:val="24"/>
          <w:szCs w:val="24"/>
        </w:rPr>
        <w:fldChar w:fldCharType="begin"/>
      </w:r>
      <w:r w:rsidRPr="008A524A">
        <w:rPr>
          <w:rFonts w:cs="Arial"/>
          <w:sz w:val="24"/>
          <w:szCs w:val="24"/>
        </w:rPr>
        <w:instrText xml:space="preserve"> TOC \h \z \c "Figure" </w:instrText>
      </w:r>
      <w:r w:rsidRPr="008A524A">
        <w:rPr>
          <w:rFonts w:cs="Arial"/>
          <w:sz w:val="24"/>
          <w:szCs w:val="24"/>
        </w:rPr>
        <w:fldChar w:fldCharType="separate"/>
      </w:r>
      <w:hyperlink r:id="rId8" w:anchor="_Toc495656765" w:history="1">
        <w:r w:rsidRPr="008A524A">
          <w:rPr>
            <w:rStyle w:val="Hyperlink"/>
            <w:rFonts w:cs="Arial"/>
            <w:noProof/>
            <w:sz w:val="24"/>
            <w:szCs w:val="24"/>
          </w:rPr>
          <w:t>Figure 1 - Gauging station 421907 Macquarie River @ Brewon Bridge</w:t>
        </w:r>
        <w:r w:rsidRPr="008A524A">
          <w:rPr>
            <w:rFonts w:cs="Arial"/>
            <w:noProof/>
            <w:webHidden/>
            <w:sz w:val="24"/>
            <w:szCs w:val="24"/>
          </w:rPr>
          <w:tab/>
        </w:r>
      </w:hyperlink>
      <w:r>
        <w:rPr>
          <w:rFonts w:cs="Arial"/>
          <w:noProof/>
          <w:sz w:val="24"/>
          <w:szCs w:val="24"/>
        </w:rPr>
        <w:t>Cover</w:t>
      </w:r>
    </w:p>
    <w:p w:rsidR="008A524A" w:rsidRPr="008A524A" w:rsidRDefault="00160996" w:rsidP="00866BA5">
      <w:pPr>
        <w:pStyle w:val="TableofFigures"/>
        <w:tabs>
          <w:tab w:val="right" w:leader="dot" w:pos="9016"/>
        </w:tabs>
        <w:spacing w:line="360" w:lineRule="auto"/>
        <w:rPr>
          <w:rFonts w:cs="Arial"/>
          <w:noProof/>
          <w:sz w:val="24"/>
          <w:szCs w:val="24"/>
          <w:lang w:val="en-AU" w:eastAsia="en-AU"/>
        </w:rPr>
      </w:pPr>
      <w:hyperlink r:id="rId9" w:anchor="_Toc495656766" w:history="1">
        <w:r w:rsidR="008A524A" w:rsidRPr="008A524A">
          <w:rPr>
            <w:rStyle w:val="Hyperlink"/>
            <w:rFonts w:cs="Arial"/>
            <w:noProof/>
            <w:sz w:val="24"/>
            <w:szCs w:val="24"/>
          </w:rPr>
          <w:t xml:space="preserve">Figure 2 - Location map </w:t>
        </w:r>
        <w:r w:rsidR="00860AC0">
          <w:rPr>
            <w:rStyle w:val="Hyperlink"/>
            <w:rFonts w:cs="Arial"/>
            <w:noProof/>
            <w:sz w:val="24"/>
            <w:szCs w:val="24"/>
          </w:rPr>
          <w:t>of</w:t>
        </w:r>
        <w:r w:rsidR="008A524A" w:rsidRPr="008A524A">
          <w:rPr>
            <w:rStyle w:val="Hyperlink"/>
            <w:rFonts w:cs="Arial"/>
            <w:noProof/>
            <w:sz w:val="24"/>
            <w:szCs w:val="24"/>
          </w:rPr>
          <w:t xml:space="preserve"> gauging stations </w:t>
        </w:r>
        <w:r w:rsidR="00860AC0">
          <w:rPr>
            <w:rStyle w:val="Hyperlink"/>
            <w:rFonts w:cs="Arial"/>
            <w:noProof/>
            <w:sz w:val="24"/>
            <w:szCs w:val="24"/>
          </w:rPr>
          <w:tab/>
        </w:r>
        <w:r w:rsidR="002A43E5">
          <w:rPr>
            <w:rFonts w:cs="Arial"/>
            <w:noProof/>
            <w:webHidden/>
            <w:sz w:val="24"/>
            <w:szCs w:val="24"/>
          </w:rPr>
          <w:t>4</w:t>
        </w:r>
      </w:hyperlink>
    </w:p>
    <w:p w:rsidR="008A524A" w:rsidRPr="008A524A" w:rsidRDefault="00160996" w:rsidP="00866BA5">
      <w:pPr>
        <w:pStyle w:val="TableofFigures"/>
        <w:tabs>
          <w:tab w:val="right" w:leader="dot" w:pos="9016"/>
        </w:tabs>
        <w:spacing w:line="360" w:lineRule="auto"/>
        <w:rPr>
          <w:rFonts w:cs="Arial"/>
          <w:noProof/>
          <w:sz w:val="24"/>
          <w:szCs w:val="24"/>
          <w:lang w:val="en-AU" w:eastAsia="en-AU"/>
        </w:rPr>
      </w:pPr>
      <w:hyperlink w:anchor="_Toc495656767" w:history="1">
        <w:r w:rsidR="008A524A" w:rsidRPr="008A524A">
          <w:rPr>
            <w:rStyle w:val="Hyperlink"/>
            <w:rFonts w:cs="Arial"/>
            <w:noProof/>
            <w:sz w:val="24"/>
            <w:szCs w:val="24"/>
          </w:rPr>
          <w:t>Figure 3 - Gravel causeway at 421907</w:t>
        </w:r>
        <w:r w:rsidR="008A524A" w:rsidRPr="008A524A">
          <w:rPr>
            <w:rFonts w:cs="Arial"/>
            <w:noProof/>
            <w:webHidden/>
            <w:sz w:val="24"/>
            <w:szCs w:val="24"/>
          </w:rPr>
          <w:tab/>
        </w:r>
        <w:r w:rsidR="003E5467">
          <w:rPr>
            <w:rFonts w:cs="Arial"/>
            <w:noProof/>
            <w:webHidden/>
            <w:sz w:val="24"/>
            <w:szCs w:val="24"/>
          </w:rPr>
          <w:t>5</w:t>
        </w:r>
      </w:hyperlink>
    </w:p>
    <w:p w:rsidR="008A524A" w:rsidRPr="008A524A" w:rsidRDefault="00160996" w:rsidP="00866BA5">
      <w:pPr>
        <w:pStyle w:val="TableofFigures"/>
        <w:tabs>
          <w:tab w:val="right" w:leader="dot" w:pos="9016"/>
        </w:tabs>
        <w:spacing w:line="360" w:lineRule="auto"/>
        <w:rPr>
          <w:rFonts w:cs="Arial"/>
          <w:noProof/>
          <w:sz w:val="24"/>
          <w:szCs w:val="24"/>
          <w:lang w:val="en-AU" w:eastAsia="en-AU"/>
        </w:rPr>
      </w:pPr>
      <w:hyperlink r:id="rId10" w:anchor="_Toc495656768" w:history="1">
        <w:r w:rsidR="008A524A" w:rsidRPr="008A524A">
          <w:rPr>
            <w:rStyle w:val="Hyperlink"/>
            <w:rFonts w:cs="Arial"/>
            <w:noProof/>
            <w:sz w:val="24"/>
            <w:szCs w:val="24"/>
          </w:rPr>
          <w:t>Figure 4 - Benchmark</w:t>
        </w:r>
        <w:r w:rsidR="008A524A" w:rsidRPr="008A524A">
          <w:rPr>
            <w:rFonts w:cs="Arial"/>
            <w:noProof/>
            <w:webHidden/>
            <w:sz w:val="24"/>
            <w:szCs w:val="24"/>
          </w:rPr>
          <w:tab/>
        </w:r>
        <w:r w:rsidR="005D4F40">
          <w:rPr>
            <w:rFonts w:cs="Arial"/>
            <w:noProof/>
            <w:webHidden/>
            <w:sz w:val="24"/>
            <w:szCs w:val="24"/>
          </w:rPr>
          <w:t>6</w:t>
        </w:r>
      </w:hyperlink>
    </w:p>
    <w:p w:rsidR="008A524A" w:rsidRPr="008A524A" w:rsidRDefault="00CE0549" w:rsidP="00866BA5">
      <w:pPr>
        <w:pStyle w:val="TableofFigures"/>
        <w:tabs>
          <w:tab w:val="right" w:leader="dot" w:pos="9016"/>
        </w:tabs>
        <w:spacing w:line="360" w:lineRule="auto"/>
        <w:rPr>
          <w:rFonts w:cs="Arial"/>
          <w:noProof/>
          <w:sz w:val="24"/>
          <w:szCs w:val="24"/>
          <w:lang w:val="en-AU" w:eastAsia="en-AU"/>
        </w:rPr>
      </w:pPr>
      <w:r>
        <w:t>Plot 1 - Cross Section</w:t>
      </w:r>
      <w:r>
        <w:tab/>
        <w:t>6</w:t>
      </w:r>
    </w:p>
    <w:p w:rsidR="00760116" w:rsidRDefault="00760116" w:rsidP="00866BA5">
      <w:pPr>
        <w:tabs>
          <w:tab w:val="right" w:leader="dot" w:pos="9016"/>
        </w:tabs>
        <w:spacing w:after="0" w:line="360" w:lineRule="auto"/>
        <w:rPr>
          <w:webHidden/>
          <w:lang w:val="en-GB" w:eastAsia="en-GB"/>
        </w:rPr>
      </w:pPr>
      <w:r>
        <w:rPr>
          <w:lang w:val="en-GB" w:eastAsia="en-GB"/>
        </w:rPr>
        <w:t xml:space="preserve">Table 1 - </w:t>
      </w:r>
      <w:r w:rsidR="00346859">
        <w:rPr>
          <w:lang w:val="en-GB" w:eastAsia="en-GB"/>
        </w:rPr>
        <w:t>OEH</w:t>
      </w:r>
      <w:r>
        <w:rPr>
          <w:lang w:val="en-GB" w:eastAsia="en-GB"/>
        </w:rPr>
        <w:t xml:space="preserve"> </w:t>
      </w:r>
      <w:r w:rsidR="00661983">
        <w:rPr>
          <w:lang w:val="en-GB" w:eastAsia="en-GB"/>
        </w:rPr>
        <w:t>Gauging Station</w:t>
      </w:r>
      <w:r>
        <w:rPr>
          <w:lang w:val="en-GB" w:eastAsia="en-GB"/>
        </w:rPr>
        <w:t xml:space="preserve"> Locations</w:t>
      </w:r>
      <w:r w:rsidRPr="003E5467">
        <w:rPr>
          <w:webHidden/>
          <w:lang w:val="en-GB" w:eastAsia="en-GB"/>
        </w:rPr>
        <w:tab/>
      </w:r>
      <w:r>
        <w:rPr>
          <w:webHidden/>
          <w:lang w:val="en-GB" w:eastAsia="en-GB"/>
        </w:rPr>
        <w:t>7</w:t>
      </w:r>
    </w:p>
    <w:p w:rsidR="008A524A" w:rsidRDefault="00160996" w:rsidP="00866BA5">
      <w:pPr>
        <w:pStyle w:val="TableofFigures"/>
        <w:tabs>
          <w:tab w:val="right" w:leader="dot" w:pos="9016"/>
        </w:tabs>
        <w:spacing w:line="360" w:lineRule="auto"/>
        <w:rPr>
          <w:rFonts w:cs="Arial"/>
          <w:noProof/>
          <w:sz w:val="24"/>
          <w:szCs w:val="24"/>
        </w:rPr>
      </w:pPr>
      <w:hyperlink r:id="rId11" w:anchor="_Toc495656770" w:history="1">
        <w:r w:rsidR="008A524A" w:rsidRPr="008A524A">
          <w:rPr>
            <w:rStyle w:val="Hyperlink"/>
            <w:rFonts w:cs="Arial"/>
            <w:noProof/>
            <w:sz w:val="24"/>
            <w:szCs w:val="24"/>
          </w:rPr>
          <w:t xml:space="preserve">Figure </w:t>
        </w:r>
        <w:r w:rsidR="00760116">
          <w:rPr>
            <w:rStyle w:val="Hyperlink"/>
            <w:rFonts w:cs="Arial"/>
            <w:noProof/>
            <w:sz w:val="24"/>
            <w:szCs w:val="24"/>
          </w:rPr>
          <w:t>5</w:t>
        </w:r>
        <w:r w:rsidR="008A524A" w:rsidRPr="008A524A">
          <w:rPr>
            <w:rStyle w:val="Hyperlink"/>
            <w:rFonts w:cs="Arial"/>
            <w:noProof/>
            <w:sz w:val="24"/>
            <w:szCs w:val="24"/>
          </w:rPr>
          <w:t xml:space="preserve"> - Instrument shelter and staff gauges</w:t>
        </w:r>
        <w:r w:rsidR="00661983">
          <w:rPr>
            <w:rStyle w:val="Hyperlink"/>
            <w:rFonts w:cs="Arial"/>
            <w:noProof/>
            <w:sz w:val="24"/>
            <w:szCs w:val="24"/>
          </w:rPr>
          <w:t>, Gauging Station 421907</w:t>
        </w:r>
        <w:r w:rsidR="008A524A" w:rsidRPr="008A524A">
          <w:rPr>
            <w:rFonts w:cs="Arial"/>
            <w:noProof/>
            <w:webHidden/>
            <w:sz w:val="24"/>
            <w:szCs w:val="24"/>
          </w:rPr>
          <w:tab/>
        </w:r>
        <w:r w:rsidR="00760116">
          <w:rPr>
            <w:rFonts w:cs="Arial"/>
            <w:noProof/>
            <w:webHidden/>
            <w:sz w:val="24"/>
            <w:szCs w:val="24"/>
          </w:rPr>
          <w:t>7</w:t>
        </w:r>
      </w:hyperlink>
    </w:p>
    <w:p w:rsidR="003E5467" w:rsidRDefault="003F681E" w:rsidP="00866BA5">
      <w:pPr>
        <w:tabs>
          <w:tab w:val="right" w:leader="dot" w:pos="9016"/>
        </w:tabs>
        <w:spacing w:after="0" w:line="360" w:lineRule="auto"/>
        <w:rPr>
          <w:webHidden/>
          <w:lang w:val="en-GB" w:eastAsia="en-GB"/>
        </w:rPr>
      </w:pPr>
      <w:r>
        <w:rPr>
          <w:webHidden/>
          <w:lang w:val="en-GB" w:eastAsia="en-GB"/>
        </w:rPr>
        <w:t>Table 2 - Gauging Results</w:t>
      </w:r>
      <w:r>
        <w:rPr>
          <w:webHidden/>
          <w:lang w:val="en-GB" w:eastAsia="en-GB"/>
        </w:rPr>
        <w:tab/>
      </w:r>
      <w:r w:rsidR="005131CD">
        <w:rPr>
          <w:webHidden/>
          <w:lang w:val="en-GB" w:eastAsia="en-GB"/>
        </w:rPr>
        <w:t>8</w:t>
      </w:r>
    </w:p>
    <w:p w:rsidR="003F681E" w:rsidRDefault="003F681E" w:rsidP="00866BA5">
      <w:pPr>
        <w:tabs>
          <w:tab w:val="right" w:leader="dot" w:pos="9016"/>
        </w:tabs>
        <w:spacing w:after="0" w:line="360" w:lineRule="auto"/>
        <w:rPr>
          <w:webHidden/>
          <w:lang w:val="en-GB" w:eastAsia="en-GB"/>
        </w:rPr>
      </w:pPr>
      <w:r>
        <w:rPr>
          <w:webHidden/>
          <w:lang w:val="en-GB" w:eastAsia="en-GB"/>
        </w:rPr>
        <w:t>Plot 2 - Level and Gauging Plot</w:t>
      </w:r>
      <w:r w:rsidR="00866BA5">
        <w:rPr>
          <w:webHidden/>
          <w:lang w:val="en-GB" w:eastAsia="en-GB"/>
        </w:rPr>
        <w:t xml:space="preserve"> for gauging stations 421907 and OEH1</w:t>
      </w:r>
      <w:r>
        <w:rPr>
          <w:webHidden/>
          <w:lang w:val="en-GB" w:eastAsia="en-GB"/>
        </w:rPr>
        <w:tab/>
        <w:t>9</w:t>
      </w:r>
    </w:p>
    <w:p w:rsidR="003F681E" w:rsidRDefault="003F681E" w:rsidP="00866BA5">
      <w:pPr>
        <w:tabs>
          <w:tab w:val="right" w:leader="dot" w:pos="9016"/>
        </w:tabs>
        <w:spacing w:after="0" w:line="360" w:lineRule="auto"/>
        <w:rPr>
          <w:webHidden/>
          <w:lang w:val="en-GB" w:eastAsia="en-GB"/>
        </w:rPr>
      </w:pPr>
      <w:r>
        <w:rPr>
          <w:webHidden/>
          <w:lang w:val="en-GB" w:eastAsia="en-GB"/>
        </w:rPr>
        <w:t>Table 3 - Discharge Rating Table 1.04 Gauge height and Discharge (ML/d)</w:t>
      </w:r>
      <w:r>
        <w:rPr>
          <w:webHidden/>
          <w:lang w:val="en-GB" w:eastAsia="en-GB"/>
        </w:rPr>
        <w:tab/>
        <w:t>10</w:t>
      </w:r>
    </w:p>
    <w:p w:rsidR="00CE0549" w:rsidRDefault="00CE0549" w:rsidP="00866BA5">
      <w:pPr>
        <w:tabs>
          <w:tab w:val="right" w:leader="dot" w:pos="9016"/>
        </w:tabs>
        <w:spacing w:after="0" w:line="360" w:lineRule="auto"/>
        <w:rPr>
          <w:webHidden/>
          <w:lang w:val="en-GB" w:eastAsia="en-GB"/>
        </w:rPr>
      </w:pPr>
      <w:r>
        <w:rPr>
          <w:webHidden/>
          <w:lang w:val="en-GB" w:eastAsia="en-GB"/>
        </w:rPr>
        <w:t>Plot 3 - 421907 Discharge Raging curve with gaugings plotted</w:t>
      </w:r>
      <w:r>
        <w:rPr>
          <w:webHidden/>
          <w:lang w:val="en-GB" w:eastAsia="en-GB"/>
        </w:rPr>
        <w:tab/>
        <w:t>10</w:t>
      </w:r>
    </w:p>
    <w:p w:rsidR="00CE0549" w:rsidRDefault="00CE0549" w:rsidP="00866BA5">
      <w:pPr>
        <w:tabs>
          <w:tab w:val="right" w:leader="dot" w:pos="9016"/>
        </w:tabs>
        <w:spacing w:after="0" w:line="360" w:lineRule="auto"/>
        <w:rPr>
          <w:webHidden/>
          <w:lang w:val="en-GB" w:eastAsia="en-GB"/>
        </w:rPr>
      </w:pPr>
      <w:r>
        <w:rPr>
          <w:webHidden/>
          <w:lang w:val="en-GB" w:eastAsia="en-GB"/>
        </w:rPr>
        <w:t>Plot 4 - Discharge traces for 421907 and the upstream station 421012</w:t>
      </w:r>
      <w:r>
        <w:rPr>
          <w:webHidden/>
          <w:lang w:val="en-GB" w:eastAsia="en-GB"/>
        </w:rPr>
        <w:tab/>
        <w:t>11</w:t>
      </w:r>
    </w:p>
    <w:p w:rsidR="00CE0549" w:rsidRDefault="00CE0549" w:rsidP="00866BA5">
      <w:pPr>
        <w:tabs>
          <w:tab w:val="right" w:leader="dot" w:pos="9016"/>
        </w:tabs>
        <w:spacing w:after="0" w:line="360" w:lineRule="auto"/>
        <w:rPr>
          <w:webHidden/>
          <w:lang w:val="en-GB" w:eastAsia="en-GB"/>
        </w:rPr>
      </w:pPr>
      <w:r>
        <w:rPr>
          <w:webHidden/>
          <w:lang w:val="en-GB" w:eastAsia="en-GB"/>
        </w:rPr>
        <w:t>Plot 5 - Level traces for 421907, 422026 and 422027</w:t>
      </w:r>
      <w:r>
        <w:rPr>
          <w:webHidden/>
          <w:lang w:val="en-GB" w:eastAsia="en-GB"/>
        </w:rPr>
        <w:tab/>
        <w:t>12</w:t>
      </w:r>
    </w:p>
    <w:p w:rsidR="00CE0549" w:rsidRDefault="00CE0549" w:rsidP="00866BA5">
      <w:pPr>
        <w:tabs>
          <w:tab w:val="right" w:leader="dot" w:pos="9016"/>
        </w:tabs>
        <w:spacing w:after="0" w:line="360" w:lineRule="auto"/>
        <w:rPr>
          <w:webHidden/>
          <w:lang w:val="en-GB" w:eastAsia="en-GB"/>
        </w:rPr>
      </w:pPr>
      <w:r>
        <w:rPr>
          <w:webHidden/>
          <w:lang w:val="en-GB" w:eastAsia="en-GB"/>
        </w:rPr>
        <w:t>Plot 6 - Discharge traces for 421907, 422026, 422027</w:t>
      </w:r>
      <w:r>
        <w:rPr>
          <w:webHidden/>
          <w:lang w:val="en-GB" w:eastAsia="en-GB"/>
        </w:rPr>
        <w:tab/>
        <w:t>12</w:t>
      </w:r>
    </w:p>
    <w:p w:rsidR="00CE0549" w:rsidRDefault="00CE0549" w:rsidP="00866BA5">
      <w:pPr>
        <w:tabs>
          <w:tab w:val="right" w:leader="dot" w:pos="9016"/>
        </w:tabs>
        <w:spacing w:after="0" w:line="360" w:lineRule="auto"/>
        <w:rPr>
          <w:webHidden/>
          <w:lang w:val="en-GB" w:eastAsia="en-GB"/>
        </w:rPr>
      </w:pPr>
      <w:r>
        <w:rPr>
          <w:webHidden/>
          <w:lang w:val="en-GB" w:eastAsia="en-GB"/>
        </w:rPr>
        <w:t>Plot 7 - Cumulative discharge for 421907, 422026, 422027</w:t>
      </w:r>
      <w:r>
        <w:rPr>
          <w:webHidden/>
          <w:lang w:val="en-GB" w:eastAsia="en-GB"/>
        </w:rPr>
        <w:tab/>
        <w:t>13</w:t>
      </w:r>
    </w:p>
    <w:p w:rsidR="003F681E" w:rsidRPr="003E5467" w:rsidRDefault="003F681E" w:rsidP="003E5467">
      <w:pPr>
        <w:tabs>
          <w:tab w:val="right" w:leader="dot" w:pos="9016"/>
        </w:tabs>
        <w:rPr>
          <w:lang w:val="en-GB" w:eastAsia="en-GB"/>
        </w:rPr>
      </w:pPr>
    </w:p>
    <w:p w:rsidR="008A524A" w:rsidRDefault="008A524A" w:rsidP="003E5467">
      <w:pPr>
        <w:tabs>
          <w:tab w:val="right" w:leader="dot" w:pos="9016"/>
        </w:tabs>
        <w:spacing w:before="120" w:after="120"/>
        <w:rPr>
          <w:rFonts w:cs="Arial"/>
          <w:sz w:val="24"/>
          <w:szCs w:val="24"/>
        </w:rPr>
      </w:pPr>
      <w:r w:rsidRPr="008A524A">
        <w:rPr>
          <w:rFonts w:cs="Arial"/>
          <w:sz w:val="24"/>
          <w:szCs w:val="24"/>
        </w:rPr>
        <w:fldChar w:fldCharType="end"/>
      </w:r>
    </w:p>
    <w:p w:rsidR="007442BB" w:rsidRPr="008A524A" w:rsidRDefault="007442BB" w:rsidP="00C406FA">
      <w:pPr>
        <w:pStyle w:val="Heading1"/>
        <w:spacing w:before="0" w:after="240"/>
        <w:rPr>
          <w:rFonts w:cs="Arial"/>
          <w:b w:val="0"/>
          <w:color w:val="000000" w:themeColor="text1"/>
          <w:szCs w:val="30"/>
        </w:rPr>
      </w:pPr>
      <w:bookmarkStart w:id="1" w:name="_Toc504477972"/>
      <w:r>
        <w:rPr>
          <w:rFonts w:cs="Arial"/>
          <w:color w:val="000000" w:themeColor="text1"/>
          <w:szCs w:val="30"/>
        </w:rPr>
        <w:t>Hydromet</w:t>
      </w:r>
      <w:r w:rsidR="003E5467">
        <w:rPr>
          <w:rFonts w:cs="Arial"/>
          <w:color w:val="000000" w:themeColor="text1"/>
          <w:szCs w:val="30"/>
        </w:rPr>
        <w:t>r</w:t>
      </w:r>
      <w:r>
        <w:rPr>
          <w:rFonts w:cs="Arial"/>
          <w:color w:val="000000" w:themeColor="text1"/>
          <w:szCs w:val="30"/>
        </w:rPr>
        <w:t xml:space="preserve">ic </w:t>
      </w:r>
      <w:r w:rsidR="00C406FA">
        <w:rPr>
          <w:rFonts w:cs="Arial"/>
          <w:color w:val="000000" w:themeColor="text1"/>
          <w:szCs w:val="30"/>
        </w:rPr>
        <w:t xml:space="preserve">Gauging </w:t>
      </w:r>
      <w:r>
        <w:rPr>
          <w:rFonts w:cs="Arial"/>
          <w:color w:val="000000" w:themeColor="text1"/>
          <w:szCs w:val="30"/>
        </w:rPr>
        <w:t>Stations</w:t>
      </w:r>
      <w:r w:rsidR="00A556E2">
        <w:rPr>
          <w:rFonts w:cs="Arial"/>
          <w:color w:val="000000" w:themeColor="text1"/>
          <w:szCs w:val="30"/>
        </w:rPr>
        <w:t xml:space="preserve"> within </w:t>
      </w:r>
      <w:r w:rsidR="00C406FA">
        <w:rPr>
          <w:rFonts w:cs="Arial"/>
          <w:color w:val="000000" w:themeColor="text1"/>
          <w:szCs w:val="30"/>
        </w:rPr>
        <w:t>the Lower Macquarie Area</w:t>
      </w:r>
      <w:bookmarkEnd w:id="1"/>
    </w:p>
    <w:p w:rsidR="004106CE" w:rsidRDefault="00C406FA" w:rsidP="001E6861">
      <w:pPr>
        <w:spacing w:before="120" w:after="120"/>
        <w:jc w:val="both"/>
        <w:rPr>
          <w:rFonts w:ascii="Avenir" w:hAnsi="Avenir"/>
        </w:rPr>
      </w:pPr>
      <w:r w:rsidRPr="00C406FA">
        <w:rPr>
          <w:rFonts w:ascii="Avenir" w:hAnsi="Avenir"/>
          <w:noProof/>
          <w:lang w:eastAsia="en-AU"/>
        </w:rPr>
        <w:drawing>
          <wp:inline distT="0" distB="0" distL="0" distR="0">
            <wp:extent cx="6438900" cy="4400550"/>
            <wp:effectExtent l="0" t="0" r="0" b="0"/>
            <wp:docPr id="22" name="Picture 22" descr="C:\Users\Bernard.Finch\Desktop\Hydrometric Monitoring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Finch\Desktop\Hydrometric Monitoring Sta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94" cy="4400614"/>
                    </a:xfrm>
                    <a:prstGeom prst="rect">
                      <a:avLst/>
                    </a:prstGeom>
                    <a:noFill/>
                    <a:ln>
                      <a:noFill/>
                    </a:ln>
                  </pic:spPr>
                </pic:pic>
              </a:graphicData>
            </a:graphic>
          </wp:inline>
        </w:drawing>
      </w:r>
    </w:p>
    <w:p w:rsidR="00C406FA" w:rsidRDefault="00C406FA" w:rsidP="001E6861">
      <w:pPr>
        <w:spacing w:before="120" w:after="120"/>
        <w:jc w:val="both"/>
        <w:rPr>
          <w:rFonts w:ascii="Avenir" w:hAnsi="Avenir"/>
        </w:rPr>
      </w:pPr>
      <w:r>
        <w:rPr>
          <w:rFonts w:ascii="Avenir" w:hAnsi="Avenir"/>
        </w:rPr>
        <w:t>Figure 2: Location map of gauging stations</w:t>
      </w:r>
    </w:p>
    <w:p w:rsidR="002A43E5" w:rsidRDefault="002A43E5" w:rsidP="001E6861">
      <w:pPr>
        <w:pStyle w:val="Heading1"/>
        <w:spacing w:before="0" w:after="240"/>
        <w:jc w:val="both"/>
        <w:rPr>
          <w:rFonts w:cs="Arial"/>
          <w:color w:val="000000" w:themeColor="text1"/>
          <w:szCs w:val="30"/>
        </w:rPr>
      </w:pPr>
      <w:bookmarkStart w:id="2" w:name="_Toc495305013"/>
    </w:p>
    <w:bookmarkStart w:id="3" w:name="_Toc504477973"/>
    <w:p w:rsidR="008A524A" w:rsidRPr="008A524A" w:rsidRDefault="008A524A" w:rsidP="001E6861">
      <w:pPr>
        <w:pStyle w:val="Heading1"/>
        <w:spacing w:before="0" w:after="240"/>
        <w:jc w:val="both"/>
        <w:rPr>
          <w:rFonts w:cs="Arial"/>
          <w:b w:val="0"/>
          <w:color w:val="000000" w:themeColor="text1"/>
          <w:szCs w:val="30"/>
        </w:rPr>
      </w:pPr>
      <w:r>
        <w:rPr>
          <w:rFonts w:cs="Arial"/>
          <w:noProof/>
          <w:color w:val="000000" w:themeColor="text1"/>
          <w:szCs w:val="30"/>
          <w:lang w:eastAsia="en-AU"/>
        </w:rPr>
        <mc:AlternateContent>
          <mc:Choice Requires="wps">
            <w:drawing>
              <wp:anchor distT="0" distB="0" distL="114300" distR="114300" simplePos="0" relativeHeight="251665408" behindDoc="0" locked="0" layoutInCell="1" allowOverlap="1" wp14:anchorId="7DCC20A0" wp14:editId="1B0C9D8D">
                <wp:simplePos x="0" y="0"/>
                <wp:positionH relativeFrom="column">
                  <wp:posOffset>12700</wp:posOffset>
                </wp:positionH>
                <wp:positionV relativeFrom="paragraph">
                  <wp:posOffset>276225</wp:posOffset>
                </wp:positionV>
                <wp:extent cx="6829425" cy="0"/>
                <wp:effectExtent l="57150" t="38100" r="47625" b="95250"/>
                <wp:wrapNone/>
                <wp:docPr id="8" name="Straight Connector 8"/>
                <wp:cNvGraphicFramePr/>
                <a:graphic xmlns:a="http://schemas.openxmlformats.org/drawingml/2006/main">
                  <a:graphicData uri="http://schemas.microsoft.com/office/word/2010/wordprocessingShape">
                    <wps:wsp>
                      <wps:cNvCnPr/>
                      <wps:spPr>
                        <a:xfrm>
                          <a:off x="0" y="0"/>
                          <a:ext cx="68294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C4E859A"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pt,21.75pt" to="53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" strokecolor="#4f81bd [3204]" strokeweight="3pt">
                <v:shadow on="t" color="black" opacity="22937f" origin=",.5" offset="0,.63889mm"/>
              </v:line>
            </w:pict>
          </mc:Fallback>
        </mc:AlternateContent>
      </w:r>
      <w:r w:rsidRPr="008A524A">
        <w:rPr>
          <w:rFonts w:cs="Arial"/>
          <w:color w:val="000000" w:themeColor="text1"/>
          <w:szCs w:val="30"/>
        </w:rPr>
        <w:t>Site Reconnaissance</w:t>
      </w:r>
      <w:r w:rsidR="00D54A34">
        <w:rPr>
          <w:rFonts w:cs="Arial"/>
          <w:color w:val="000000" w:themeColor="text1"/>
          <w:szCs w:val="30"/>
        </w:rPr>
        <w:t xml:space="preserve"> 27th and </w:t>
      </w:r>
      <w:r w:rsidRPr="008A524A">
        <w:rPr>
          <w:rFonts w:cs="Arial"/>
          <w:color w:val="000000" w:themeColor="text1"/>
          <w:szCs w:val="30"/>
        </w:rPr>
        <w:t>28</w:t>
      </w:r>
      <w:r w:rsidR="00D54A34" w:rsidRPr="00D54A34">
        <w:rPr>
          <w:rFonts w:cs="Arial"/>
          <w:color w:val="000000" w:themeColor="text1"/>
          <w:szCs w:val="30"/>
          <w:vertAlign w:val="superscript"/>
        </w:rPr>
        <w:t>th</w:t>
      </w:r>
      <w:r w:rsidR="00D54A34">
        <w:rPr>
          <w:rFonts w:cs="Arial"/>
          <w:color w:val="000000" w:themeColor="text1"/>
          <w:szCs w:val="30"/>
        </w:rPr>
        <w:t xml:space="preserve"> of April 20</w:t>
      </w:r>
      <w:r w:rsidRPr="008A524A">
        <w:rPr>
          <w:rFonts w:cs="Arial"/>
          <w:color w:val="000000" w:themeColor="text1"/>
          <w:szCs w:val="30"/>
        </w:rPr>
        <w:t>17</w:t>
      </w:r>
      <w:bookmarkEnd w:id="2"/>
      <w:bookmarkEnd w:id="3"/>
    </w:p>
    <w:p w:rsidR="008A524A" w:rsidRPr="001E6861" w:rsidRDefault="001E6861" w:rsidP="001E6861">
      <w:pPr>
        <w:jc w:val="both"/>
        <w:rPr>
          <w:rFonts w:cs="Arial"/>
        </w:rPr>
      </w:pPr>
      <w:r>
        <w:rPr>
          <w:rFonts w:cs="Arial"/>
        </w:rPr>
        <w:br/>
      </w:r>
      <w:r w:rsidR="008A524A" w:rsidRPr="001E6861">
        <w:rPr>
          <w:rFonts w:cs="Arial"/>
        </w:rPr>
        <w:t xml:space="preserve">An initial site reconnaissance was conducted to find a suitable location for a temporary gauging station on the Macquarie River, upstream of the confluence with the Barwon River. </w:t>
      </w:r>
    </w:p>
    <w:p w:rsidR="008A524A" w:rsidRPr="001E6861" w:rsidRDefault="008A524A" w:rsidP="001E6861">
      <w:pPr>
        <w:jc w:val="both"/>
        <w:rPr>
          <w:rFonts w:cs="Arial"/>
        </w:rPr>
      </w:pPr>
      <w:r w:rsidRPr="001E6861">
        <w:rPr>
          <w:rFonts w:cs="Arial"/>
        </w:rPr>
        <w:t xml:space="preserve">Three sites were inspected: </w:t>
      </w:r>
    </w:p>
    <w:p w:rsidR="008A524A" w:rsidRPr="001E6861" w:rsidRDefault="008A524A" w:rsidP="001E6861">
      <w:pPr>
        <w:jc w:val="both"/>
        <w:rPr>
          <w:rFonts w:cs="Arial"/>
        </w:rPr>
      </w:pPr>
      <w:r w:rsidRPr="001E6861">
        <w:rPr>
          <w:rFonts w:cs="Arial"/>
          <w:b/>
        </w:rPr>
        <w:t>Site OEH 1</w:t>
      </w:r>
      <w:r w:rsidRPr="001E6861">
        <w:rPr>
          <w:rFonts w:cs="Arial"/>
        </w:rPr>
        <w:t xml:space="preserve"> – Macquarie River at </w:t>
      </w:r>
      <w:proofErr w:type="spellStart"/>
      <w:r w:rsidRPr="001E6861">
        <w:rPr>
          <w:rFonts w:cs="Arial"/>
        </w:rPr>
        <w:t>Miralwyn</w:t>
      </w:r>
      <w:proofErr w:type="spellEnd"/>
    </w:p>
    <w:p w:rsidR="008A524A" w:rsidRPr="001E6861" w:rsidRDefault="008A524A" w:rsidP="001E6861">
      <w:pPr>
        <w:jc w:val="both"/>
        <w:rPr>
          <w:rFonts w:cs="Arial"/>
        </w:rPr>
      </w:pPr>
      <w:r w:rsidRPr="001E6861">
        <w:rPr>
          <w:rFonts w:cs="Arial"/>
        </w:rPr>
        <w:t xml:space="preserve">The causeway was considered unsuitable due to the uncertain nature of the controlling feature (earth causeway) and the pipes draining the pool upstream of the causeway. There were no obvious locations downstream of the causeway considered suitable. </w:t>
      </w:r>
    </w:p>
    <w:p w:rsidR="002A43E5" w:rsidRDefault="002A43E5" w:rsidP="001E6861">
      <w:pPr>
        <w:jc w:val="both"/>
        <w:rPr>
          <w:rFonts w:cs="Arial"/>
          <w:b/>
        </w:rPr>
      </w:pPr>
    </w:p>
    <w:p w:rsidR="008A524A" w:rsidRPr="001E6861" w:rsidRDefault="008A524A" w:rsidP="001E6861">
      <w:pPr>
        <w:jc w:val="both"/>
        <w:rPr>
          <w:rFonts w:cs="Arial"/>
        </w:rPr>
      </w:pPr>
      <w:r w:rsidRPr="001E6861">
        <w:rPr>
          <w:rFonts w:cs="Arial"/>
          <w:b/>
        </w:rPr>
        <w:t>Site OEH 2</w:t>
      </w:r>
      <w:r w:rsidRPr="001E6861">
        <w:rPr>
          <w:rFonts w:cs="Arial"/>
        </w:rPr>
        <w:t xml:space="preserve"> – Macquarie River at Binghi Bridge on the </w:t>
      </w:r>
      <w:proofErr w:type="spellStart"/>
      <w:r w:rsidRPr="001E6861">
        <w:rPr>
          <w:rFonts w:cs="Arial"/>
        </w:rPr>
        <w:t>Ginghet</w:t>
      </w:r>
      <w:proofErr w:type="spellEnd"/>
      <w:r w:rsidRPr="001E6861">
        <w:rPr>
          <w:rFonts w:cs="Arial"/>
        </w:rPr>
        <w:t xml:space="preserve"> Rd</w:t>
      </w:r>
    </w:p>
    <w:p w:rsidR="00311286" w:rsidRDefault="00311286" w:rsidP="00311286">
      <w:pPr>
        <w:jc w:val="both"/>
        <w:rPr>
          <w:rFonts w:cs="Arial"/>
        </w:rPr>
      </w:pPr>
      <w:r w:rsidRPr="001E6861">
        <w:rPr>
          <w:rFonts w:cs="Arial"/>
        </w:rPr>
        <w:t>The site was considered unsuitable to derive flow due to insensitive control conditions</w:t>
      </w:r>
      <w:r>
        <w:rPr>
          <w:rFonts w:cs="Arial"/>
        </w:rPr>
        <w:t>, being a broad long stretch of river with very slow velocities</w:t>
      </w:r>
      <w:r w:rsidRPr="001E6861">
        <w:rPr>
          <w:rFonts w:cs="Arial"/>
        </w:rPr>
        <w:t xml:space="preserve"> </w:t>
      </w:r>
      <w:r w:rsidR="002A43E5">
        <w:rPr>
          <w:rFonts w:cs="Arial"/>
        </w:rPr>
        <w:t>and no defined controlling feature. The gauging sections comprise a</w:t>
      </w:r>
      <w:r>
        <w:rPr>
          <w:rFonts w:cs="Arial"/>
        </w:rPr>
        <w:t xml:space="preserve"> thick soft silt bed creating inaccuracies in depth measurements and </w:t>
      </w:r>
      <w:r w:rsidRPr="001E6861">
        <w:rPr>
          <w:rFonts w:cs="Arial"/>
        </w:rPr>
        <w:t xml:space="preserve">poor hydraulic conditions for satisfactory </w:t>
      </w:r>
      <w:proofErr w:type="spellStart"/>
      <w:r w:rsidRPr="001E6861">
        <w:rPr>
          <w:rFonts w:cs="Arial"/>
        </w:rPr>
        <w:t>gaugings</w:t>
      </w:r>
      <w:proofErr w:type="spellEnd"/>
      <w:r>
        <w:rPr>
          <w:rFonts w:cs="Arial"/>
        </w:rPr>
        <w:t>.</w:t>
      </w:r>
    </w:p>
    <w:p w:rsidR="008A524A" w:rsidRPr="001E6861" w:rsidRDefault="008A524A" w:rsidP="001E6861">
      <w:pPr>
        <w:jc w:val="both"/>
        <w:rPr>
          <w:rFonts w:cs="Arial"/>
        </w:rPr>
      </w:pPr>
      <w:r w:rsidRPr="001E6861">
        <w:rPr>
          <w:rFonts w:cs="Arial"/>
          <w:b/>
        </w:rPr>
        <w:t>Site OEH 3</w:t>
      </w:r>
      <w:r w:rsidRPr="001E6861">
        <w:rPr>
          <w:rFonts w:cs="Arial"/>
        </w:rPr>
        <w:t xml:space="preserve"> – Macquarie River at </w:t>
      </w:r>
      <w:proofErr w:type="spellStart"/>
      <w:r w:rsidRPr="001E6861">
        <w:rPr>
          <w:rFonts w:cs="Arial"/>
        </w:rPr>
        <w:t>Brewon</w:t>
      </w:r>
      <w:proofErr w:type="spellEnd"/>
      <w:r w:rsidRPr="001E6861">
        <w:rPr>
          <w:rFonts w:cs="Arial"/>
        </w:rPr>
        <w:t xml:space="preserve"> Bridge on the Binghi Rd</w:t>
      </w:r>
    </w:p>
    <w:p w:rsidR="00D54A34" w:rsidRDefault="008A524A" w:rsidP="001E6861">
      <w:pPr>
        <w:jc w:val="both"/>
        <w:rPr>
          <w:noProof/>
          <w:lang w:eastAsia="en-AU"/>
        </w:rPr>
      </w:pPr>
      <w:r w:rsidRPr="001E6861">
        <w:rPr>
          <w:rFonts w:cs="Arial"/>
        </w:rPr>
        <w:t xml:space="preserve">The site was considered suitable due to the relatively stable controlling feature (gravel causeway) and upstream gauge pool. Site conditions would also allow for reliable </w:t>
      </w:r>
      <w:proofErr w:type="spellStart"/>
      <w:r w:rsidRPr="001E6861">
        <w:rPr>
          <w:rFonts w:cs="Arial"/>
        </w:rPr>
        <w:t>gaugings</w:t>
      </w:r>
      <w:proofErr w:type="spellEnd"/>
      <w:r w:rsidRPr="001E6861">
        <w:rPr>
          <w:rFonts w:cs="Arial"/>
        </w:rPr>
        <w:t xml:space="preserve"> at a range of flows.</w:t>
      </w:r>
      <w:r w:rsidR="00D54A34">
        <w:rPr>
          <w:rFonts w:cs="Arial"/>
        </w:rPr>
        <w:t xml:space="preserve"> (Installed site reference 421907 Macquarie River @ </w:t>
      </w:r>
      <w:proofErr w:type="spellStart"/>
      <w:r w:rsidR="00D54A34">
        <w:rPr>
          <w:rFonts w:cs="Arial"/>
        </w:rPr>
        <w:t>Brewon</w:t>
      </w:r>
      <w:proofErr w:type="spellEnd"/>
      <w:r w:rsidR="00D54A34">
        <w:rPr>
          <w:rFonts w:cs="Arial"/>
        </w:rPr>
        <w:t xml:space="preserve"> Bridge).</w:t>
      </w:r>
      <w:r w:rsidR="00D54A34" w:rsidRPr="00D54A34">
        <w:rPr>
          <w:noProof/>
          <w:lang w:eastAsia="en-AU"/>
        </w:rPr>
        <w:t xml:space="preserve"> </w:t>
      </w:r>
    </w:p>
    <w:p w:rsidR="008A524A" w:rsidRDefault="00D54A34" w:rsidP="001E6861">
      <w:pPr>
        <w:jc w:val="both"/>
        <w:rPr>
          <w:rFonts w:cs="Arial"/>
        </w:rPr>
      </w:pPr>
      <w:r w:rsidRPr="00FE3D9C">
        <w:rPr>
          <w:noProof/>
          <w:lang w:eastAsia="en-AU"/>
        </w:rPr>
        <w:drawing>
          <wp:inline distT="0" distB="0" distL="0" distR="0" wp14:anchorId="28ECBD16" wp14:editId="1D1EC325">
            <wp:extent cx="6328800" cy="3056400"/>
            <wp:effectExtent l="0" t="0" r="0" b="0"/>
            <wp:docPr id="3" name="Picture 3" descr="C:\Users\Bernard.Finch\Desktop\Hydrometric\Dubbo Files\OEH Lower Macquarie site\P50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Finch\Desktop\Hydrometric\Dubbo Files\OEH Lower Macquarie site\P50201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328800" cy="3056400"/>
                    </a:xfrm>
                    <a:prstGeom prst="rect">
                      <a:avLst/>
                    </a:prstGeom>
                    <a:noFill/>
                    <a:ln>
                      <a:noFill/>
                    </a:ln>
                    <a:extLst>
                      <a:ext uri="{53640926-AAD7-44D8-BBD7-CCE9431645EC}">
                        <a14:shadowObscured xmlns:a14="http://schemas.microsoft.com/office/drawing/2010/main"/>
                      </a:ext>
                    </a:extLst>
                  </pic:spPr>
                </pic:pic>
              </a:graphicData>
            </a:graphic>
          </wp:inline>
        </w:drawing>
      </w:r>
    </w:p>
    <w:p w:rsidR="002A43E5" w:rsidRDefault="002A43E5" w:rsidP="001E6861">
      <w:pPr>
        <w:jc w:val="both"/>
        <w:rPr>
          <w:rFonts w:cs="Arial"/>
        </w:rPr>
      </w:pPr>
      <w:r>
        <w:rPr>
          <w:rFonts w:cs="Arial"/>
        </w:rPr>
        <w:t>Figure 3: Gravel causeway at site 421907</w:t>
      </w:r>
    </w:p>
    <w:p w:rsidR="005D4F40" w:rsidRDefault="005D4F40" w:rsidP="005D4F40">
      <w:pPr>
        <w:pStyle w:val="Heading1"/>
        <w:rPr>
          <w:rFonts w:cs="Arial"/>
        </w:rPr>
      </w:pPr>
      <w:bookmarkStart w:id="4" w:name="_Toc495305014"/>
      <w:bookmarkStart w:id="5" w:name="_Toc504477974"/>
      <w:r w:rsidRPr="001E6861">
        <w:t xml:space="preserve">Installation of </w:t>
      </w:r>
      <w:bookmarkEnd w:id="4"/>
      <w:r>
        <w:rPr>
          <w:rFonts w:cs="Arial"/>
        </w:rPr>
        <w:t xml:space="preserve">421907 Macquarie River @ </w:t>
      </w:r>
      <w:proofErr w:type="spellStart"/>
      <w:r>
        <w:rPr>
          <w:rFonts w:cs="Arial"/>
        </w:rPr>
        <w:t>Brewon</w:t>
      </w:r>
      <w:proofErr w:type="spellEnd"/>
      <w:r>
        <w:rPr>
          <w:rFonts w:cs="Arial"/>
        </w:rPr>
        <w:t xml:space="preserve"> Bridge</w:t>
      </w:r>
      <w:bookmarkEnd w:id="5"/>
    </w:p>
    <w:p w:rsidR="005D4F40" w:rsidRPr="005D4F40" w:rsidRDefault="005D4F40" w:rsidP="005D4F40">
      <w:r w:rsidRPr="001E6861">
        <w:rPr>
          <w:noProof/>
          <w:lang w:eastAsia="en-AU"/>
        </w:rPr>
        <mc:AlternateContent>
          <mc:Choice Requires="wps">
            <w:drawing>
              <wp:anchor distT="0" distB="0" distL="114300" distR="114300" simplePos="0" relativeHeight="251713536" behindDoc="0" locked="0" layoutInCell="1" allowOverlap="1" wp14:anchorId="439FE204" wp14:editId="67AE9F46">
                <wp:simplePos x="0" y="0"/>
                <wp:positionH relativeFrom="page">
                  <wp:align>right</wp:align>
                </wp:positionH>
                <wp:positionV relativeFrom="paragraph">
                  <wp:posOffset>22225</wp:posOffset>
                </wp:positionV>
                <wp:extent cx="6762115" cy="0"/>
                <wp:effectExtent l="57150" t="38100" r="57785" b="95250"/>
                <wp:wrapNone/>
                <wp:docPr id="16" name="Straight Connector 16"/>
                <wp:cNvGraphicFramePr/>
                <a:graphic xmlns:a="http://schemas.openxmlformats.org/drawingml/2006/main">
                  <a:graphicData uri="http://schemas.microsoft.com/office/word/2010/wordprocessingShape">
                    <wps:wsp>
                      <wps:cNvCnPr/>
                      <wps:spPr>
                        <a:xfrm>
                          <a:off x="0" y="0"/>
                          <a:ext cx="676211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612DE086" id="Straight Connector 16" o:spid="_x0000_s1026" style="position:absolute;z-index:2517135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481.25pt,1.75pt" to="1013.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" strokecolor="#4f81bd" strokeweight="3pt">
                <v:shadow on="t" color="black" opacity="22937f" origin=",.5" offset="0,.63889mm"/>
                <w10:wrap anchorx="page"/>
              </v:line>
            </w:pict>
          </mc:Fallback>
        </mc:AlternateContent>
      </w:r>
    </w:p>
    <w:p w:rsidR="005D4F40" w:rsidRDefault="005D4F40" w:rsidP="005D4F40">
      <w:r>
        <w:t xml:space="preserve">A </w:t>
      </w:r>
      <w:r w:rsidRPr="001E6861">
        <w:t xml:space="preserve">benchmark was created on the </w:t>
      </w:r>
      <w:proofErr w:type="spellStart"/>
      <w:r w:rsidRPr="001E6861">
        <w:t>Brewon</w:t>
      </w:r>
      <w:proofErr w:type="spellEnd"/>
      <w:r w:rsidRPr="001E6861">
        <w:t xml:space="preserve"> Bridge and given an </w:t>
      </w:r>
      <w:r>
        <w:t>assumed datum value of 10.000m. T</w:t>
      </w:r>
      <w:r w:rsidRPr="001E6861">
        <w:t xml:space="preserve">he benchmark is a bolt painted white, right bank, upstream side of </w:t>
      </w:r>
      <w:proofErr w:type="spellStart"/>
      <w:r w:rsidRPr="001E6861">
        <w:t>Brewon</w:t>
      </w:r>
      <w:proofErr w:type="spellEnd"/>
      <w:r w:rsidRPr="001E6861">
        <w:t xml:space="preserve"> Bridge (Figure </w:t>
      </w:r>
      <w:r>
        <w:t>4</w:t>
      </w:r>
      <w:r w:rsidRPr="001E6861">
        <w:t>).</w:t>
      </w:r>
    </w:p>
    <w:p w:rsidR="006E1A3E" w:rsidRDefault="006E1A3E" w:rsidP="006E1A3E">
      <w:pPr>
        <w:pStyle w:val="Heading1"/>
      </w:pPr>
      <w:bookmarkStart w:id="6" w:name="_Toc504477975"/>
      <w:r w:rsidRPr="0050416D">
        <w:rPr>
          <w:rFonts w:cs="Arial"/>
          <w:noProof/>
          <w:sz w:val="24"/>
          <w:szCs w:val="24"/>
          <w:lang w:eastAsia="en-AU"/>
        </w:rPr>
        <w:drawing>
          <wp:anchor distT="0" distB="0" distL="114300" distR="114300" simplePos="0" relativeHeight="251709440" behindDoc="0" locked="0" layoutInCell="1" allowOverlap="1">
            <wp:simplePos x="0" y="0"/>
            <wp:positionH relativeFrom="margin">
              <wp:align>center</wp:align>
            </wp:positionH>
            <wp:positionV relativeFrom="paragraph">
              <wp:posOffset>333375</wp:posOffset>
            </wp:positionV>
            <wp:extent cx="5210175" cy="3466057"/>
            <wp:effectExtent l="0" t="0" r="0" b="1270"/>
            <wp:wrapTopAndBottom/>
            <wp:docPr id="30" name="Picture 30" descr="C:\Users\Bernard.Finch\Desktop\Hydrometric\Dubbo Files\OEH Lower Macquarie site\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nard.Finch\Desktop\Hydrometric\Dubbo Files\OEH Lower Macquarie site\IMG_3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346605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6E1A3E" w:rsidRPr="00C54D32" w:rsidRDefault="006E1A3E" w:rsidP="00C54D32">
      <w:pPr>
        <w:jc w:val="both"/>
        <w:rPr>
          <w:rFonts w:cs="Arial"/>
        </w:rPr>
      </w:pPr>
      <w:r w:rsidRPr="00C54D32">
        <w:rPr>
          <w:rFonts w:cs="Arial"/>
        </w:rPr>
        <w:t xml:space="preserve">Figure 4: Benchmark on </w:t>
      </w:r>
      <w:proofErr w:type="spellStart"/>
      <w:r w:rsidRPr="00C54D32">
        <w:rPr>
          <w:rFonts w:cs="Arial"/>
        </w:rPr>
        <w:t>Brewon</w:t>
      </w:r>
      <w:proofErr w:type="spellEnd"/>
      <w:r w:rsidRPr="00C54D32">
        <w:rPr>
          <w:rFonts w:cs="Arial"/>
        </w:rPr>
        <w:t xml:space="preserve"> Bridge</w:t>
      </w:r>
    </w:p>
    <w:p w:rsidR="0050416D" w:rsidRPr="005D4F40" w:rsidRDefault="006E1A3E" w:rsidP="005D4F40">
      <w:r w:rsidRPr="00167DF7">
        <w:rPr>
          <w:noProof/>
          <w:lang w:eastAsia="en-AU"/>
        </w:rPr>
        <w:drawing>
          <wp:anchor distT="0" distB="0" distL="114300" distR="114300" simplePos="0" relativeHeight="251711488" behindDoc="1" locked="0" layoutInCell="1" allowOverlap="1" wp14:anchorId="69E44560" wp14:editId="7546604B">
            <wp:simplePos x="0" y="0"/>
            <wp:positionH relativeFrom="margin">
              <wp:posOffset>80010</wp:posOffset>
            </wp:positionH>
            <wp:positionV relativeFrom="paragraph">
              <wp:posOffset>608965</wp:posOffset>
            </wp:positionV>
            <wp:extent cx="5562600" cy="3343275"/>
            <wp:effectExtent l="0" t="0" r="0" b="9525"/>
            <wp:wrapTopAndBottom/>
            <wp:docPr id="10" name="Picture 10" descr="C:\Users\Bernard.Finch\Desktop\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Finch\Desktop\plo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8" t="2280" r="2191" b="1909"/>
                    <a:stretch/>
                  </pic:blipFill>
                  <pic:spPr bwMode="auto">
                    <a:xfrm>
                      <a:off x="0" y="0"/>
                      <a:ext cx="5562600"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F40">
        <w:rPr>
          <w:rFonts w:cs="Arial"/>
        </w:rPr>
        <w:t>A</w:t>
      </w:r>
      <w:r w:rsidR="0050416D" w:rsidRPr="001E6861">
        <w:rPr>
          <w:rFonts w:cs="Arial"/>
        </w:rPr>
        <w:t xml:space="preserve"> cross section </w:t>
      </w:r>
      <w:r w:rsidR="0050416D">
        <w:rPr>
          <w:rFonts w:cs="Arial"/>
        </w:rPr>
        <w:t xml:space="preserve">(Plot 1) </w:t>
      </w:r>
      <w:r w:rsidR="0050416D" w:rsidRPr="001E6861">
        <w:rPr>
          <w:rFonts w:cs="Arial"/>
        </w:rPr>
        <w:t xml:space="preserve">was carried out on the upstream side of the gravel causeway (the control) to define the channel shape, cross sectional area and cease to flow height, which will be used to develop the stage discharge relationship (rating table). </w:t>
      </w:r>
    </w:p>
    <w:p w:rsidR="008A524A" w:rsidRPr="00C54D32" w:rsidRDefault="005D4F40" w:rsidP="00C54D32">
      <w:pPr>
        <w:jc w:val="both"/>
        <w:rPr>
          <w:rFonts w:cs="Arial"/>
        </w:rPr>
      </w:pPr>
      <w:r w:rsidRPr="00C54D32">
        <w:rPr>
          <w:rFonts w:cs="Arial"/>
        </w:rPr>
        <w:t xml:space="preserve">Plot 1: Cross section </w:t>
      </w:r>
    </w:p>
    <w:p w:rsidR="008A524A" w:rsidRPr="00E456B7" w:rsidRDefault="008A524A" w:rsidP="001E6861">
      <w:pPr>
        <w:jc w:val="both"/>
        <w:rPr>
          <w:rFonts w:ascii="Times New Roman" w:hAnsi="Times New Roman" w:cs="Times New Roman"/>
        </w:rPr>
      </w:pPr>
      <w:r w:rsidRPr="00020B19">
        <w:rPr>
          <w:rFonts w:cs="Arial"/>
          <w:sz w:val="24"/>
          <w:szCs w:val="24"/>
        </w:rPr>
        <w:t>Staff gauges were installed from 0 – 2m in the gauge pool upstream of the gravel causeway. Gauge zero was set at 6.777m (ass. Datum) and the cease to flow v</w:t>
      </w:r>
      <w:r>
        <w:rPr>
          <w:rFonts w:cs="Arial"/>
          <w:sz w:val="24"/>
          <w:szCs w:val="24"/>
        </w:rPr>
        <w:t xml:space="preserve">alue was measured at </w:t>
      </w:r>
      <w:r w:rsidRPr="00020B19">
        <w:rPr>
          <w:rFonts w:cs="Arial"/>
          <w:sz w:val="24"/>
          <w:szCs w:val="24"/>
        </w:rPr>
        <w:t xml:space="preserve">6.902m </w:t>
      </w:r>
      <w:r>
        <w:rPr>
          <w:rFonts w:cs="Arial"/>
          <w:sz w:val="24"/>
          <w:szCs w:val="24"/>
        </w:rPr>
        <w:t>(</w:t>
      </w:r>
      <w:r w:rsidRPr="00020B19">
        <w:rPr>
          <w:rFonts w:cs="Arial"/>
          <w:sz w:val="24"/>
          <w:szCs w:val="24"/>
        </w:rPr>
        <w:t>ass. Datum)</w:t>
      </w:r>
      <w:r>
        <w:rPr>
          <w:rFonts w:cs="Arial"/>
          <w:sz w:val="24"/>
          <w:szCs w:val="24"/>
        </w:rPr>
        <w:t xml:space="preserve"> which equals 0.125m staff gauge level</w:t>
      </w:r>
      <w:r w:rsidRPr="00020B19">
        <w:rPr>
          <w:rFonts w:cs="Arial"/>
          <w:sz w:val="24"/>
          <w:szCs w:val="24"/>
        </w:rPr>
        <w:t>. Instrument shelter and orifice line were installed in line with staff gauges.</w:t>
      </w:r>
      <w:r w:rsidR="00E456B7">
        <w:rPr>
          <w:rFonts w:cs="Arial"/>
          <w:sz w:val="24"/>
          <w:szCs w:val="24"/>
        </w:rPr>
        <w:t xml:space="preserve"> (Figure 5)</w:t>
      </w:r>
    </w:p>
    <w:p w:rsidR="008A524A" w:rsidRDefault="008A524A" w:rsidP="001E6861">
      <w:pPr>
        <w:jc w:val="both"/>
        <w:rPr>
          <w:rFonts w:cs="Arial"/>
          <w:color w:val="000000" w:themeColor="text1"/>
          <w:sz w:val="24"/>
          <w:szCs w:val="24"/>
        </w:rPr>
      </w:pPr>
      <w:bookmarkStart w:id="7" w:name="_Toc495305015"/>
      <w:r w:rsidRPr="007745EC">
        <w:rPr>
          <w:rFonts w:cs="Arial"/>
          <w:color w:val="000000" w:themeColor="text1"/>
          <w:sz w:val="24"/>
          <w:szCs w:val="24"/>
        </w:rPr>
        <w:t>Temporary</w:t>
      </w:r>
      <w:r>
        <w:rPr>
          <w:rFonts w:cs="Arial"/>
          <w:color w:val="000000" w:themeColor="text1"/>
          <w:sz w:val="24"/>
          <w:szCs w:val="24"/>
        </w:rPr>
        <w:t xml:space="preserve"> loggers and a staff gauges were </w:t>
      </w:r>
      <w:r w:rsidR="00760116">
        <w:rPr>
          <w:rFonts w:cs="Arial"/>
          <w:color w:val="000000" w:themeColor="text1"/>
          <w:sz w:val="24"/>
          <w:szCs w:val="24"/>
        </w:rPr>
        <w:t xml:space="preserve">also </w:t>
      </w:r>
      <w:r>
        <w:rPr>
          <w:rFonts w:cs="Arial"/>
          <w:color w:val="000000" w:themeColor="text1"/>
          <w:sz w:val="24"/>
          <w:szCs w:val="24"/>
        </w:rPr>
        <w:t xml:space="preserve">installed at </w:t>
      </w:r>
      <w:r w:rsidR="00661983">
        <w:rPr>
          <w:rFonts w:cs="Arial"/>
          <w:color w:val="000000" w:themeColor="text1"/>
          <w:sz w:val="24"/>
          <w:szCs w:val="24"/>
        </w:rPr>
        <w:t>gauging stations</w:t>
      </w:r>
      <w:r>
        <w:rPr>
          <w:rFonts w:cs="Arial"/>
          <w:color w:val="000000" w:themeColor="text1"/>
          <w:sz w:val="24"/>
          <w:szCs w:val="24"/>
        </w:rPr>
        <w:t xml:space="preserve"> OEH 1 and OEH 2 to record level data durin</w:t>
      </w:r>
      <w:r w:rsidR="005647A2">
        <w:rPr>
          <w:rFonts w:cs="Arial"/>
          <w:color w:val="000000" w:themeColor="text1"/>
          <w:sz w:val="24"/>
          <w:szCs w:val="24"/>
        </w:rPr>
        <w:t>g the environmental flow period (F</w:t>
      </w:r>
      <w:r w:rsidR="00CD37D8">
        <w:rPr>
          <w:rFonts w:cs="Arial"/>
          <w:color w:val="000000" w:themeColor="text1"/>
          <w:sz w:val="24"/>
          <w:szCs w:val="24"/>
        </w:rPr>
        <w:t>igure 2 and Table 1)</w:t>
      </w:r>
      <w:r w:rsidR="005647A2">
        <w:rPr>
          <w:rFonts w:cs="Arial"/>
          <w:color w:val="000000" w:themeColor="text1"/>
          <w:sz w:val="24"/>
          <w:szCs w:val="24"/>
        </w:rPr>
        <w:t>.</w:t>
      </w:r>
      <w:r>
        <w:rPr>
          <w:rFonts w:cs="Arial"/>
          <w:color w:val="000000" w:themeColor="text1"/>
          <w:sz w:val="24"/>
          <w:szCs w:val="24"/>
        </w:rPr>
        <w:t xml:space="preserve"> Level data for </w:t>
      </w:r>
      <w:r w:rsidR="00661983">
        <w:rPr>
          <w:rFonts w:cs="Arial"/>
          <w:color w:val="000000" w:themeColor="text1"/>
          <w:sz w:val="24"/>
          <w:szCs w:val="24"/>
        </w:rPr>
        <w:t>gauging station</w:t>
      </w:r>
      <w:r>
        <w:rPr>
          <w:rFonts w:cs="Arial"/>
          <w:color w:val="000000" w:themeColor="text1"/>
          <w:sz w:val="24"/>
          <w:szCs w:val="24"/>
        </w:rPr>
        <w:t xml:space="preserve"> OEH 1 is presented </w:t>
      </w:r>
      <w:r w:rsidR="00760116">
        <w:rPr>
          <w:rFonts w:cs="Arial"/>
          <w:color w:val="000000" w:themeColor="text1"/>
          <w:sz w:val="24"/>
          <w:szCs w:val="24"/>
        </w:rPr>
        <w:t>i</w:t>
      </w:r>
      <w:r w:rsidR="00991AD6">
        <w:rPr>
          <w:rFonts w:cs="Arial"/>
          <w:color w:val="000000" w:themeColor="text1"/>
          <w:sz w:val="24"/>
          <w:szCs w:val="24"/>
        </w:rPr>
        <w:t>n the P</w:t>
      </w:r>
      <w:r w:rsidR="009F3790">
        <w:rPr>
          <w:rFonts w:cs="Arial"/>
          <w:color w:val="000000" w:themeColor="text1"/>
          <w:sz w:val="24"/>
          <w:szCs w:val="24"/>
        </w:rPr>
        <w:t xml:space="preserve">lot </w:t>
      </w:r>
      <w:r w:rsidR="00991AD6">
        <w:rPr>
          <w:rFonts w:cs="Arial"/>
          <w:color w:val="000000" w:themeColor="text1"/>
          <w:sz w:val="24"/>
          <w:szCs w:val="24"/>
        </w:rPr>
        <w:t>2</w:t>
      </w:r>
      <w:r w:rsidR="00760116">
        <w:rPr>
          <w:rFonts w:cs="Arial"/>
          <w:color w:val="000000" w:themeColor="text1"/>
          <w:sz w:val="24"/>
          <w:szCs w:val="24"/>
        </w:rPr>
        <w:t>.</w:t>
      </w:r>
      <w:r>
        <w:rPr>
          <w:rFonts w:cs="Arial"/>
          <w:color w:val="000000" w:themeColor="text1"/>
          <w:sz w:val="24"/>
          <w:szCs w:val="24"/>
        </w:rPr>
        <w:t xml:space="preserve"> The logger at OEH 2 could not be located at the end of the flow </w:t>
      </w:r>
      <w:r w:rsidR="00E456B7">
        <w:rPr>
          <w:rFonts w:cs="Arial"/>
          <w:color w:val="000000" w:themeColor="text1"/>
          <w:sz w:val="24"/>
          <w:szCs w:val="24"/>
        </w:rPr>
        <w:t>period. The</w:t>
      </w:r>
      <w:r w:rsidR="008B4EE2">
        <w:rPr>
          <w:rFonts w:cs="Arial"/>
          <w:color w:val="000000" w:themeColor="text1"/>
          <w:sz w:val="24"/>
          <w:szCs w:val="24"/>
        </w:rPr>
        <w:t xml:space="preserve"> reason for the removal or loss of these items is unknown.</w:t>
      </w:r>
    </w:p>
    <w:p w:rsidR="009F3790" w:rsidRPr="00551108" w:rsidRDefault="009F3790" w:rsidP="009F3790">
      <w:pPr>
        <w:spacing w:after="0"/>
        <w:jc w:val="both"/>
        <w:rPr>
          <w:rFonts w:ascii="Times New Roman" w:hAnsi="Times New Roman" w:cs="Times New Roman"/>
          <w:szCs w:val="20"/>
        </w:rPr>
      </w:pPr>
    </w:p>
    <w:tbl>
      <w:tblPr>
        <w:tblStyle w:val="GridTable4-Accent11"/>
        <w:tblW w:w="5001" w:type="pct"/>
        <w:tblLook w:val="04A0" w:firstRow="1" w:lastRow="0" w:firstColumn="1" w:lastColumn="0" w:noHBand="0" w:noVBand="1"/>
      </w:tblPr>
      <w:tblGrid>
        <w:gridCol w:w="2406"/>
        <w:gridCol w:w="2413"/>
        <w:gridCol w:w="2402"/>
        <w:gridCol w:w="2409"/>
      </w:tblGrid>
      <w:tr w:rsidR="009F3790" w:rsidRPr="00A361C5" w:rsidTr="0078615F">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49" w:type="pct"/>
          </w:tcPr>
          <w:p w:rsidR="009F3790" w:rsidRPr="00A361C5" w:rsidRDefault="009F3790" w:rsidP="0078615F">
            <w:pPr>
              <w:jc w:val="both"/>
              <w:rPr>
                <w:rFonts w:cs="Arial"/>
                <w:b w:val="0"/>
              </w:rPr>
            </w:pPr>
            <w:r w:rsidRPr="00A361C5">
              <w:rPr>
                <w:rFonts w:cs="Arial"/>
              </w:rPr>
              <w:t>Site Number</w:t>
            </w:r>
          </w:p>
        </w:tc>
        <w:tc>
          <w:tcPr>
            <w:tcW w:w="1253" w:type="pct"/>
          </w:tcPr>
          <w:p w:rsidR="009F3790" w:rsidRPr="00A361C5" w:rsidRDefault="009F3790" w:rsidP="0078615F">
            <w:pPr>
              <w:jc w:val="both"/>
              <w:cnfStyle w:val="100000000000" w:firstRow="1" w:lastRow="0" w:firstColumn="0" w:lastColumn="0" w:oddVBand="0" w:evenVBand="0" w:oddHBand="0" w:evenHBand="0" w:firstRowFirstColumn="0" w:firstRowLastColumn="0" w:lastRowFirstColumn="0" w:lastRowLastColumn="0"/>
              <w:rPr>
                <w:rFonts w:cs="Arial"/>
                <w:b w:val="0"/>
              </w:rPr>
            </w:pPr>
            <w:r w:rsidRPr="00A361C5">
              <w:rPr>
                <w:rFonts w:cs="Arial"/>
              </w:rPr>
              <w:t>Site Name</w:t>
            </w:r>
          </w:p>
        </w:tc>
        <w:tc>
          <w:tcPr>
            <w:tcW w:w="1247" w:type="pct"/>
          </w:tcPr>
          <w:p w:rsidR="009F3790" w:rsidRPr="00A361C5" w:rsidRDefault="009F3790" w:rsidP="0078615F">
            <w:pPr>
              <w:jc w:val="both"/>
              <w:cnfStyle w:val="100000000000" w:firstRow="1" w:lastRow="0" w:firstColumn="0" w:lastColumn="0" w:oddVBand="0" w:evenVBand="0" w:oddHBand="0" w:evenHBand="0" w:firstRowFirstColumn="0" w:firstRowLastColumn="0" w:lastRowFirstColumn="0" w:lastRowLastColumn="0"/>
              <w:rPr>
                <w:rFonts w:cs="Arial"/>
                <w:b w:val="0"/>
              </w:rPr>
            </w:pPr>
            <w:r w:rsidRPr="00A361C5">
              <w:rPr>
                <w:rFonts w:cs="Arial"/>
              </w:rPr>
              <w:t xml:space="preserve">Easting </w:t>
            </w:r>
          </w:p>
        </w:tc>
        <w:tc>
          <w:tcPr>
            <w:tcW w:w="1251" w:type="pct"/>
          </w:tcPr>
          <w:p w:rsidR="009F3790" w:rsidRPr="00A361C5" w:rsidRDefault="009F3790" w:rsidP="0078615F">
            <w:pPr>
              <w:jc w:val="both"/>
              <w:cnfStyle w:val="100000000000" w:firstRow="1" w:lastRow="0" w:firstColumn="0" w:lastColumn="0" w:oddVBand="0" w:evenVBand="0" w:oddHBand="0" w:evenHBand="0" w:firstRowFirstColumn="0" w:firstRowLastColumn="0" w:lastRowFirstColumn="0" w:lastRowLastColumn="0"/>
              <w:rPr>
                <w:rFonts w:cs="Arial"/>
                <w:b w:val="0"/>
              </w:rPr>
            </w:pPr>
            <w:r w:rsidRPr="00A361C5">
              <w:rPr>
                <w:rFonts w:cs="Arial"/>
              </w:rPr>
              <w:t>Northing</w:t>
            </w:r>
          </w:p>
        </w:tc>
      </w:tr>
      <w:tr w:rsidR="009F3790" w:rsidRPr="00A361C5" w:rsidTr="0078615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49" w:type="pct"/>
          </w:tcPr>
          <w:p w:rsidR="009F3790" w:rsidRPr="00A361C5" w:rsidRDefault="009F3790" w:rsidP="0078615F">
            <w:pPr>
              <w:jc w:val="both"/>
              <w:rPr>
                <w:rFonts w:cs="Arial"/>
              </w:rPr>
            </w:pPr>
            <w:r w:rsidRPr="00A361C5">
              <w:rPr>
                <w:rFonts w:cs="Arial"/>
              </w:rPr>
              <w:t>421907</w:t>
            </w:r>
          </w:p>
        </w:tc>
        <w:tc>
          <w:tcPr>
            <w:tcW w:w="1253" w:type="pct"/>
          </w:tcPr>
          <w:p w:rsidR="009F3790" w:rsidRPr="00A361C5" w:rsidRDefault="009F3790" w:rsidP="0078615F">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 xml:space="preserve">Macquarie River @ </w:t>
            </w:r>
            <w:proofErr w:type="spellStart"/>
            <w:r w:rsidRPr="00A361C5">
              <w:rPr>
                <w:rFonts w:cs="Arial"/>
              </w:rPr>
              <w:t>Brewon</w:t>
            </w:r>
            <w:proofErr w:type="spellEnd"/>
            <w:r w:rsidRPr="00A361C5">
              <w:rPr>
                <w:rFonts w:cs="Arial"/>
              </w:rPr>
              <w:t xml:space="preserve"> Bridge</w:t>
            </w:r>
          </w:p>
        </w:tc>
        <w:tc>
          <w:tcPr>
            <w:tcW w:w="1247" w:type="pct"/>
          </w:tcPr>
          <w:p w:rsidR="009F3790" w:rsidRPr="00A361C5" w:rsidRDefault="009F3790" w:rsidP="0078615F">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552115</w:t>
            </w:r>
          </w:p>
        </w:tc>
        <w:tc>
          <w:tcPr>
            <w:tcW w:w="1251" w:type="pct"/>
          </w:tcPr>
          <w:p w:rsidR="009F3790" w:rsidRPr="00A361C5" w:rsidRDefault="009F3790" w:rsidP="0078615F">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6656147</w:t>
            </w:r>
          </w:p>
        </w:tc>
      </w:tr>
      <w:tr w:rsidR="009F3790" w:rsidRPr="00A361C5" w:rsidTr="0078615F">
        <w:trPr>
          <w:trHeight w:val="460"/>
        </w:trPr>
        <w:tc>
          <w:tcPr>
            <w:cnfStyle w:val="001000000000" w:firstRow="0" w:lastRow="0" w:firstColumn="1" w:lastColumn="0" w:oddVBand="0" w:evenVBand="0" w:oddHBand="0" w:evenHBand="0" w:firstRowFirstColumn="0" w:firstRowLastColumn="0" w:lastRowFirstColumn="0" w:lastRowLastColumn="0"/>
            <w:tcW w:w="1249" w:type="pct"/>
          </w:tcPr>
          <w:p w:rsidR="009F3790" w:rsidRPr="00A361C5" w:rsidRDefault="009F3790" w:rsidP="0078615F">
            <w:pPr>
              <w:jc w:val="both"/>
              <w:rPr>
                <w:rFonts w:cs="Arial"/>
              </w:rPr>
            </w:pPr>
            <w:r w:rsidRPr="00A361C5">
              <w:rPr>
                <w:rFonts w:cs="Arial"/>
              </w:rPr>
              <w:t>OEH1</w:t>
            </w:r>
          </w:p>
        </w:tc>
        <w:tc>
          <w:tcPr>
            <w:tcW w:w="1253" w:type="pct"/>
          </w:tcPr>
          <w:p w:rsidR="009F3790" w:rsidRPr="00A361C5" w:rsidRDefault="009F3790" w:rsidP="0078615F">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 xml:space="preserve">Macquarie River @ </w:t>
            </w:r>
            <w:proofErr w:type="spellStart"/>
            <w:r w:rsidRPr="00A361C5">
              <w:rPr>
                <w:rFonts w:cs="Arial"/>
              </w:rPr>
              <w:t>Mi</w:t>
            </w:r>
            <w:r>
              <w:rPr>
                <w:rFonts w:cs="Arial"/>
              </w:rPr>
              <w:t>r</w:t>
            </w:r>
            <w:r w:rsidRPr="00A361C5">
              <w:rPr>
                <w:rFonts w:cs="Arial"/>
              </w:rPr>
              <w:t>a</w:t>
            </w:r>
            <w:r>
              <w:rPr>
                <w:rFonts w:cs="Arial"/>
              </w:rPr>
              <w:t>l</w:t>
            </w:r>
            <w:r w:rsidRPr="00A361C5">
              <w:rPr>
                <w:rFonts w:cs="Arial"/>
              </w:rPr>
              <w:t>wyn</w:t>
            </w:r>
            <w:proofErr w:type="spellEnd"/>
          </w:p>
        </w:tc>
        <w:tc>
          <w:tcPr>
            <w:tcW w:w="1247" w:type="pct"/>
          </w:tcPr>
          <w:p w:rsidR="009F3790" w:rsidRPr="00A361C5" w:rsidRDefault="009F3790" w:rsidP="0078615F">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541229</w:t>
            </w:r>
          </w:p>
        </w:tc>
        <w:tc>
          <w:tcPr>
            <w:tcW w:w="1251" w:type="pct"/>
          </w:tcPr>
          <w:p w:rsidR="009F3790" w:rsidRPr="00A361C5" w:rsidRDefault="009F3790" w:rsidP="0078615F">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6666019</w:t>
            </w:r>
          </w:p>
        </w:tc>
      </w:tr>
      <w:tr w:rsidR="009F3790" w:rsidRPr="00A361C5" w:rsidTr="0078615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49" w:type="pct"/>
          </w:tcPr>
          <w:p w:rsidR="009F3790" w:rsidRPr="00A361C5" w:rsidRDefault="009F3790" w:rsidP="0078615F">
            <w:pPr>
              <w:jc w:val="both"/>
              <w:rPr>
                <w:rFonts w:cs="Arial"/>
              </w:rPr>
            </w:pPr>
            <w:r w:rsidRPr="00A361C5">
              <w:rPr>
                <w:rFonts w:cs="Arial"/>
              </w:rPr>
              <w:t>OEH2</w:t>
            </w:r>
          </w:p>
        </w:tc>
        <w:tc>
          <w:tcPr>
            <w:tcW w:w="1253" w:type="pct"/>
          </w:tcPr>
          <w:p w:rsidR="009F3790" w:rsidRPr="00A361C5" w:rsidRDefault="009F3790" w:rsidP="0078615F">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Macquarie River @ Binghi Bridge</w:t>
            </w:r>
          </w:p>
        </w:tc>
        <w:tc>
          <w:tcPr>
            <w:tcW w:w="1247" w:type="pct"/>
          </w:tcPr>
          <w:p w:rsidR="009F3790" w:rsidRPr="00A361C5" w:rsidRDefault="009F3790" w:rsidP="0078615F">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549278</w:t>
            </w:r>
          </w:p>
        </w:tc>
        <w:tc>
          <w:tcPr>
            <w:tcW w:w="1251" w:type="pct"/>
          </w:tcPr>
          <w:p w:rsidR="009F3790" w:rsidRPr="00A361C5" w:rsidRDefault="009F3790" w:rsidP="0078615F">
            <w:pPr>
              <w:keepNext/>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6661191</w:t>
            </w:r>
          </w:p>
        </w:tc>
      </w:tr>
    </w:tbl>
    <w:p w:rsidR="00661983" w:rsidRPr="00696553" w:rsidRDefault="00661983" w:rsidP="00661983">
      <w:pPr>
        <w:spacing w:after="0"/>
        <w:jc w:val="both"/>
        <w:rPr>
          <w:rFonts w:cs="Arial"/>
          <w:sz w:val="24"/>
          <w:szCs w:val="24"/>
        </w:rPr>
      </w:pPr>
      <w:r>
        <w:rPr>
          <w:rFonts w:cs="Arial"/>
          <w:sz w:val="24"/>
          <w:szCs w:val="24"/>
        </w:rPr>
        <w:t xml:space="preserve">Table 1 </w:t>
      </w:r>
      <w:r w:rsidR="00346859">
        <w:rPr>
          <w:rFonts w:cs="Arial"/>
          <w:sz w:val="24"/>
          <w:szCs w:val="24"/>
        </w:rPr>
        <w:t>OEH Gauging Station Locations</w:t>
      </w:r>
      <w:r>
        <w:rPr>
          <w:rFonts w:cs="Arial"/>
          <w:sz w:val="24"/>
          <w:szCs w:val="24"/>
        </w:rPr>
        <w:t xml:space="preserve"> </w:t>
      </w:r>
    </w:p>
    <w:p w:rsidR="00E456B7" w:rsidRDefault="00E456B7" w:rsidP="009F3790">
      <w:pPr>
        <w:jc w:val="both"/>
      </w:pPr>
      <w:r w:rsidRPr="009F77EE">
        <w:rPr>
          <w:noProof/>
          <w:lang w:eastAsia="en-AU"/>
        </w:rPr>
        <w:drawing>
          <wp:anchor distT="0" distB="0" distL="114300" distR="114300" simplePos="0" relativeHeight="251685888" behindDoc="1" locked="0" layoutInCell="1" allowOverlap="1" wp14:anchorId="609BB625" wp14:editId="50A78A06">
            <wp:simplePos x="0" y="0"/>
            <wp:positionH relativeFrom="margin">
              <wp:align>right</wp:align>
            </wp:positionH>
            <wp:positionV relativeFrom="paragraph">
              <wp:posOffset>419100</wp:posOffset>
            </wp:positionV>
            <wp:extent cx="6050280" cy="3747135"/>
            <wp:effectExtent l="0" t="0" r="7620" b="5715"/>
            <wp:wrapSquare wrapText="bothSides"/>
            <wp:docPr id="11" name="Picture 11" descr="C:\Users\Bernard.Finch\AppData\Local\Microsoft\Windows\INetCache\Content.Outlook\S3EK4GXT\P502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nard.Finch\AppData\Local\Microsoft\Windows\INetCache\Content.Outlook\S3EK4GXT\P502018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050280" cy="374713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7D8" w:rsidRDefault="00CD37D8" w:rsidP="00CD37D8">
      <w:pPr>
        <w:jc w:val="both"/>
      </w:pPr>
      <w:r>
        <w:t xml:space="preserve">Figure 5: Instrument Shelter and Staff Gauges, </w:t>
      </w:r>
      <w:r w:rsidR="00F41904">
        <w:t>Gauging Station</w:t>
      </w:r>
      <w:r>
        <w:t xml:space="preserve"> 421907</w:t>
      </w:r>
    </w:p>
    <w:p w:rsidR="00512894" w:rsidRDefault="00512894" w:rsidP="00512894">
      <w:pPr>
        <w:rPr>
          <w:rStyle w:val="Heading1Char"/>
        </w:rPr>
      </w:pPr>
      <w:r w:rsidRPr="001E6861">
        <w:rPr>
          <w:noProof/>
          <w:lang w:eastAsia="en-AU"/>
        </w:rPr>
        <mc:AlternateContent>
          <mc:Choice Requires="wps">
            <w:drawing>
              <wp:anchor distT="0" distB="0" distL="114300" distR="114300" simplePos="0" relativeHeight="251687936" behindDoc="0" locked="0" layoutInCell="1" allowOverlap="1" wp14:anchorId="78F80BE6" wp14:editId="5EED62E6">
                <wp:simplePos x="0" y="0"/>
                <wp:positionH relativeFrom="page">
                  <wp:align>right</wp:align>
                </wp:positionH>
                <wp:positionV relativeFrom="paragraph">
                  <wp:posOffset>258445</wp:posOffset>
                </wp:positionV>
                <wp:extent cx="6829425" cy="0"/>
                <wp:effectExtent l="57150" t="38100" r="66675" b="95250"/>
                <wp:wrapNone/>
                <wp:docPr id="19" name="Straight Connector 19"/>
                <wp:cNvGraphicFramePr/>
                <a:graphic xmlns:a="http://schemas.openxmlformats.org/drawingml/2006/main">
                  <a:graphicData uri="http://schemas.microsoft.com/office/word/2010/wordprocessingShape">
                    <wps:wsp>
                      <wps:cNvCnPr/>
                      <wps:spPr>
                        <a:xfrm>
                          <a:off x="0" y="0"/>
                          <a:ext cx="68294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7978FCA" id="Straight Connector 19" o:spid="_x0000_s1026" style="position:absolute;z-index:251687936;visibility:visible;mso-wrap-style:square;mso-wrap-distance-left:9pt;mso-wrap-distance-top:0;mso-wrap-distance-right:9pt;mso-wrap-distance-bottom:0;mso-position-horizontal:right;mso-position-horizontal-relative:page;mso-position-vertical:absolute;mso-position-vertical-relative:text" from="486.55pt,20.35pt" to="10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" strokecolor="#4f81bd [3204]" strokeweight="3pt">
                <v:shadow on="t" color="black" opacity="22937f" origin=",.5" offset="0,.63889mm"/>
                <w10:wrap anchorx="page"/>
              </v:line>
            </w:pict>
          </mc:Fallback>
        </mc:AlternateContent>
      </w:r>
      <w:bookmarkStart w:id="8" w:name="_Toc504477976"/>
      <w:r w:rsidR="008A524A" w:rsidRPr="00512894">
        <w:rPr>
          <w:rStyle w:val="Heading1Char"/>
        </w:rPr>
        <w:t xml:space="preserve">Discharge </w:t>
      </w:r>
      <w:proofErr w:type="spellStart"/>
      <w:r w:rsidR="008A524A" w:rsidRPr="00512894">
        <w:rPr>
          <w:rStyle w:val="Heading1Char"/>
        </w:rPr>
        <w:t>Gaugings</w:t>
      </w:r>
      <w:bookmarkEnd w:id="7"/>
      <w:bookmarkEnd w:id="8"/>
      <w:proofErr w:type="spellEnd"/>
    </w:p>
    <w:p w:rsidR="00512894" w:rsidRDefault="00512894" w:rsidP="00512894">
      <w:pPr>
        <w:jc w:val="both"/>
        <w:rPr>
          <w:sz w:val="24"/>
          <w:szCs w:val="24"/>
        </w:rPr>
      </w:pPr>
      <w:r>
        <w:br/>
      </w:r>
      <w:r>
        <w:rPr>
          <w:sz w:val="24"/>
          <w:szCs w:val="24"/>
        </w:rPr>
        <w:t>All</w:t>
      </w:r>
      <w:r w:rsidR="008A524A" w:rsidRPr="00512894">
        <w:rPr>
          <w:sz w:val="24"/>
          <w:szCs w:val="24"/>
        </w:rPr>
        <w:t xml:space="preserve"> discharge </w:t>
      </w:r>
      <w:proofErr w:type="spellStart"/>
      <w:r w:rsidR="008A524A" w:rsidRPr="00512894">
        <w:rPr>
          <w:sz w:val="24"/>
          <w:szCs w:val="24"/>
        </w:rPr>
        <w:t>gaugings</w:t>
      </w:r>
      <w:proofErr w:type="spellEnd"/>
      <w:r w:rsidR="008A524A" w:rsidRPr="00512894">
        <w:rPr>
          <w:sz w:val="24"/>
          <w:szCs w:val="24"/>
        </w:rPr>
        <w:t xml:space="preserve"> were conducted by wading method using the </w:t>
      </w:r>
      <w:proofErr w:type="spellStart"/>
      <w:r w:rsidR="008A524A" w:rsidRPr="00512894">
        <w:rPr>
          <w:sz w:val="24"/>
          <w:szCs w:val="24"/>
        </w:rPr>
        <w:t>Sontek</w:t>
      </w:r>
      <w:proofErr w:type="spellEnd"/>
      <w:r w:rsidR="008A524A" w:rsidRPr="00512894">
        <w:rPr>
          <w:sz w:val="24"/>
          <w:szCs w:val="24"/>
        </w:rPr>
        <w:t xml:space="preserve"> </w:t>
      </w:r>
      <w:proofErr w:type="spellStart"/>
      <w:r w:rsidR="008A524A" w:rsidRPr="00512894">
        <w:rPr>
          <w:sz w:val="24"/>
          <w:szCs w:val="24"/>
        </w:rPr>
        <w:t>Flowtracker</w:t>
      </w:r>
      <w:proofErr w:type="spellEnd"/>
      <w:r w:rsidR="008A524A" w:rsidRPr="00512894">
        <w:rPr>
          <w:sz w:val="24"/>
          <w:szCs w:val="24"/>
        </w:rPr>
        <w:t xml:space="preserve"> Acoustic Doppler Velocity Meter. </w:t>
      </w:r>
    </w:p>
    <w:p w:rsidR="008A524A" w:rsidRPr="00512894" w:rsidRDefault="008A524A" w:rsidP="00512894">
      <w:pPr>
        <w:jc w:val="both"/>
        <w:rPr>
          <w:rFonts w:ascii="Avenir" w:hAnsi="Avenir" w:cstheme="majorBidi"/>
          <w:sz w:val="24"/>
          <w:szCs w:val="24"/>
        </w:rPr>
      </w:pPr>
      <w:proofErr w:type="spellStart"/>
      <w:r w:rsidRPr="00512894">
        <w:rPr>
          <w:sz w:val="24"/>
          <w:szCs w:val="24"/>
        </w:rPr>
        <w:t>Gaugings</w:t>
      </w:r>
      <w:proofErr w:type="spellEnd"/>
      <w:r w:rsidRPr="00512894">
        <w:rPr>
          <w:sz w:val="24"/>
          <w:szCs w:val="24"/>
        </w:rPr>
        <w:t xml:space="preserve"> at 421907 were carried out upstream of the control </w:t>
      </w:r>
      <w:r w:rsidR="0076607D">
        <w:rPr>
          <w:sz w:val="24"/>
          <w:szCs w:val="24"/>
        </w:rPr>
        <w:t xml:space="preserve">and </w:t>
      </w:r>
      <w:r w:rsidRPr="00512894">
        <w:rPr>
          <w:sz w:val="24"/>
          <w:szCs w:val="24"/>
        </w:rPr>
        <w:t xml:space="preserve">in the vicinity of the staff gauges.  </w:t>
      </w:r>
      <w:proofErr w:type="spellStart"/>
      <w:r w:rsidRPr="00512894">
        <w:rPr>
          <w:sz w:val="24"/>
          <w:szCs w:val="24"/>
        </w:rPr>
        <w:t>Gaugings</w:t>
      </w:r>
      <w:proofErr w:type="spellEnd"/>
      <w:r w:rsidRPr="00512894">
        <w:rPr>
          <w:sz w:val="24"/>
          <w:szCs w:val="24"/>
        </w:rPr>
        <w:t xml:space="preserve"> at OEH1 were conducted 100 – 200m d/s of the </w:t>
      </w:r>
      <w:proofErr w:type="spellStart"/>
      <w:r w:rsidRPr="00512894">
        <w:rPr>
          <w:sz w:val="24"/>
          <w:szCs w:val="24"/>
        </w:rPr>
        <w:t>Miralwyn</w:t>
      </w:r>
      <w:proofErr w:type="spellEnd"/>
      <w:r w:rsidRPr="00512894">
        <w:rPr>
          <w:sz w:val="24"/>
          <w:szCs w:val="24"/>
        </w:rPr>
        <w:t xml:space="preserve"> causeway. A gauging at OEH2 </w:t>
      </w:r>
      <w:r w:rsidR="0076607D">
        <w:rPr>
          <w:sz w:val="24"/>
          <w:szCs w:val="24"/>
        </w:rPr>
        <w:t>was</w:t>
      </w:r>
      <w:r w:rsidRPr="00512894">
        <w:rPr>
          <w:sz w:val="24"/>
          <w:szCs w:val="24"/>
        </w:rPr>
        <w:t xml:space="preserve"> </w:t>
      </w:r>
      <w:r w:rsidR="00512894">
        <w:rPr>
          <w:sz w:val="24"/>
          <w:szCs w:val="24"/>
        </w:rPr>
        <w:t>conducted</w:t>
      </w:r>
      <w:r w:rsidRPr="00512894">
        <w:rPr>
          <w:sz w:val="24"/>
          <w:szCs w:val="24"/>
        </w:rPr>
        <w:t xml:space="preserve"> 50m upstream of the Binghi Bridge</w:t>
      </w:r>
      <w:r w:rsidR="00BE44A7">
        <w:rPr>
          <w:sz w:val="24"/>
          <w:szCs w:val="24"/>
        </w:rPr>
        <w:t xml:space="preserve"> (Figure 2)</w:t>
      </w:r>
      <w:r w:rsidRPr="00512894">
        <w:rPr>
          <w:sz w:val="24"/>
          <w:szCs w:val="24"/>
        </w:rPr>
        <w:t>. All discharge measurements were conducted in accordance with the National Industry Guidelines for Hydrometric Monitoring and Water</w:t>
      </w:r>
      <w:r w:rsidR="00BE44A7">
        <w:rPr>
          <w:sz w:val="24"/>
          <w:szCs w:val="24"/>
        </w:rPr>
        <w:t>NSW</w:t>
      </w:r>
      <w:r w:rsidRPr="00512894">
        <w:rPr>
          <w:sz w:val="24"/>
          <w:szCs w:val="24"/>
        </w:rPr>
        <w:t xml:space="preserve"> gauging procedures.</w:t>
      </w:r>
    </w:p>
    <w:p w:rsidR="00512894" w:rsidRDefault="008A524A" w:rsidP="001E6861">
      <w:pPr>
        <w:jc w:val="both"/>
        <w:rPr>
          <w:rFonts w:cs="Arial"/>
          <w:sz w:val="24"/>
          <w:szCs w:val="24"/>
        </w:rPr>
      </w:pPr>
      <w:r w:rsidRPr="00696553">
        <w:rPr>
          <w:rFonts w:cs="Arial"/>
          <w:sz w:val="24"/>
          <w:szCs w:val="24"/>
        </w:rPr>
        <w:t xml:space="preserve">A number of </w:t>
      </w:r>
      <w:proofErr w:type="spellStart"/>
      <w:r w:rsidRPr="00696553">
        <w:rPr>
          <w:rFonts w:cs="Arial"/>
          <w:sz w:val="24"/>
          <w:szCs w:val="24"/>
        </w:rPr>
        <w:t>gaugings</w:t>
      </w:r>
      <w:proofErr w:type="spellEnd"/>
      <w:r w:rsidRPr="00696553">
        <w:rPr>
          <w:rFonts w:cs="Arial"/>
          <w:sz w:val="24"/>
          <w:szCs w:val="24"/>
        </w:rPr>
        <w:t xml:space="preserve"> were </w:t>
      </w:r>
      <w:r>
        <w:rPr>
          <w:rFonts w:cs="Arial"/>
          <w:sz w:val="24"/>
          <w:szCs w:val="24"/>
        </w:rPr>
        <w:t xml:space="preserve">performed at 421907 </w:t>
      </w:r>
      <w:r w:rsidRPr="00696553">
        <w:rPr>
          <w:rFonts w:cs="Arial"/>
          <w:sz w:val="24"/>
          <w:szCs w:val="24"/>
        </w:rPr>
        <w:t>when the gauging station was established in May 2017</w:t>
      </w:r>
      <w:r w:rsidR="0076607D">
        <w:rPr>
          <w:rFonts w:cs="Arial"/>
          <w:sz w:val="24"/>
          <w:szCs w:val="24"/>
        </w:rPr>
        <w:t>.</w:t>
      </w:r>
      <w:r w:rsidRPr="00696553">
        <w:rPr>
          <w:rFonts w:cs="Arial"/>
          <w:sz w:val="24"/>
          <w:szCs w:val="24"/>
        </w:rPr>
        <w:t xml:space="preserve"> </w:t>
      </w:r>
      <w:r w:rsidR="0076607D">
        <w:rPr>
          <w:rFonts w:cs="Arial"/>
          <w:sz w:val="24"/>
          <w:szCs w:val="24"/>
        </w:rPr>
        <w:t>F</w:t>
      </w:r>
      <w:r w:rsidRPr="00696553">
        <w:rPr>
          <w:rFonts w:cs="Arial"/>
          <w:sz w:val="24"/>
          <w:szCs w:val="24"/>
        </w:rPr>
        <w:t xml:space="preserve">urther </w:t>
      </w:r>
      <w:proofErr w:type="spellStart"/>
      <w:r w:rsidRPr="00696553">
        <w:rPr>
          <w:rFonts w:cs="Arial"/>
          <w:sz w:val="24"/>
          <w:szCs w:val="24"/>
        </w:rPr>
        <w:t>gaugings</w:t>
      </w:r>
      <w:proofErr w:type="spellEnd"/>
      <w:r w:rsidRPr="00696553">
        <w:rPr>
          <w:rFonts w:cs="Arial"/>
          <w:sz w:val="24"/>
          <w:szCs w:val="24"/>
        </w:rPr>
        <w:t xml:space="preserve"> </w:t>
      </w:r>
      <w:r w:rsidR="0076607D">
        <w:rPr>
          <w:rFonts w:cs="Arial"/>
          <w:sz w:val="24"/>
          <w:szCs w:val="24"/>
        </w:rPr>
        <w:t xml:space="preserve">were undertaken </w:t>
      </w:r>
      <w:r w:rsidRPr="00696553">
        <w:rPr>
          <w:rFonts w:cs="Arial"/>
          <w:sz w:val="24"/>
          <w:szCs w:val="24"/>
        </w:rPr>
        <w:t>in June, July and August to assist in the devel</w:t>
      </w:r>
      <w:r>
        <w:rPr>
          <w:rFonts w:cs="Arial"/>
          <w:sz w:val="24"/>
          <w:szCs w:val="24"/>
        </w:rPr>
        <w:t xml:space="preserve">opment of the discharge rating. </w:t>
      </w:r>
      <w:proofErr w:type="spellStart"/>
      <w:r>
        <w:rPr>
          <w:rFonts w:cs="Arial"/>
          <w:sz w:val="24"/>
          <w:szCs w:val="24"/>
        </w:rPr>
        <w:t>Gaugings</w:t>
      </w:r>
      <w:proofErr w:type="spellEnd"/>
      <w:r>
        <w:rPr>
          <w:rFonts w:cs="Arial"/>
          <w:sz w:val="24"/>
          <w:szCs w:val="24"/>
        </w:rPr>
        <w:t xml:space="preserve"> were also performed at site OEH 1 at the beginning and end of the project period.</w:t>
      </w:r>
      <w:r w:rsidR="005131CD">
        <w:rPr>
          <w:rFonts w:cs="Arial"/>
          <w:sz w:val="24"/>
          <w:szCs w:val="24"/>
        </w:rPr>
        <w:t xml:space="preserve"> Plot 2 shows the distribution of </w:t>
      </w:r>
      <w:proofErr w:type="spellStart"/>
      <w:r w:rsidR="005131CD">
        <w:rPr>
          <w:rFonts w:cs="Arial"/>
          <w:sz w:val="24"/>
          <w:szCs w:val="24"/>
        </w:rPr>
        <w:t>gaugings</w:t>
      </w:r>
      <w:proofErr w:type="spellEnd"/>
      <w:r w:rsidR="005131CD">
        <w:rPr>
          <w:rFonts w:cs="Arial"/>
          <w:sz w:val="24"/>
          <w:szCs w:val="24"/>
        </w:rPr>
        <w:t xml:space="preserve"> against the level trace throughout the flow period</w:t>
      </w:r>
      <w:r>
        <w:rPr>
          <w:rFonts w:cs="Arial"/>
          <w:sz w:val="24"/>
          <w:szCs w:val="24"/>
        </w:rPr>
        <w:t xml:space="preserve"> </w:t>
      </w:r>
      <w:r w:rsidR="005131CD">
        <w:rPr>
          <w:rFonts w:cs="Arial"/>
          <w:sz w:val="24"/>
          <w:szCs w:val="24"/>
        </w:rPr>
        <w:t xml:space="preserve">for </w:t>
      </w:r>
      <w:r w:rsidR="00866BA5">
        <w:rPr>
          <w:rFonts w:cs="Arial"/>
          <w:sz w:val="24"/>
          <w:szCs w:val="24"/>
        </w:rPr>
        <w:t>gauging stations 421907 and OEH1.</w:t>
      </w:r>
      <w:r w:rsidR="005131CD">
        <w:rPr>
          <w:rFonts w:cs="Arial"/>
          <w:sz w:val="24"/>
          <w:szCs w:val="24"/>
        </w:rPr>
        <w:t xml:space="preserve"> </w:t>
      </w:r>
    </w:p>
    <w:p w:rsidR="008B4EE2" w:rsidRPr="00696553" w:rsidRDefault="008A524A" w:rsidP="008B4EE2">
      <w:pPr>
        <w:jc w:val="both"/>
        <w:rPr>
          <w:rFonts w:cs="Arial"/>
          <w:sz w:val="24"/>
          <w:szCs w:val="24"/>
        </w:rPr>
      </w:pPr>
      <w:r>
        <w:rPr>
          <w:rFonts w:cs="Arial"/>
          <w:sz w:val="24"/>
          <w:szCs w:val="24"/>
        </w:rPr>
        <w:t>It was not possible to gauge any of the</w:t>
      </w:r>
      <w:r w:rsidRPr="00696553">
        <w:rPr>
          <w:rFonts w:cs="Arial"/>
          <w:sz w:val="24"/>
          <w:szCs w:val="24"/>
        </w:rPr>
        <w:t>s</w:t>
      </w:r>
      <w:r>
        <w:rPr>
          <w:rFonts w:cs="Arial"/>
          <w:sz w:val="24"/>
          <w:szCs w:val="24"/>
        </w:rPr>
        <w:t>e</w:t>
      </w:r>
      <w:r w:rsidRPr="00696553">
        <w:rPr>
          <w:rFonts w:cs="Arial"/>
          <w:sz w:val="24"/>
          <w:szCs w:val="24"/>
        </w:rPr>
        <w:t xml:space="preserve"> site</w:t>
      </w:r>
      <w:r>
        <w:rPr>
          <w:rFonts w:cs="Arial"/>
          <w:sz w:val="24"/>
          <w:szCs w:val="24"/>
        </w:rPr>
        <w:t>s</w:t>
      </w:r>
      <w:r w:rsidRPr="00696553">
        <w:rPr>
          <w:rFonts w:cs="Arial"/>
          <w:sz w:val="24"/>
          <w:szCs w:val="24"/>
        </w:rPr>
        <w:t xml:space="preserve"> during the peak of the</w:t>
      </w:r>
      <w:r>
        <w:rPr>
          <w:rFonts w:cs="Arial"/>
          <w:sz w:val="24"/>
          <w:szCs w:val="24"/>
        </w:rPr>
        <w:t xml:space="preserve"> environmental flow in May</w:t>
      </w:r>
      <w:r w:rsidR="008B4EE2">
        <w:rPr>
          <w:rFonts w:cs="Arial"/>
          <w:sz w:val="24"/>
          <w:szCs w:val="24"/>
        </w:rPr>
        <w:t xml:space="preserve"> as monitoring staff were unavailable at this time</w:t>
      </w:r>
      <w:r>
        <w:rPr>
          <w:rFonts w:cs="Arial"/>
          <w:sz w:val="24"/>
          <w:szCs w:val="24"/>
        </w:rPr>
        <w:t>.</w:t>
      </w:r>
      <w:r w:rsidRPr="00696553">
        <w:rPr>
          <w:rFonts w:cs="Arial"/>
          <w:sz w:val="24"/>
          <w:szCs w:val="24"/>
        </w:rPr>
        <w:t xml:space="preserve"> While th</w:t>
      </w:r>
      <w:r>
        <w:rPr>
          <w:rFonts w:cs="Arial"/>
          <w:sz w:val="24"/>
          <w:szCs w:val="24"/>
        </w:rPr>
        <w:t>e gauging method and accuracy are</w:t>
      </w:r>
      <w:r w:rsidRPr="00696553">
        <w:rPr>
          <w:rFonts w:cs="Arial"/>
          <w:sz w:val="24"/>
          <w:szCs w:val="24"/>
        </w:rPr>
        <w:t xml:space="preserve"> considered reliable, the site characteristics of a broad shallow gauge pool with very slow velocities and soft mud bed </w:t>
      </w:r>
      <w:r>
        <w:rPr>
          <w:rFonts w:cs="Arial"/>
          <w:sz w:val="24"/>
          <w:szCs w:val="24"/>
        </w:rPr>
        <w:t>has</w:t>
      </w:r>
      <w:r w:rsidRPr="00696553">
        <w:rPr>
          <w:rFonts w:cs="Arial"/>
          <w:sz w:val="24"/>
          <w:szCs w:val="24"/>
        </w:rPr>
        <w:t xml:space="preserve"> led </w:t>
      </w:r>
      <w:r>
        <w:rPr>
          <w:rFonts w:cs="Arial"/>
          <w:sz w:val="24"/>
          <w:szCs w:val="24"/>
        </w:rPr>
        <w:t xml:space="preserve">to </w:t>
      </w:r>
      <w:r w:rsidRPr="00696553">
        <w:rPr>
          <w:rFonts w:cs="Arial"/>
          <w:sz w:val="24"/>
          <w:szCs w:val="24"/>
        </w:rPr>
        <w:t>some variability in gauging results</w:t>
      </w:r>
      <w:r w:rsidR="00512894">
        <w:rPr>
          <w:rFonts w:cs="Arial"/>
          <w:sz w:val="24"/>
          <w:szCs w:val="24"/>
        </w:rPr>
        <w:t xml:space="preserve"> (see t</w:t>
      </w:r>
      <w:r>
        <w:rPr>
          <w:rFonts w:cs="Arial"/>
          <w:sz w:val="24"/>
          <w:szCs w:val="24"/>
        </w:rPr>
        <w:t xml:space="preserve">able 2). </w:t>
      </w:r>
      <w:r w:rsidR="008B4EE2">
        <w:rPr>
          <w:rFonts w:cs="Arial"/>
          <w:sz w:val="24"/>
          <w:szCs w:val="24"/>
        </w:rPr>
        <w:t xml:space="preserve">This is a common feature of gauging sections in the Lower Macquarie River. </w:t>
      </w:r>
    </w:p>
    <w:tbl>
      <w:tblPr>
        <w:tblStyle w:val="GridTable4-Accent11"/>
        <w:tblW w:w="10490" w:type="dxa"/>
        <w:jc w:val="center"/>
        <w:tblLayout w:type="fixed"/>
        <w:tblLook w:val="04A0" w:firstRow="1" w:lastRow="0" w:firstColumn="1" w:lastColumn="0" w:noHBand="0" w:noVBand="1"/>
      </w:tblPr>
      <w:tblGrid>
        <w:gridCol w:w="1213"/>
        <w:gridCol w:w="3862"/>
        <w:gridCol w:w="1318"/>
        <w:gridCol w:w="1035"/>
        <w:gridCol w:w="1219"/>
        <w:gridCol w:w="992"/>
        <w:gridCol w:w="851"/>
      </w:tblGrid>
      <w:tr w:rsidR="005131CD" w:rsidRPr="00A361C5" w:rsidTr="00CD1DE4">
        <w:trPr>
          <w:cnfStyle w:val="100000000000" w:firstRow="1" w:lastRow="0" w:firstColumn="0" w:lastColumn="0" w:oddVBand="0" w:evenVBand="0" w:oddHBand="0" w:evenHBand="0" w:firstRowFirstColumn="0" w:firstRowLastColumn="0" w:lastRowFirstColumn="0" w:lastRowLastColumn="0"/>
          <w:trHeight w:val="1395"/>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A361C5" w:rsidRDefault="005131CD" w:rsidP="00CD1DE4">
            <w:pPr>
              <w:jc w:val="both"/>
              <w:rPr>
                <w:rFonts w:cs="Arial"/>
                <w:b w:val="0"/>
                <w:bCs w:val="0"/>
                <w:iCs/>
              </w:rPr>
            </w:pPr>
            <w:r w:rsidRPr="00A361C5">
              <w:rPr>
                <w:rFonts w:cs="Arial"/>
                <w:iCs/>
              </w:rPr>
              <w:t>Site Number</w:t>
            </w:r>
          </w:p>
        </w:tc>
        <w:tc>
          <w:tcPr>
            <w:tcW w:w="3862" w:type="dxa"/>
            <w:noWrap/>
            <w:hideMark/>
          </w:tcPr>
          <w:p w:rsidR="005131CD" w:rsidRPr="00A361C5" w:rsidRDefault="005131CD" w:rsidP="00CD1DE4">
            <w:pPr>
              <w:jc w:val="both"/>
              <w:cnfStyle w:val="100000000000" w:firstRow="1" w:lastRow="0" w:firstColumn="0" w:lastColumn="0" w:oddVBand="0" w:evenVBand="0" w:oddHBand="0" w:evenHBand="0" w:firstRowFirstColumn="0" w:firstRowLastColumn="0" w:lastRowFirstColumn="0" w:lastRowLastColumn="0"/>
              <w:rPr>
                <w:rFonts w:cs="Arial"/>
                <w:b w:val="0"/>
                <w:bCs w:val="0"/>
                <w:iCs/>
              </w:rPr>
            </w:pPr>
            <w:r w:rsidRPr="00A361C5">
              <w:rPr>
                <w:rFonts w:cs="Arial"/>
                <w:iCs/>
              </w:rPr>
              <w:t>Site Name</w:t>
            </w:r>
          </w:p>
        </w:tc>
        <w:tc>
          <w:tcPr>
            <w:tcW w:w="1318" w:type="dxa"/>
            <w:hideMark/>
          </w:tcPr>
          <w:p w:rsidR="005131CD" w:rsidRPr="00A361C5" w:rsidRDefault="005131CD" w:rsidP="00CD1DE4">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 xml:space="preserve">Date </w:t>
            </w:r>
            <w:r w:rsidRPr="00A361C5">
              <w:rPr>
                <w:rFonts w:cs="Arial"/>
              </w:rPr>
              <w:t>of Visit</w:t>
            </w:r>
          </w:p>
        </w:tc>
        <w:tc>
          <w:tcPr>
            <w:tcW w:w="1035" w:type="dxa"/>
            <w:hideMark/>
          </w:tcPr>
          <w:p w:rsidR="005131CD" w:rsidRPr="00A361C5" w:rsidRDefault="005131CD" w:rsidP="00CD1DE4">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A361C5">
              <w:rPr>
                <w:rFonts w:cs="Arial"/>
              </w:rPr>
              <w:t xml:space="preserve">Gauged Flow </w:t>
            </w:r>
            <w:proofErr w:type="spellStart"/>
            <w:r w:rsidRPr="00A361C5">
              <w:rPr>
                <w:rFonts w:cs="Arial"/>
              </w:rPr>
              <w:t>MLd</w:t>
            </w:r>
            <w:proofErr w:type="spellEnd"/>
          </w:p>
        </w:tc>
        <w:tc>
          <w:tcPr>
            <w:tcW w:w="1219" w:type="dxa"/>
            <w:hideMark/>
          </w:tcPr>
          <w:p w:rsidR="005131CD" w:rsidRDefault="005131CD" w:rsidP="00CD1DE4">
            <w:pPr>
              <w:jc w:val="center"/>
              <w:cnfStyle w:val="100000000000" w:firstRow="1" w:lastRow="0" w:firstColumn="0" w:lastColumn="0" w:oddVBand="0" w:evenVBand="0" w:oddHBand="0" w:evenHBand="0" w:firstRowFirstColumn="0" w:firstRowLastColumn="0" w:lastRowFirstColumn="0" w:lastRowLastColumn="0"/>
              <w:rPr>
                <w:rFonts w:cs="Arial"/>
                <w:sz w:val="21"/>
                <w:szCs w:val="21"/>
              </w:rPr>
            </w:pPr>
            <w:r>
              <w:rPr>
                <w:rFonts w:cs="Arial"/>
                <w:sz w:val="21"/>
                <w:szCs w:val="21"/>
              </w:rPr>
              <w:t>(%)</w:t>
            </w:r>
          </w:p>
          <w:p w:rsidR="005131CD" w:rsidRPr="00A361C5" w:rsidRDefault="005131CD" w:rsidP="00CD1DE4">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8B4EE2">
              <w:rPr>
                <w:rFonts w:cs="Arial"/>
                <w:sz w:val="21"/>
                <w:szCs w:val="21"/>
              </w:rPr>
              <w:t>Deviation</w:t>
            </w:r>
            <w:r w:rsidRPr="00A361C5">
              <w:rPr>
                <w:rFonts w:cs="Arial"/>
              </w:rPr>
              <w:t xml:space="preserve"> from </w:t>
            </w:r>
            <w:r>
              <w:rPr>
                <w:rFonts w:cs="Arial"/>
              </w:rPr>
              <w:t xml:space="preserve">Rating </w:t>
            </w:r>
            <w:r w:rsidRPr="00A361C5">
              <w:rPr>
                <w:rFonts w:cs="Arial"/>
              </w:rPr>
              <w:t>Curve</w:t>
            </w:r>
          </w:p>
        </w:tc>
        <w:tc>
          <w:tcPr>
            <w:tcW w:w="992" w:type="dxa"/>
            <w:hideMark/>
          </w:tcPr>
          <w:p w:rsidR="005131CD" w:rsidRPr="00A361C5" w:rsidRDefault="005131CD" w:rsidP="00CD1DE4">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A361C5">
              <w:rPr>
                <w:rFonts w:cs="Arial"/>
              </w:rPr>
              <w:t>Table #</w:t>
            </w:r>
          </w:p>
        </w:tc>
        <w:tc>
          <w:tcPr>
            <w:tcW w:w="851" w:type="dxa"/>
            <w:hideMark/>
          </w:tcPr>
          <w:p w:rsidR="005131CD" w:rsidRPr="00A361C5" w:rsidRDefault="005131CD" w:rsidP="00CD1DE4">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A361C5">
              <w:rPr>
                <w:rFonts w:cs="Arial"/>
              </w:rPr>
              <w:t>Mean SG (m)</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27/04/2017</w:t>
            </w:r>
          </w:p>
        </w:tc>
        <w:tc>
          <w:tcPr>
            <w:tcW w:w="1035"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49.49</w:t>
            </w:r>
          </w:p>
        </w:tc>
        <w:tc>
          <w:tcPr>
            <w:tcW w:w="1219"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-18.06</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0.392</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OEH2</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Macquarie River @ Binghi Bridge</w:t>
            </w:r>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27/04/2017</w:t>
            </w:r>
          </w:p>
        </w:tc>
        <w:tc>
          <w:tcPr>
            <w:tcW w:w="1035"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62.56</w:t>
            </w:r>
          </w:p>
        </w:tc>
        <w:tc>
          <w:tcPr>
            <w:tcW w:w="1219"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NR</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0.585</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OEH1</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Miralwyn</w:t>
            </w:r>
            <w:proofErr w:type="spellEnd"/>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27/04/2017</w:t>
            </w:r>
          </w:p>
        </w:tc>
        <w:tc>
          <w:tcPr>
            <w:tcW w:w="1035"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59.32</w:t>
            </w:r>
          </w:p>
        </w:tc>
        <w:tc>
          <w:tcPr>
            <w:tcW w:w="1219"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NR</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0.533</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2/05/2017</w:t>
            </w:r>
          </w:p>
        </w:tc>
        <w:tc>
          <w:tcPr>
            <w:tcW w:w="1035"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58.73</w:t>
            </w:r>
          </w:p>
        </w:tc>
        <w:tc>
          <w:tcPr>
            <w:tcW w:w="1219"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-8.67</w:t>
            </w:r>
            <w:r>
              <w:rPr>
                <w:rFonts w:cs="Arial"/>
              </w:rPr>
              <w:t xml:space="preserve"> **</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0.400</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3/05/2017</w:t>
            </w:r>
          </w:p>
        </w:tc>
        <w:tc>
          <w:tcPr>
            <w:tcW w:w="1035"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67.30</w:t>
            </w:r>
          </w:p>
        </w:tc>
        <w:tc>
          <w:tcPr>
            <w:tcW w:w="1219"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-1.99</w:t>
            </w:r>
            <w:r>
              <w:rPr>
                <w:rFonts w:cs="Arial"/>
              </w:rPr>
              <w:t xml:space="preserve"> **</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0.408</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OEH1</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Miralwyn</w:t>
            </w:r>
            <w:proofErr w:type="spellEnd"/>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3/05/2017</w:t>
            </w:r>
          </w:p>
        </w:tc>
        <w:tc>
          <w:tcPr>
            <w:tcW w:w="1035"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52.06</w:t>
            </w:r>
          </w:p>
        </w:tc>
        <w:tc>
          <w:tcPr>
            <w:tcW w:w="1219"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NR</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0.485</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9/05/2017</w:t>
            </w:r>
          </w:p>
        </w:tc>
        <w:tc>
          <w:tcPr>
            <w:tcW w:w="1035"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99.10</w:t>
            </w:r>
          </w:p>
        </w:tc>
        <w:tc>
          <w:tcPr>
            <w:tcW w:w="1219"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6.84</w:t>
            </w:r>
            <w:r>
              <w:rPr>
                <w:rFonts w:cs="Arial"/>
              </w:rPr>
              <w:t xml:space="preserve"> **</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0.448</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9/05/2017</w:t>
            </w:r>
          </w:p>
        </w:tc>
        <w:tc>
          <w:tcPr>
            <w:tcW w:w="1035"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96.86</w:t>
            </w:r>
          </w:p>
        </w:tc>
        <w:tc>
          <w:tcPr>
            <w:tcW w:w="1219"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3.78</w:t>
            </w:r>
            <w:r>
              <w:rPr>
                <w:rFonts w:cs="Arial"/>
              </w:rPr>
              <w:t xml:space="preserve"> **</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0.449</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7/06/2017</w:t>
            </w:r>
          </w:p>
        </w:tc>
        <w:tc>
          <w:tcPr>
            <w:tcW w:w="1035"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68.34</w:t>
            </w:r>
          </w:p>
        </w:tc>
        <w:tc>
          <w:tcPr>
            <w:tcW w:w="1219"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3.66</w:t>
            </w:r>
            <w:r>
              <w:rPr>
                <w:rFonts w:cs="Arial"/>
              </w:rPr>
              <w:t xml:space="preserve"> **</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0.403</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17/07/2017</w:t>
            </w:r>
          </w:p>
        </w:tc>
        <w:tc>
          <w:tcPr>
            <w:tcW w:w="1035"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2.95</w:t>
            </w:r>
          </w:p>
        </w:tc>
        <w:tc>
          <w:tcPr>
            <w:tcW w:w="1219"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0.99</w:t>
            </w:r>
            <w:r>
              <w:rPr>
                <w:rFonts w:cs="Arial"/>
              </w:rPr>
              <w:t xml:space="preserve"> **</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0.220</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OEH1</w:t>
            </w:r>
          </w:p>
        </w:tc>
        <w:tc>
          <w:tcPr>
            <w:tcW w:w="3862"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Miralwyn</w:t>
            </w:r>
            <w:proofErr w:type="spellEnd"/>
          </w:p>
        </w:tc>
        <w:tc>
          <w:tcPr>
            <w:tcW w:w="1318" w:type="dxa"/>
            <w:noWrap/>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18/07/2017</w:t>
            </w:r>
          </w:p>
        </w:tc>
        <w:tc>
          <w:tcPr>
            <w:tcW w:w="1035"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0.30</w:t>
            </w:r>
          </w:p>
        </w:tc>
        <w:tc>
          <w:tcPr>
            <w:tcW w:w="1219"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NR</w:t>
            </w:r>
          </w:p>
        </w:tc>
        <w:tc>
          <w:tcPr>
            <w:tcW w:w="992"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 xml:space="preserve">1.04 </w:t>
            </w:r>
          </w:p>
        </w:tc>
        <w:tc>
          <w:tcPr>
            <w:tcW w:w="851" w:type="dxa"/>
            <w:hideMark/>
          </w:tcPr>
          <w:p w:rsidR="005131CD" w:rsidRPr="009F3790" w:rsidRDefault="005131CD" w:rsidP="00CD1DE4">
            <w:pPr>
              <w:jc w:val="both"/>
              <w:cnfStyle w:val="000000100000" w:firstRow="0" w:lastRow="0" w:firstColumn="0" w:lastColumn="0" w:oddVBand="0" w:evenVBand="0" w:oddHBand="1" w:evenHBand="0" w:firstRowFirstColumn="0" w:firstRowLastColumn="0" w:lastRowFirstColumn="0" w:lastRowLastColumn="0"/>
              <w:rPr>
                <w:rFonts w:cs="Arial"/>
              </w:rPr>
            </w:pPr>
            <w:r w:rsidRPr="009F3790">
              <w:rPr>
                <w:rFonts w:cs="Arial"/>
              </w:rPr>
              <w:t>0.110</w:t>
            </w:r>
          </w:p>
        </w:tc>
      </w:tr>
      <w:tr w:rsidR="005131CD" w:rsidRPr="00A361C5" w:rsidTr="00CD1DE4">
        <w:trPr>
          <w:trHeight w:val="287"/>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rsidR="005131CD" w:rsidRPr="009F3790" w:rsidRDefault="005131CD" w:rsidP="00CD1DE4">
            <w:pPr>
              <w:jc w:val="both"/>
              <w:rPr>
                <w:rFonts w:cs="Arial"/>
              </w:rPr>
            </w:pPr>
            <w:r w:rsidRPr="009F3790">
              <w:rPr>
                <w:rFonts w:cs="Arial"/>
              </w:rPr>
              <w:t>421907</w:t>
            </w:r>
          </w:p>
        </w:tc>
        <w:tc>
          <w:tcPr>
            <w:tcW w:w="3862"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Macquarie River @ </w:t>
            </w:r>
            <w:proofErr w:type="spellStart"/>
            <w:r w:rsidRPr="009F3790">
              <w:rPr>
                <w:rFonts w:cs="Arial"/>
              </w:rPr>
              <w:t>Brewon</w:t>
            </w:r>
            <w:proofErr w:type="spellEnd"/>
            <w:r w:rsidRPr="009F3790">
              <w:rPr>
                <w:rFonts w:cs="Arial"/>
              </w:rPr>
              <w:t xml:space="preserve"> Bridge</w:t>
            </w:r>
          </w:p>
        </w:tc>
        <w:tc>
          <w:tcPr>
            <w:tcW w:w="1318"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16/08/2017</w:t>
            </w:r>
          </w:p>
        </w:tc>
        <w:tc>
          <w:tcPr>
            <w:tcW w:w="1035"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25.62</w:t>
            </w:r>
          </w:p>
        </w:tc>
        <w:tc>
          <w:tcPr>
            <w:tcW w:w="1219"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3.57</w:t>
            </w:r>
            <w:r>
              <w:rPr>
                <w:rFonts w:cs="Arial"/>
              </w:rPr>
              <w:t xml:space="preserve"> **</w:t>
            </w:r>
          </w:p>
        </w:tc>
        <w:tc>
          <w:tcPr>
            <w:tcW w:w="992" w:type="dxa"/>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 xml:space="preserve">1.04 </w:t>
            </w:r>
          </w:p>
        </w:tc>
        <w:tc>
          <w:tcPr>
            <w:tcW w:w="851" w:type="dxa"/>
            <w:noWrap/>
            <w:hideMark/>
          </w:tcPr>
          <w:p w:rsidR="005131CD" w:rsidRPr="009F3790" w:rsidRDefault="005131CD" w:rsidP="00CD1DE4">
            <w:pPr>
              <w:jc w:val="both"/>
              <w:cnfStyle w:val="000000000000" w:firstRow="0" w:lastRow="0" w:firstColumn="0" w:lastColumn="0" w:oddVBand="0" w:evenVBand="0" w:oddHBand="0" w:evenHBand="0" w:firstRowFirstColumn="0" w:firstRowLastColumn="0" w:lastRowFirstColumn="0" w:lastRowLastColumn="0"/>
              <w:rPr>
                <w:rFonts w:cs="Arial"/>
              </w:rPr>
            </w:pPr>
            <w:r w:rsidRPr="009F3790">
              <w:rPr>
                <w:rFonts w:cs="Arial"/>
              </w:rPr>
              <w:t>0.220</w:t>
            </w:r>
          </w:p>
        </w:tc>
      </w:tr>
      <w:tr w:rsidR="005131CD" w:rsidRPr="00A361C5" w:rsidTr="00CD1D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490" w:type="dxa"/>
            <w:gridSpan w:val="7"/>
            <w:shd w:val="clear" w:color="auto" w:fill="auto"/>
            <w:noWrap/>
          </w:tcPr>
          <w:p w:rsidR="005131CD" w:rsidRDefault="005131CD" w:rsidP="00CD1DE4">
            <w:pPr>
              <w:jc w:val="both"/>
              <w:rPr>
                <w:rFonts w:cs="Arial"/>
                <w:b w:val="0"/>
                <w:sz w:val="18"/>
                <w:szCs w:val="18"/>
              </w:rPr>
            </w:pPr>
            <w:r>
              <w:rPr>
                <w:rFonts w:cs="Arial"/>
                <w:b w:val="0"/>
                <w:sz w:val="18"/>
                <w:szCs w:val="18"/>
              </w:rPr>
              <w:t xml:space="preserve">** The flow accuracies are described above, shown as deviations, are within the error percentages requirements of + or – 10% prescribed in the WaterNSW Procedures and </w:t>
            </w:r>
            <w:r w:rsidRPr="008B4EE2">
              <w:rPr>
                <w:rFonts w:cs="Arial"/>
                <w:b w:val="0"/>
                <w:sz w:val="18"/>
                <w:szCs w:val="18"/>
              </w:rPr>
              <w:t>N</w:t>
            </w:r>
            <w:r w:rsidRPr="008B4EE2">
              <w:rPr>
                <w:b w:val="0"/>
                <w:sz w:val="18"/>
                <w:szCs w:val="18"/>
              </w:rPr>
              <w:t>ational Industry Guidelines for Hydrometric Monitoring</w:t>
            </w:r>
            <w:r>
              <w:rPr>
                <w:rFonts w:cs="Arial"/>
                <w:b w:val="0"/>
                <w:sz w:val="18"/>
                <w:szCs w:val="18"/>
              </w:rPr>
              <w:t>.</w:t>
            </w:r>
          </w:p>
          <w:p w:rsidR="005131CD" w:rsidRPr="00173980" w:rsidRDefault="005131CD" w:rsidP="00CD1DE4">
            <w:pPr>
              <w:jc w:val="both"/>
              <w:rPr>
                <w:rFonts w:cs="Arial"/>
                <w:b w:val="0"/>
                <w:sz w:val="18"/>
                <w:szCs w:val="18"/>
              </w:rPr>
            </w:pPr>
            <w:r>
              <w:rPr>
                <w:rFonts w:cs="Arial"/>
                <w:b w:val="0"/>
                <w:sz w:val="18"/>
                <w:szCs w:val="18"/>
              </w:rPr>
              <w:t>NR = Not rated</w:t>
            </w:r>
          </w:p>
        </w:tc>
      </w:tr>
    </w:tbl>
    <w:p w:rsidR="005131CD" w:rsidRDefault="005131CD" w:rsidP="005131CD">
      <w:pPr>
        <w:jc w:val="both"/>
      </w:pPr>
      <w:r>
        <w:t>Table 2: Gauging Results</w:t>
      </w:r>
    </w:p>
    <w:p w:rsidR="009A27E4" w:rsidRDefault="00A655A5" w:rsidP="001E6861">
      <w:pPr>
        <w:jc w:val="both"/>
      </w:pPr>
      <w:r w:rsidRPr="00A655A5">
        <w:rPr>
          <w:noProof/>
          <w:lang w:eastAsia="en-AU"/>
        </w:rPr>
        <w:drawing>
          <wp:inline distT="0" distB="0" distL="0" distR="0">
            <wp:extent cx="6120130" cy="4080087"/>
            <wp:effectExtent l="0" t="0" r="0" b="0"/>
            <wp:docPr id="5" name="Picture 5" descr="C:\Users\Bernard.Finch\Desktop\Hydrometric\Dubbo Files\OEH Lower Macquarie site\421907_OEH1 Level t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Finch\Desktop\Hydrometric\Dubbo Files\OEH Lower Macquarie site\421907_OEH1 Level tra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r w:rsidR="00866BA5">
        <w:t>Plot 2: Level and Gauging plot for gauging stations 421907 and OEH1</w:t>
      </w:r>
    </w:p>
    <w:p w:rsidR="001A59EA" w:rsidRDefault="001A59EA" w:rsidP="001A59EA">
      <w:pPr>
        <w:jc w:val="both"/>
        <w:rPr>
          <w:rFonts w:cs="Arial"/>
          <w:sz w:val="24"/>
          <w:szCs w:val="24"/>
        </w:rPr>
      </w:pPr>
      <w:r>
        <w:rPr>
          <w:rFonts w:cs="Arial"/>
          <w:sz w:val="24"/>
          <w:szCs w:val="24"/>
        </w:rPr>
        <w:t xml:space="preserve">Level data for sites 421907 and OEH1 (Plot 2) indicate that there was pumping </w:t>
      </w:r>
      <w:r w:rsidR="00FD5861">
        <w:rPr>
          <w:rFonts w:cs="Arial"/>
          <w:sz w:val="24"/>
          <w:szCs w:val="24"/>
        </w:rPr>
        <w:t xml:space="preserve">activity </w:t>
      </w:r>
      <w:r>
        <w:rPr>
          <w:rFonts w:cs="Arial"/>
          <w:sz w:val="24"/>
          <w:szCs w:val="24"/>
        </w:rPr>
        <w:t>during May and some pumping which affected the level at OEH1 in June as the environmental flow receded. It is not possible to determine the location of this pumping.</w:t>
      </w:r>
    </w:p>
    <w:p w:rsidR="00866BA5" w:rsidRDefault="00866BA5" w:rsidP="00866BA5">
      <w:pPr>
        <w:pStyle w:val="Heading1"/>
      </w:pPr>
      <w:bookmarkStart w:id="9" w:name="_Toc504477977"/>
      <w:r w:rsidRPr="00B648FE">
        <w:t>Rating table development</w:t>
      </w:r>
      <w:bookmarkEnd w:id="9"/>
    </w:p>
    <w:p w:rsidR="00866BA5" w:rsidRPr="00B648FE" w:rsidRDefault="00866BA5" w:rsidP="00866BA5">
      <w:r w:rsidRPr="001E6861">
        <w:rPr>
          <w:noProof/>
          <w:lang w:eastAsia="en-AU"/>
        </w:rPr>
        <mc:AlternateContent>
          <mc:Choice Requires="wps">
            <w:drawing>
              <wp:anchor distT="0" distB="0" distL="114300" distR="114300" simplePos="0" relativeHeight="251718656" behindDoc="0" locked="0" layoutInCell="1" allowOverlap="1" wp14:anchorId="12DF0573" wp14:editId="10E0CD4B">
                <wp:simplePos x="0" y="0"/>
                <wp:positionH relativeFrom="page">
                  <wp:align>right</wp:align>
                </wp:positionH>
                <wp:positionV relativeFrom="paragraph">
                  <wp:posOffset>60960</wp:posOffset>
                </wp:positionV>
                <wp:extent cx="6829425" cy="0"/>
                <wp:effectExtent l="57150" t="38100" r="66675" b="95250"/>
                <wp:wrapNone/>
                <wp:docPr id="21" name="Straight Connector 21"/>
                <wp:cNvGraphicFramePr/>
                <a:graphic xmlns:a="http://schemas.openxmlformats.org/drawingml/2006/main">
                  <a:graphicData uri="http://schemas.microsoft.com/office/word/2010/wordprocessingShape">
                    <wps:wsp>
                      <wps:cNvCnPr/>
                      <wps:spPr>
                        <a:xfrm>
                          <a:off x="0" y="0"/>
                          <a:ext cx="68294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EFA8120" id="Straight Connector 21" o:spid="_x0000_s1026" style="position:absolute;z-index:251718656;visibility:visible;mso-wrap-style:square;mso-wrap-distance-left:9pt;mso-wrap-distance-top:0;mso-wrap-distance-right:9pt;mso-wrap-distance-bottom:0;mso-position-horizontal:right;mso-position-horizontal-relative:page;mso-position-vertical:absolute;mso-position-vertical-relative:text" from="486.55pt,4.8pt" to="1024.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" strokecolor="#4f81bd" strokeweight="3pt">
                <v:shadow on="t" color="black" opacity="22937f" origin=",.5" offset="0,.63889mm"/>
                <w10:wrap anchorx="page"/>
              </v:line>
            </w:pict>
          </mc:Fallback>
        </mc:AlternateContent>
      </w:r>
    </w:p>
    <w:p w:rsidR="00866BA5" w:rsidRPr="00696553" w:rsidRDefault="00866BA5" w:rsidP="00866BA5">
      <w:pPr>
        <w:jc w:val="both"/>
        <w:rPr>
          <w:rFonts w:cs="Arial"/>
          <w:sz w:val="24"/>
          <w:szCs w:val="24"/>
        </w:rPr>
      </w:pPr>
      <w:r w:rsidRPr="00696553">
        <w:rPr>
          <w:rFonts w:cs="Arial"/>
          <w:sz w:val="24"/>
          <w:szCs w:val="24"/>
        </w:rPr>
        <w:t xml:space="preserve">A rating table RT1.00 was created on 11/5/17 using the results of a number of </w:t>
      </w:r>
      <w:proofErr w:type="spellStart"/>
      <w:r w:rsidRPr="00696553">
        <w:rPr>
          <w:rFonts w:cs="Arial"/>
          <w:sz w:val="24"/>
          <w:szCs w:val="24"/>
        </w:rPr>
        <w:t>gaugings</w:t>
      </w:r>
      <w:proofErr w:type="spellEnd"/>
      <w:r w:rsidRPr="00696553">
        <w:rPr>
          <w:rFonts w:cs="Arial"/>
          <w:sz w:val="24"/>
          <w:szCs w:val="24"/>
        </w:rPr>
        <w:t xml:space="preserve"> already conducted and the measured CTF value</w:t>
      </w:r>
      <w:r>
        <w:rPr>
          <w:rFonts w:cs="Arial"/>
          <w:sz w:val="24"/>
          <w:szCs w:val="24"/>
        </w:rPr>
        <w:t xml:space="preserve"> of 0.125m</w:t>
      </w:r>
      <w:r w:rsidRPr="00696553">
        <w:rPr>
          <w:rFonts w:cs="Arial"/>
          <w:sz w:val="24"/>
          <w:szCs w:val="24"/>
        </w:rPr>
        <w:t>. A Theoretical rating point was created at 0.500m using the non-standard section control formulae Q=CdH</w:t>
      </w:r>
      <w:r w:rsidRPr="00F829B0">
        <w:rPr>
          <w:rFonts w:cs="Arial"/>
          <w:sz w:val="24"/>
          <w:szCs w:val="24"/>
          <w:vertAlign w:val="superscript"/>
        </w:rPr>
        <w:t>2</w:t>
      </w:r>
      <w:r w:rsidRPr="00696553">
        <w:rPr>
          <w:rFonts w:cs="Arial"/>
          <w:sz w:val="24"/>
          <w:szCs w:val="24"/>
        </w:rPr>
        <w:t xml:space="preserve"> for a parabolic shaped section control. This was based on the Cd </w:t>
      </w:r>
      <w:r>
        <w:rPr>
          <w:rFonts w:cs="Arial"/>
          <w:sz w:val="24"/>
          <w:szCs w:val="24"/>
        </w:rPr>
        <w:t xml:space="preserve">(coefficient of discharge) </w:t>
      </w:r>
      <w:r w:rsidRPr="00696553">
        <w:rPr>
          <w:rFonts w:cs="Arial"/>
          <w:sz w:val="24"/>
          <w:szCs w:val="24"/>
        </w:rPr>
        <w:t>ca</w:t>
      </w:r>
      <w:r>
        <w:rPr>
          <w:rFonts w:cs="Arial"/>
          <w:sz w:val="24"/>
          <w:szCs w:val="24"/>
        </w:rPr>
        <w:t>lculated from previous gauging’s.</w:t>
      </w:r>
    </w:p>
    <w:p w:rsidR="00866BA5" w:rsidRPr="00696553" w:rsidRDefault="00866BA5" w:rsidP="00866BA5">
      <w:pPr>
        <w:jc w:val="both"/>
        <w:rPr>
          <w:rFonts w:cs="Arial"/>
          <w:sz w:val="24"/>
          <w:szCs w:val="24"/>
        </w:rPr>
      </w:pPr>
      <w:r w:rsidRPr="00696553">
        <w:rPr>
          <w:rFonts w:cs="Arial"/>
          <w:sz w:val="24"/>
          <w:szCs w:val="24"/>
        </w:rPr>
        <w:t>Rating RT1.01 was created on 21/6/17 using a straight-line log extension to 0.6</w:t>
      </w:r>
      <w:r>
        <w:rPr>
          <w:rFonts w:cs="Arial"/>
          <w:sz w:val="24"/>
          <w:szCs w:val="24"/>
        </w:rPr>
        <w:t>00</w:t>
      </w:r>
      <w:r w:rsidRPr="00696553">
        <w:rPr>
          <w:rFonts w:cs="Arial"/>
          <w:sz w:val="24"/>
          <w:szCs w:val="24"/>
        </w:rPr>
        <w:t>m, which was above the highest level recorded during the flow event.</w:t>
      </w:r>
    </w:p>
    <w:p w:rsidR="00866BA5" w:rsidRPr="00696553" w:rsidRDefault="00866BA5" w:rsidP="00866BA5">
      <w:pPr>
        <w:jc w:val="both"/>
        <w:rPr>
          <w:rFonts w:cs="Arial"/>
          <w:sz w:val="24"/>
          <w:szCs w:val="24"/>
        </w:rPr>
      </w:pPr>
      <w:r w:rsidRPr="00696553">
        <w:rPr>
          <w:rFonts w:cs="Arial"/>
          <w:sz w:val="24"/>
          <w:szCs w:val="24"/>
        </w:rPr>
        <w:t xml:space="preserve">RT1.02 was created on 21/6/17 from an additional gauging on 7/6/17 and adjustments made above 100ML/d through a peak correlation method with upstream sites 421135 and 421012 during the same event. </w:t>
      </w:r>
    </w:p>
    <w:p w:rsidR="00866BA5" w:rsidRPr="00696553" w:rsidRDefault="00866BA5" w:rsidP="00866BA5">
      <w:pPr>
        <w:jc w:val="both"/>
        <w:rPr>
          <w:rFonts w:cs="Arial"/>
          <w:sz w:val="24"/>
          <w:szCs w:val="24"/>
        </w:rPr>
      </w:pPr>
      <w:r w:rsidRPr="00696553">
        <w:rPr>
          <w:rFonts w:cs="Arial"/>
          <w:sz w:val="24"/>
          <w:szCs w:val="24"/>
        </w:rPr>
        <w:t>RT1.03 was created on 25/7/17 after a low flow gauging on 17/7/17. This resulted in adjustments below 60ML/d.</w:t>
      </w:r>
    </w:p>
    <w:p w:rsidR="009A27E4" w:rsidRPr="00540847" w:rsidRDefault="00866BA5" w:rsidP="001E6861">
      <w:pPr>
        <w:jc w:val="both"/>
        <w:rPr>
          <w:rFonts w:cs="Arial"/>
          <w:sz w:val="24"/>
          <w:szCs w:val="24"/>
        </w:rPr>
      </w:pPr>
      <w:r w:rsidRPr="00696553">
        <w:rPr>
          <w:rFonts w:cs="Arial"/>
          <w:sz w:val="24"/>
          <w:szCs w:val="24"/>
        </w:rPr>
        <w:t>RT1.04 was created on 21/8/17 after a gauging on 16/8/17. This resulted in adjustments to the rating table up to 100ML/d</w:t>
      </w:r>
    </w:p>
    <w:tbl>
      <w:tblPr>
        <w:tblStyle w:val="GridTable4-Accent11"/>
        <w:tblW w:w="9082" w:type="dxa"/>
        <w:jc w:val="center"/>
        <w:tblLook w:val="04A0" w:firstRow="1" w:lastRow="0" w:firstColumn="1" w:lastColumn="0" w:noHBand="0" w:noVBand="1"/>
      </w:tblPr>
      <w:tblGrid>
        <w:gridCol w:w="901"/>
        <w:gridCol w:w="816"/>
        <w:gridCol w:w="816"/>
        <w:gridCol w:w="816"/>
        <w:gridCol w:w="819"/>
        <w:gridCol w:w="819"/>
        <w:gridCol w:w="819"/>
        <w:gridCol w:w="819"/>
        <w:gridCol w:w="819"/>
        <w:gridCol w:w="819"/>
        <w:gridCol w:w="819"/>
      </w:tblGrid>
      <w:tr w:rsidR="001A35B5" w:rsidRPr="00A361C5" w:rsidTr="001A35B5">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Gauge Height</w:t>
            </w:r>
          </w:p>
        </w:tc>
        <w:tc>
          <w:tcPr>
            <w:tcW w:w="821"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w:t>
            </w:r>
          </w:p>
        </w:tc>
        <w:tc>
          <w:tcPr>
            <w:tcW w:w="821"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0.01</w:t>
            </w:r>
          </w:p>
        </w:tc>
        <w:tc>
          <w:tcPr>
            <w:tcW w:w="821"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0.02</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0.03</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0.04</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0.05</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0.06</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0.07</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0.08</w:t>
            </w:r>
          </w:p>
        </w:tc>
        <w:tc>
          <w:tcPr>
            <w:tcW w:w="823" w:type="dxa"/>
          </w:tcPr>
          <w:p w:rsidR="001A35B5" w:rsidRPr="00A361C5" w:rsidRDefault="001A35B5" w:rsidP="00015D57">
            <w:pPr>
              <w:jc w:val="both"/>
              <w:cnfStyle w:val="100000000000" w:firstRow="1" w:lastRow="0" w:firstColumn="0" w:lastColumn="0" w:oddVBand="0" w:evenVBand="0" w:oddHBand="0" w:evenHBand="0" w:firstRowFirstColumn="0" w:firstRowLastColumn="0" w:lastRowFirstColumn="0" w:lastRowLastColumn="0"/>
              <w:rPr>
                <w:rFonts w:cs="Arial"/>
              </w:rPr>
            </w:pPr>
            <w:r w:rsidRPr="00A361C5">
              <w:rPr>
                <w:rFonts w:cs="Arial"/>
              </w:rPr>
              <w:t>0.09</w:t>
            </w:r>
          </w:p>
        </w:tc>
      </w:tr>
      <w:tr w:rsidR="001A35B5" w:rsidRPr="00A361C5" w:rsidTr="001A35B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0.0</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0.0</w:t>
            </w:r>
          </w:p>
        </w:tc>
      </w:tr>
      <w:tr w:rsidR="001A35B5" w:rsidRPr="00A361C5" w:rsidTr="001A35B5">
        <w:trPr>
          <w:trHeight w:val="329"/>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0.1</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0.0</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0.0</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0.0</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0.02</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0.07</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0.14</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0.27</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0.43</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0.66</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1.03</w:t>
            </w:r>
          </w:p>
        </w:tc>
      </w:tr>
      <w:tr w:rsidR="001A35B5" w:rsidRPr="00A361C5" w:rsidTr="001A35B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0.2</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1.50</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2.11</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2.92</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3.97</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5.49</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7.38</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9.7</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12.3</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15.3</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18.8</w:t>
            </w:r>
          </w:p>
        </w:tc>
      </w:tr>
      <w:tr w:rsidR="001A35B5" w:rsidRPr="00A361C5" w:rsidTr="001A35B5">
        <w:trPr>
          <w:trHeight w:val="312"/>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0.3</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22.8</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26.4</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30.0</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33.8</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38.0</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42.3</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46.7</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50.8</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55.1</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59.5</w:t>
            </w:r>
          </w:p>
        </w:tc>
      </w:tr>
      <w:tr w:rsidR="001A35B5" w:rsidRPr="00A361C5" w:rsidTr="001A35B5">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0.4</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64.3</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69.8</w:t>
            </w:r>
          </w:p>
        </w:tc>
        <w:tc>
          <w:tcPr>
            <w:tcW w:w="821"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75.5</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81.5</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87.7</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93.9</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99.8</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106</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112</w:t>
            </w:r>
          </w:p>
        </w:tc>
        <w:tc>
          <w:tcPr>
            <w:tcW w:w="823" w:type="dxa"/>
          </w:tcPr>
          <w:p w:rsidR="001A35B5" w:rsidRPr="00A361C5" w:rsidRDefault="001A35B5" w:rsidP="00015D57">
            <w:pPr>
              <w:jc w:val="both"/>
              <w:cnfStyle w:val="000000100000" w:firstRow="0" w:lastRow="0" w:firstColumn="0" w:lastColumn="0" w:oddVBand="0" w:evenVBand="0" w:oddHBand="1" w:evenHBand="0" w:firstRowFirstColumn="0" w:firstRowLastColumn="0" w:lastRowFirstColumn="0" w:lastRowLastColumn="0"/>
              <w:rPr>
                <w:rFonts w:cs="Arial"/>
              </w:rPr>
            </w:pPr>
            <w:r w:rsidRPr="00A361C5">
              <w:rPr>
                <w:rFonts w:cs="Arial"/>
              </w:rPr>
              <w:t>118</w:t>
            </w:r>
          </w:p>
        </w:tc>
      </w:tr>
      <w:tr w:rsidR="001A35B5" w:rsidRPr="00A361C5" w:rsidTr="001A35B5">
        <w:trPr>
          <w:trHeight w:val="312"/>
          <w:jc w:val="center"/>
        </w:trPr>
        <w:tc>
          <w:tcPr>
            <w:cnfStyle w:val="001000000000" w:firstRow="0" w:lastRow="0" w:firstColumn="1" w:lastColumn="0" w:oddVBand="0" w:evenVBand="0" w:oddHBand="0" w:evenHBand="0" w:firstRowFirstColumn="0" w:firstRowLastColumn="0" w:lastRowFirstColumn="0" w:lastRowLastColumn="0"/>
            <w:tcW w:w="858" w:type="dxa"/>
          </w:tcPr>
          <w:p w:rsidR="001A35B5" w:rsidRPr="00A361C5" w:rsidRDefault="001A35B5" w:rsidP="00015D57">
            <w:pPr>
              <w:jc w:val="both"/>
              <w:rPr>
                <w:rFonts w:cs="Arial"/>
              </w:rPr>
            </w:pPr>
            <w:r w:rsidRPr="00A361C5">
              <w:rPr>
                <w:rFonts w:cs="Arial"/>
              </w:rPr>
              <w:t>0.5</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125</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130</w:t>
            </w:r>
          </w:p>
        </w:tc>
        <w:tc>
          <w:tcPr>
            <w:tcW w:w="821"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135</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141</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146</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152</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158</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163</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168</w:t>
            </w:r>
          </w:p>
        </w:tc>
        <w:tc>
          <w:tcPr>
            <w:tcW w:w="823" w:type="dxa"/>
          </w:tcPr>
          <w:p w:rsidR="001A35B5" w:rsidRPr="00A361C5" w:rsidRDefault="001A35B5" w:rsidP="00015D57">
            <w:pPr>
              <w:jc w:val="both"/>
              <w:cnfStyle w:val="000000000000" w:firstRow="0" w:lastRow="0" w:firstColumn="0" w:lastColumn="0" w:oddVBand="0" w:evenVBand="0" w:oddHBand="0" w:evenHBand="0" w:firstRowFirstColumn="0" w:firstRowLastColumn="0" w:lastRowFirstColumn="0" w:lastRowLastColumn="0"/>
              <w:rPr>
                <w:rFonts w:cs="Arial"/>
              </w:rPr>
            </w:pPr>
            <w:r w:rsidRPr="00A361C5">
              <w:rPr>
                <w:rFonts w:cs="Arial"/>
              </w:rPr>
              <w:t>173</w:t>
            </w:r>
          </w:p>
        </w:tc>
      </w:tr>
    </w:tbl>
    <w:p w:rsidR="009A27E4" w:rsidRDefault="00B43F49" w:rsidP="001E6861">
      <w:pPr>
        <w:jc w:val="both"/>
      </w:pPr>
      <w:r>
        <w:rPr>
          <w:noProof/>
          <w:lang w:eastAsia="en-AU"/>
        </w:rPr>
        <w:drawing>
          <wp:anchor distT="0" distB="0" distL="114300" distR="114300" simplePos="0" relativeHeight="251720704" behindDoc="0" locked="0" layoutInCell="1" allowOverlap="1" wp14:anchorId="24C42BCF" wp14:editId="14D16072">
            <wp:simplePos x="0" y="0"/>
            <wp:positionH relativeFrom="margin">
              <wp:align>left</wp:align>
            </wp:positionH>
            <wp:positionV relativeFrom="paragraph">
              <wp:posOffset>273050</wp:posOffset>
            </wp:positionV>
            <wp:extent cx="6373495" cy="424815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2.png"/>
                    <pic:cNvPicPr/>
                  </pic:nvPicPr>
                  <pic:blipFill>
                    <a:blip r:embed="rId18">
                      <a:extLst>
                        <a:ext uri="{28A0092B-C50C-407E-A947-70E740481C1C}">
                          <a14:useLocalDpi xmlns:a14="http://schemas.microsoft.com/office/drawing/2010/main" val="0"/>
                        </a:ext>
                      </a:extLst>
                    </a:blip>
                    <a:stretch>
                      <a:fillRect/>
                    </a:stretch>
                  </pic:blipFill>
                  <pic:spPr>
                    <a:xfrm>
                      <a:off x="0" y="0"/>
                      <a:ext cx="6373495" cy="4248150"/>
                    </a:xfrm>
                    <a:prstGeom prst="rect">
                      <a:avLst/>
                    </a:prstGeom>
                  </pic:spPr>
                </pic:pic>
              </a:graphicData>
            </a:graphic>
            <wp14:sizeRelH relativeFrom="page">
              <wp14:pctWidth>0</wp14:pctWidth>
            </wp14:sizeRelH>
            <wp14:sizeRelV relativeFrom="page">
              <wp14:pctHeight>0</wp14:pctHeight>
            </wp14:sizeRelV>
          </wp:anchor>
        </w:drawing>
      </w:r>
      <w:r w:rsidR="001A35B5">
        <w:t>Table 3:</w:t>
      </w:r>
      <w:r w:rsidR="00C54D32">
        <w:t xml:space="preserve"> Discharge </w:t>
      </w:r>
      <w:proofErr w:type="gramStart"/>
      <w:r w:rsidR="00C54D32">
        <w:t>Rating</w:t>
      </w:r>
      <w:proofErr w:type="gramEnd"/>
      <w:r w:rsidR="00C54D32">
        <w:t xml:space="preserve"> table 1.04 </w:t>
      </w:r>
      <w:r w:rsidR="001A35B5">
        <w:t>Gauge Height v Discharge Rate (ML/d)</w:t>
      </w:r>
    </w:p>
    <w:p w:rsidR="00B43F49" w:rsidRDefault="001A35B5" w:rsidP="00B43F49">
      <w:pPr>
        <w:jc w:val="both"/>
      </w:pPr>
      <w:r>
        <w:t xml:space="preserve">Plot 3: 421907 Discharge rating curve with </w:t>
      </w:r>
      <w:proofErr w:type="spellStart"/>
      <w:r>
        <w:t>gaugings</w:t>
      </w:r>
      <w:proofErr w:type="spellEnd"/>
      <w:r>
        <w:t xml:space="preserve"> plotted</w:t>
      </w:r>
    </w:p>
    <w:p w:rsidR="00A556E2" w:rsidRDefault="00B43F49" w:rsidP="00B43F49">
      <w:pPr>
        <w:jc w:val="both"/>
        <w:rPr>
          <w:rFonts w:cs="Arial"/>
          <w:sz w:val="24"/>
          <w:szCs w:val="24"/>
        </w:rPr>
      </w:pPr>
      <w:r>
        <w:rPr>
          <w:rFonts w:cs="Arial"/>
          <w:sz w:val="24"/>
          <w:szCs w:val="24"/>
        </w:rPr>
        <w:t xml:space="preserve">This rating table relates only to the gauge pool at 421907 and it is not possible to estimate depths in the Macquarie River upstream or downstream of this point based on this rating table alone. </w:t>
      </w:r>
    </w:p>
    <w:p w:rsidR="00540847" w:rsidRPr="00B43F49" w:rsidRDefault="00540847" w:rsidP="00B43F49">
      <w:pPr>
        <w:jc w:val="both"/>
      </w:pPr>
      <w:r w:rsidRPr="00540847">
        <w:rPr>
          <w:noProof/>
          <w:lang w:eastAsia="en-AU"/>
        </w:rPr>
        <w:drawing>
          <wp:inline distT="0" distB="0" distL="0" distR="0" wp14:anchorId="07BC821A" wp14:editId="65D7C98E">
            <wp:extent cx="6119495" cy="4410075"/>
            <wp:effectExtent l="0" t="0" r="0" b="9525"/>
            <wp:docPr id="7" name="Picture 7" descr="C:\Users\Bernard.Finch\Desktop\Hydrometric\Dubbo Files\OEH Lower Macquarie site\421907_421012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Finch\Desktop\Hydrometric\Dubbo Files\OEH Lower Macquarie site\421907_421012pl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0283" cy="4417849"/>
                    </a:xfrm>
                    <a:prstGeom prst="rect">
                      <a:avLst/>
                    </a:prstGeom>
                    <a:noFill/>
                    <a:ln>
                      <a:noFill/>
                    </a:ln>
                  </pic:spPr>
                </pic:pic>
              </a:graphicData>
            </a:graphic>
          </wp:inline>
        </w:drawing>
      </w:r>
    </w:p>
    <w:p w:rsidR="00A556E2" w:rsidRDefault="00540847" w:rsidP="00B648FE">
      <w:pPr>
        <w:jc w:val="both"/>
        <w:rPr>
          <w:rFonts w:cs="Arial"/>
          <w:sz w:val="24"/>
          <w:szCs w:val="24"/>
        </w:rPr>
      </w:pPr>
      <w:r>
        <w:rPr>
          <w:rFonts w:cs="Arial"/>
          <w:sz w:val="24"/>
          <w:szCs w:val="24"/>
        </w:rPr>
        <w:t xml:space="preserve">Plot 4: Discharge traces for stations 421907 Macquarie River @ </w:t>
      </w:r>
      <w:proofErr w:type="spellStart"/>
      <w:r>
        <w:rPr>
          <w:rFonts w:cs="Arial"/>
          <w:sz w:val="24"/>
          <w:szCs w:val="24"/>
        </w:rPr>
        <w:t>Brewon</w:t>
      </w:r>
      <w:proofErr w:type="spellEnd"/>
      <w:r>
        <w:rPr>
          <w:rFonts w:cs="Arial"/>
          <w:sz w:val="24"/>
          <w:szCs w:val="24"/>
        </w:rPr>
        <w:t xml:space="preserve"> Bridge and the upstream station 421012 Macquarie River @ Carinda.</w:t>
      </w:r>
    </w:p>
    <w:p w:rsidR="00A55D27" w:rsidRPr="0064617B" w:rsidRDefault="00A55D27" w:rsidP="00A55D27">
      <w:pPr>
        <w:jc w:val="both"/>
        <w:rPr>
          <w:rFonts w:cs="Arial"/>
          <w:sz w:val="24"/>
          <w:szCs w:val="24"/>
        </w:rPr>
      </w:pPr>
      <w:r>
        <w:rPr>
          <w:rFonts w:cs="Arial"/>
          <w:sz w:val="24"/>
          <w:szCs w:val="24"/>
        </w:rPr>
        <w:t xml:space="preserve">The discharge data for sites 421012 Macquarie River @ Carinda and 421907 Macquarie River @ </w:t>
      </w:r>
      <w:proofErr w:type="spellStart"/>
      <w:r>
        <w:rPr>
          <w:rFonts w:cs="Arial"/>
          <w:sz w:val="24"/>
          <w:szCs w:val="24"/>
        </w:rPr>
        <w:t>Brewon</w:t>
      </w:r>
      <w:proofErr w:type="spellEnd"/>
      <w:r>
        <w:rPr>
          <w:rFonts w:cs="Arial"/>
          <w:sz w:val="24"/>
          <w:szCs w:val="24"/>
        </w:rPr>
        <w:t xml:space="preserve"> Bridge (Plot </w:t>
      </w:r>
      <w:r w:rsidR="00540847">
        <w:rPr>
          <w:rFonts w:cs="Arial"/>
          <w:sz w:val="24"/>
          <w:szCs w:val="24"/>
        </w:rPr>
        <w:t>4</w:t>
      </w:r>
      <w:r>
        <w:rPr>
          <w:rFonts w:cs="Arial"/>
          <w:sz w:val="24"/>
          <w:szCs w:val="24"/>
        </w:rPr>
        <w:t xml:space="preserve">) indicates that there was </w:t>
      </w:r>
      <w:r w:rsidR="00ED4387">
        <w:rPr>
          <w:rFonts w:cs="Arial"/>
          <w:sz w:val="24"/>
          <w:szCs w:val="24"/>
        </w:rPr>
        <w:t>pumping activity upstream of 421907, affecting flows at the monitoring point during May.</w:t>
      </w:r>
      <w:r>
        <w:rPr>
          <w:rFonts w:cs="Arial"/>
          <w:sz w:val="24"/>
          <w:szCs w:val="24"/>
        </w:rPr>
        <w:t xml:space="preserve"> Significant differences in discharge rates of up to 70ML/d were recorded between sites 421012 and 421907 during this time. </w:t>
      </w:r>
      <w:r w:rsidR="006D525A">
        <w:rPr>
          <w:rFonts w:cs="Arial"/>
          <w:sz w:val="24"/>
          <w:szCs w:val="24"/>
        </w:rPr>
        <w:t>It is not possible to determine the effect this has had on water depth throughout this section of the Macquarie River.</w:t>
      </w:r>
    </w:p>
    <w:p w:rsidR="00A55D27" w:rsidRDefault="00A55D27" w:rsidP="00A55D27">
      <w:pPr>
        <w:jc w:val="both"/>
        <w:rPr>
          <w:rFonts w:cs="Arial"/>
          <w:sz w:val="24"/>
          <w:szCs w:val="24"/>
        </w:rPr>
      </w:pPr>
      <w:r>
        <w:rPr>
          <w:rFonts w:cs="Arial"/>
          <w:sz w:val="24"/>
          <w:szCs w:val="24"/>
        </w:rPr>
        <w:t xml:space="preserve">The discharge plots for sites 422026 Barwon River @ </w:t>
      </w:r>
      <w:proofErr w:type="spellStart"/>
      <w:r>
        <w:rPr>
          <w:rFonts w:cs="Arial"/>
          <w:sz w:val="24"/>
          <w:szCs w:val="24"/>
        </w:rPr>
        <w:t>Boorooma</w:t>
      </w:r>
      <w:proofErr w:type="spellEnd"/>
      <w:r>
        <w:rPr>
          <w:rFonts w:cs="Arial"/>
          <w:sz w:val="24"/>
          <w:szCs w:val="24"/>
        </w:rPr>
        <w:t xml:space="preserve"> and 422027 Barwon River @ </w:t>
      </w:r>
      <w:proofErr w:type="spellStart"/>
      <w:r>
        <w:rPr>
          <w:rFonts w:cs="Arial"/>
          <w:sz w:val="24"/>
          <w:szCs w:val="24"/>
        </w:rPr>
        <w:t>Geera</w:t>
      </w:r>
      <w:proofErr w:type="spellEnd"/>
      <w:r>
        <w:rPr>
          <w:rFonts w:cs="Arial"/>
          <w:sz w:val="24"/>
          <w:szCs w:val="24"/>
        </w:rPr>
        <w:t xml:space="preserve"> (Plot </w:t>
      </w:r>
      <w:r w:rsidR="006D525A">
        <w:rPr>
          <w:rFonts w:cs="Arial"/>
          <w:sz w:val="24"/>
          <w:szCs w:val="24"/>
        </w:rPr>
        <w:t>5</w:t>
      </w:r>
      <w:r>
        <w:rPr>
          <w:rFonts w:cs="Arial"/>
          <w:sz w:val="24"/>
          <w:szCs w:val="24"/>
        </w:rPr>
        <w:t xml:space="preserve"> and </w:t>
      </w:r>
      <w:r w:rsidR="006D525A">
        <w:rPr>
          <w:rFonts w:cs="Arial"/>
          <w:sz w:val="24"/>
          <w:szCs w:val="24"/>
        </w:rPr>
        <w:t>6</w:t>
      </w:r>
      <w:r>
        <w:rPr>
          <w:rFonts w:cs="Arial"/>
          <w:sz w:val="24"/>
          <w:szCs w:val="24"/>
        </w:rPr>
        <w:t>) show there is an increase in flow downstream of the Macquarie River confluence at site 422027 during May and into June. This would indicate that the environmental flow in the Macquarie River reached the Barwon River in May during the recession of a significant flow event i</w:t>
      </w:r>
      <w:r w:rsidR="006D525A">
        <w:rPr>
          <w:rFonts w:cs="Arial"/>
          <w:sz w:val="24"/>
          <w:szCs w:val="24"/>
        </w:rPr>
        <w:t>n the Barwon River during April.</w:t>
      </w:r>
      <w:r>
        <w:rPr>
          <w:rFonts w:cs="Arial"/>
          <w:sz w:val="24"/>
          <w:szCs w:val="24"/>
        </w:rPr>
        <w:t xml:space="preserve"> There doesn’t appear to be any backwater effects evident on any of the level data recorded on the Macquarie River sites during the environmental flow in May.</w:t>
      </w:r>
    </w:p>
    <w:p w:rsidR="008A524A" w:rsidRDefault="00A556E2" w:rsidP="00A556E2">
      <w:r>
        <w:rPr>
          <w:rFonts w:cs="Arial"/>
          <w:sz w:val="24"/>
          <w:szCs w:val="24"/>
        </w:rPr>
        <w:br w:type="page"/>
      </w:r>
      <w:r w:rsidR="006D525A" w:rsidRPr="000F323A">
        <w:rPr>
          <w:noProof/>
          <w:lang w:eastAsia="en-AU"/>
        </w:rPr>
        <w:drawing>
          <wp:anchor distT="0" distB="0" distL="114300" distR="114300" simplePos="0" relativeHeight="251698176" behindDoc="0" locked="0" layoutInCell="1" allowOverlap="1" wp14:anchorId="2C70D81E" wp14:editId="001FC7E6">
            <wp:simplePos x="0" y="0"/>
            <wp:positionH relativeFrom="margin">
              <wp:align>center</wp:align>
            </wp:positionH>
            <wp:positionV relativeFrom="paragraph">
              <wp:posOffset>-498475</wp:posOffset>
            </wp:positionV>
            <wp:extent cx="5810250" cy="3924300"/>
            <wp:effectExtent l="0" t="0" r="0" b="0"/>
            <wp:wrapNone/>
            <wp:docPr id="14" name="Picture 14" descr="C:\Users\Bernard.Finch\Desktop\421907_422026_422027_level t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nard.Finch\Desktop\421907_422026_422027_level tra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24A">
        <w:t xml:space="preserve">         </w:t>
      </w:r>
    </w:p>
    <w:p w:rsidR="008A524A" w:rsidRDefault="008A524A" w:rsidP="001E6861">
      <w:pPr>
        <w:jc w:val="both"/>
      </w:pPr>
    </w:p>
    <w:p w:rsidR="008A524A" w:rsidRDefault="008A524A" w:rsidP="001E6861">
      <w:pPr>
        <w:jc w:val="both"/>
      </w:pPr>
    </w:p>
    <w:p w:rsidR="008A524A" w:rsidRDefault="008A524A" w:rsidP="001E6861">
      <w:pPr>
        <w:jc w:val="both"/>
      </w:pPr>
    </w:p>
    <w:p w:rsidR="008A524A" w:rsidRDefault="008A524A" w:rsidP="001E6861">
      <w:pPr>
        <w:jc w:val="both"/>
      </w:pPr>
    </w:p>
    <w:p w:rsidR="006D525A" w:rsidRDefault="006D525A" w:rsidP="001E6861">
      <w:pPr>
        <w:jc w:val="both"/>
      </w:pPr>
    </w:p>
    <w:p w:rsidR="006D525A" w:rsidRDefault="006D525A" w:rsidP="001E6861">
      <w:pPr>
        <w:jc w:val="both"/>
      </w:pPr>
    </w:p>
    <w:p w:rsidR="006D525A" w:rsidRDefault="006D525A" w:rsidP="001E6861">
      <w:pPr>
        <w:jc w:val="both"/>
      </w:pPr>
    </w:p>
    <w:p w:rsidR="006D525A" w:rsidRDefault="006D525A" w:rsidP="001E6861">
      <w:pPr>
        <w:jc w:val="both"/>
      </w:pPr>
    </w:p>
    <w:p w:rsidR="006D525A" w:rsidRDefault="006D525A" w:rsidP="001E6861">
      <w:pPr>
        <w:jc w:val="both"/>
      </w:pPr>
    </w:p>
    <w:p w:rsidR="006D525A" w:rsidRDefault="006D525A" w:rsidP="001E6861">
      <w:pPr>
        <w:jc w:val="both"/>
      </w:pPr>
    </w:p>
    <w:p w:rsidR="00FE3340" w:rsidRDefault="006D525A">
      <w:bookmarkStart w:id="10" w:name="_Toc495305017"/>
      <w:r w:rsidRPr="000F323A">
        <w:rPr>
          <w:noProof/>
          <w:lang w:eastAsia="en-AU"/>
        </w:rPr>
        <w:drawing>
          <wp:anchor distT="0" distB="0" distL="114300" distR="114300" simplePos="0" relativeHeight="251696128" behindDoc="0" locked="0" layoutInCell="1" allowOverlap="1" wp14:anchorId="0D391695" wp14:editId="62241C4E">
            <wp:simplePos x="0" y="0"/>
            <wp:positionH relativeFrom="margin">
              <wp:align>center</wp:align>
            </wp:positionH>
            <wp:positionV relativeFrom="paragraph">
              <wp:posOffset>377825</wp:posOffset>
            </wp:positionV>
            <wp:extent cx="5886450" cy="3800475"/>
            <wp:effectExtent l="0" t="0" r="0" b="9525"/>
            <wp:wrapNone/>
            <wp:docPr id="13" name="Picture 13" descr="C:\Users\Bernard.Finch\Desktop\421907_422026_422027_discharge t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nard.Finch\Desktop\421907_422026_422027_discharge trac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Plot </w:t>
      </w:r>
      <w:r w:rsidR="009228E0">
        <w:t>5: Level traces for stations 421907 on the Macquarie River and stations 422026 and 422027 on the Barwon River</w:t>
      </w:r>
    </w:p>
    <w:p w:rsidR="006D525A" w:rsidRPr="009228E0" w:rsidRDefault="006D525A">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p>
    <w:p w:rsidR="009228E0" w:rsidRDefault="009228E0">
      <w:pPr>
        <w:rPr>
          <w:rFonts w:ascii="Avenir" w:eastAsiaTheme="majorEastAsia" w:hAnsi="Avenir" w:cstheme="majorBidi"/>
          <w:bCs/>
        </w:rPr>
      </w:pPr>
    </w:p>
    <w:p w:rsidR="009228E0" w:rsidRPr="009228E0" w:rsidRDefault="009228E0">
      <w:pPr>
        <w:rPr>
          <w:rFonts w:ascii="Avenir" w:eastAsiaTheme="majorEastAsia" w:hAnsi="Avenir" w:cstheme="majorBidi"/>
          <w:bCs/>
        </w:rPr>
      </w:pPr>
      <w:r>
        <w:rPr>
          <w:rFonts w:ascii="Avenir" w:eastAsiaTheme="majorEastAsia" w:hAnsi="Avenir" w:cstheme="majorBidi"/>
          <w:bCs/>
        </w:rPr>
        <w:t>Plot 6: Discharge</w:t>
      </w:r>
      <w:r>
        <w:t xml:space="preserve"> traces for stations 421907 on the Macquarie River and stations 422026 and 422027 on the Barwon River</w:t>
      </w:r>
    </w:p>
    <w:p w:rsidR="00E83720" w:rsidRDefault="00A55D27" w:rsidP="00842DF2">
      <w:pPr>
        <w:pStyle w:val="Heading1"/>
        <w:rPr>
          <w:rFonts w:ascii="Arial" w:hAnsi="Arial" w:cs="Arial"/>
          <w:b w:val="0"/>
          <w:color w:val="000000" w:themeColor="text1"/>
          <w:sz w:val="24"/>
          <w:szCs w:val="24"/>
        </w:rPr>
      </w:pPr>
      <w:bookmarkStart w:id="11" w:name="_Toc504477978"/>
      <w:r w:rsidRPr="00BC58D8">
        <w:rPr>
          <w:rFonts w:ascii="Arial" w:hAnsi="Arial" w:cs="Arial"/>
          <w:noProof/>
          <w:color w:val="000000" w:themeColor="text1"/>
          <w:sz w:val="24"/>
          <w:szCs w:val="24"/>
          <w:lang w:eastAsia="en-AU"/>
        </w:rPr>
        <w:drawing>
          <wp:anchor distT="0" distB="0" distL="114300" distR="114300" simplePos="0" relativeHeight="251721728" behindDoc="0" locked="0" layoutInCell="1" allowOverlap="1">
            <wp:simplePos x="0" y="0"/>
            <wp:positionH relativeFrom="margin">
              <wp:align>left</wp:align>
            </wp:positionH>
            <wp:positionV relativeFrom="paragraph">
              <wp:posOffset>0</wp:posOffset>
            </wp:positionV>
            <wp:extent cx="5915025" cy="4038600"/>
            <wp:effectExtent l="0" t="0" r="9525" b="0"/>
            <wp:wrapSquare wrapText="bothSides"/>
            <wp:docPr id="2" name="Picture 2" descr="C:\Users\Bernard.Finch\Desktop\Hydrometric\Dubbo Files\OEH Lower Macquarie site\Total flow 421907_422026_42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Finch\Desktop\Hydrometric\Dubbo Files\OEH Lower Macquarie site\Total flow 421907_422026_4220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720">
        <w:rPr>
          <w:rFonts w:ascii="Arial" w:hAnsi="Arial" w:cs="Arial"/>
          <w:b w:val="0"/>
          <w:color w:val="000000" w:themeColor="text1"/>
          <w:sz w:val="24"/>
          <w:szCs w:val="24"/>
        </w:rPr>
        <w:t xml:space="preserve">Plot 7: Cumulative Discharge </w:t>
      </w:r>
      <w:r w:rsidR="00E83720" w:rsidRPr="00E83720">
        <w:rPr>
          <w:b w:val="0"/>
          <w:sz w:val="22"/>
          <w:szCs w:val="22"/>
        </w:rPr>
        <w:t>for stations 421907 on the Macquarie River and stations 422026 and 422027 on the Barwon River</w:t>
      </w:r>
      <w:bookmarkEnd w:id="11"/>
    </w:p>
    <w:p w:rsidR="00A55D27" w:rsidRDefault="00A55D27" w:rsidP="00842DF2">
      <w:pPr>
        <w:pStyle w:val="Heading1"/>
        <w:rPr>
          <w:rFonts w:ascii="Arial" w:hAnsi="Arial" w:cs="Arial"/>
          <w:b w:val="0"/>
          <w:color w:val="000000" w:themeColor="text1"/>
          <w:sz w:val="24"/>
          <w:szCs w:val="24"/>
        </w:rPr>
      </w:pPr>
      <w:bookmarkStart w:id="12" w:name="_Toc504477979"/>
      <w:r>
        <w:rPr>
          <w:rFonts w:ascii="Arial" w:hAnsi="Arial" w:cs="Arial"/>
          <w:b w:val="0"/>
          <w:color w:val="000000" w:themeColor="text1"/>
          <w:sz w:val="24"/>
          <w:szCs w:val="24"/>
        </w:rPr>
        <w:t xml:space="preserve">The cumulative discharge totals for site 421907 (Plot 7) indicates there was </w:t>
      </w:r>
      <w:r w:rsidR="00ED4387">
        <w:rPr>
          <w:rFonts w:ascii="Arial" w:hAnsi="Arial" w:cs="Arial"/>
          <w:b w:val="0"/>
          <w:color w:val="000000" w:themeColor="text1"/>
          <w:sz w:val="24"/>
          <w:szCs w:val="24"/>
        </w:rPr>
        <w:t>an approximate total of</w:t>
      </w:r>
      <w:r>
        <w:rPr>
          <w:rFonts w:ascii="Arial" w:hAnsi="Arial" w:cs="Arial"/>
          <w:b w:val="0"/>
          <w:color w:val="000000" w:themeColor="text1"/>
          <w:sz w:val="24"/>
          <w:szCs w:val="24"/>
        </w:rPr>
        <w:t xml:space="preserve"> 4000ML of environmental water flowing in the lower Macquarie River during May and June. This correlates </w:t>
      </w:r>
      <w:r w:rsidR="00ED4387">
        <w:rPr>
          <w:rFonts w:ascii="Arial" w:hAnsi="Arial" w:cs="Arial"/>
          <w:b w:val="0"/>
          <w:color w:val="000000" w:themeColor="text1"/>
          <w:sz w:val="24"/>
          <w:szCs w:val="24"/>
        </w:rPr>
        <w:t xml:space="preserve">reasonably </w:t>
      </w:r>
      <w:r>
        <w:rPr>
          <w:rFonts w:ascii="Arial" w:hAnsi="Arial" w:cs="Arial"/>
          <w:b w:val="0"/>
          <w:color w:val="000000" w:themeColor="text1"/>
          <w:sz w:val="24"/>
          <w:szCs w:val="24"/>
        </w:rPr>
        <w:t>well with the cumulative discharge totals for site 422026 and 422027 which indicate approximately 45000ML and 49000ML at these sites on the Barwon River, respectively.</w:t>
      </w:r>
      <w:bookmarkEnd w:id="12"/>
    </w:p>
    <w:p w:rsidR="00574A5C" w:rsidRPr="00574A5C" w:rsidRDefault="00574A5C" w:rsidP="00574A5C"/>
    <w:p w:rsidR="00ED4387" w:rsidRDefault="00ED4387" w:rsidP="00ED4387">
      <w:pPr>
        <w:rPr>
          <w:sz w:val="24"/>
          <w:szCs w:val="24"/>
        </w:rPr>
      </w:pPr>
      <w:r w:rsidRPr="00574A5C">
        <w:rPr>
          <w:sz w:val="24"/>
          <w:szCs w:val="24"/>
        </w:rPr>
        <w:t>It should be noted that care should be taken when using this data as the approximate total of 4000ML from the Macquarie River is within the range of potential measurement error for the sites on the Barwon River. There may be other factors such as natural system losses</w:t>
      </w:r>
      <w:r w:rsidR="00DC5EC7" w:rsidRPr="00574A5C">
        <w:rPr>
          <w:sz w:val="24"/>
          <w:szCs w:val="24"/>
        </w:rPr>
        <w:t>,</w:t>
      </w:r>
      <w:r w:rsidRPr="00574A5C">
        <w:rPr>
          <w:sz w:val="24"/>
          <w:szCs w:val="24"/>
        </w:rPr>
        <w:t xml:space="preserve"> pumping activity on the Barwon</w:t>
      </w:r>
      <w:r w:rsidR="00DC5EC7" w:rsidRPr="00574A5C">
        <w:rPr>
          <w:sz w:val="24"/>
          <w:szCs w:val="24"/>
        </w:rPr>
        <w:t xml:space="preserve"> and instrument accuracy tolerances</w:t>
      </w:r>
      <w:r w:rsidRPr="00574A5C">
        <w:rPr>
          <w:sz w:val="24"/>
          <w:szCs w:val="24"/>
        </w:rPr>
        <w:t xml:space="preserve"> which are not accounted for in this evaluation.</w:t>
      </w:r>
    </w:p>
    <w:p w:rsidR="00574A5C" w:rsidRPr="00574A5C" w:rsidRDefault="00574A5C" w:rsidP="00ED4387">
      <w:pPr>
        <w:rPr>
          <w:sz w:val="24"/>
          <w:szCs w:val="24"/>
        </w:rPr>
      </w:pPr>
    </w:p>
    <w:p w:rsidR="008A524A" w:rsidRDefault="008A524A" w:rsidP="00B648FE">
      <w:pPr>
        <w:pStyle w:val="Heading1"/>
      </w:pPr>
      <w:bookmarkStart w:id="13" w:name="_Toc504477980"/>
      <w:r w:rsidRPr="00B648FE">
        <w:t xml:space="preserve">Discussion of </w:t>
      </w:r>
      <w:bookmarkEnd w:id="10"/>
      <w:r w:rsidR="00B648FE" w:rsidRPr="00B648FE">
        <w:t>key findings</w:t>
      </w:r>
      <w:bookmarkEnd w:id="13"/>
    </w:p>
    <w:p w:rsidR="00B648FE" w:rsidRPr="00B648FE" w:rsidRDefault="00B648FE" w:rsidP="00B648FE">
      <w:r w:rsidRPr="001E6861">
        <w:rPr>
          <w:noProof/>
          <w:lang w:eastAsia="en-AU"/>
        </w:rPr>
        <mc:AlternateContent>
          <mc:Choice Requires="wps">
            <w:drawing>
              <wp:anchor distT="0" distB="0" distL="114300" distR="114300" simplePos="0" relativeHeight="251695104" behindDoc="0" locked="0" layoutInCell="1" allowOverlap="1" wp14:anchorId="30DE71D5" wp14:editId="60C1C52E">
                <wp:simplePos x="0" y="0"/>
                <wp:positionH relativeFrom="page">
                  <wp:align>right</wp:align>
                </wp:positionH>
                <wp:positionV relativeFrom="paragraph">
                  <wp:posOffset>69215</wp:posOffset>
                </wp:positionV>
                <wp:extent cx="6829425" cy="0"/>
                <wp:effectExtent l="57150" t="38100" r="66675" b="95250"/>
                <wp:wrapNone/>
                <wp:docPr id="31" name="Straight Connector 31"/>
                <wp:cNvGraphicFramePr/>
                <a:graphic xmlns:a="http://schemas.openxmlformats.org/drawingml/2006/main">
                  <a:graphicData uri="http://schemas.microsoft.com/office/word/2010/wordprocessingShape">
                    <wps:wsp>
                      <wps:cNvCnPr/>
                      <wps:spPr>
                        <a:xfrm>
                          <a:off x="0" y="0"/>
                          <a:ext cx="68294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E7418A4" id="Straight Connector 31" o:spid="_x0000_s1026" style="position:absolute;z-index:251695104;visibility:visible;mso-wrap-style:square;mso-wrap-distance-left:9pt;mso-wrap-distance-top:0;mso-wrap-distance-right:9pt;mso-wrap-distance-bottom:0;mso-position-horizontal:right;mso-position-horizontal-relative:page;mso-position-vertical:absolute;mso-position-vertical-relative:text" from="486.55pt,5.45pt" to="10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" strokecolor="#4f81bd [3204]" strokeweight="3pt">
                <v:shadow on="t" color="black" opacity="22937f" origin=",.5" offset="0,.63889mm"/>
                <w10:wrap anchorx="page"/>
              </v:line>
            </w:pict>
          </mc:Fallback>
        </mc:AlternateConten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 xml:space="preserve">Site 421907 was considered the most suitable location for a temporary site installation and reliable </w:t>
      </w:r>
      <w:proofErr w:type="spellStart"/>
      <w:r>
        <w:rPr>
          <w:rFonts w:ascii="Arial" w:hAnsi="Arial" w:cs="Arial"/>
          <w:sz w:val="24"/>
          <w:szCs w:val="24"/>
        </w:rPr>
        <w:t>gaugings</w:t>
      </w:r>
      <w:proofErr w:type="spellEnd"/>
      <w:r>
        <w:rPr>
          <w:rFonts w:ascii="Arial" w:hAnsi="Arial" w:cs="Arial"/>
          <w:sz w:val="24"/>
          <w:szCs w:val="24"/>
        </w:rPr>
        <w:t xml:space="preserve"> at a range of levels.</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 xml:space="preserve">Site </w:t>
      </w:r>
      <w:r w:rsidRPr="00696553">
        <w:rPr>
          <w:rFonts w:ascii="Arial" w:hAnsi="Arial" w:cs="Arial"/>
          <w:sz w:val="24"/>
          <w:szCs w:val="24"/>
        </w:rPr>
        <w:t>characteristics</w:t>
      </w:r>
      <w:r>
        <w:rPr>
          <w:rFonts w:ascii="Arial" w:hAnsi="Arial" w:cs="Arial"/>
          <w:sz w:val="24"/>
          <w:szCs w:val="24"/>
        </w:rPr>
        <w:t xml:space="preserve"> are</w:t>
      </w:r>
      <w:r w:rsidRPr="00696553">
        <w:rPr>
          <w:rFonts w:ascii="Arial" w:hAnsi="Arial" w:cs="Arial"/>
          <w:sz w:val="24"/>
          <w:szCs w:val="24"/>
        </w:rPr>
        <w:t xml:space="preserve"> a broad gravel causeway in a shallow </w:t>
      </w:r>
      <w:r>
        <w:rPr>
          <w:rFonts w:ascii="Arial" w:hAnsi="Arial" w:cs="Arial"/>
          <w:sz w:val="24"/>
          <w:szCs w:val="24"/>
        </w:rPr>
        <w:t>U</w:t>
      </w:r>
      <w:r w:rsidRPr="00696553">
        <w:rPr>
          <w:rFonts w:ascii="Arial" w:hAnsi="Arial" w:cs="Arial"/>
          <w:sz w:val="24"/>
          <w:szCs w:val="24"/>
        </w:rPr>
        <w:t xml:space="preserve"> shaped channel forming a broad shallow gauge pool</w:t>
      </w:r>
      <w:r>
        <w:rPr>
          <w:rFonts w:ascii="Arial" w:hAnsi="Arial" w:cs="Arial"/>
          <w:sz w:val="24"/>
          <w:szCs w:val="24"/>
        </w:rPr>
        <w:t>.</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 xml:space="preserve">Numerous </w:t>
      </w:r>
      <w:proofErr w:type="spellStart"/>
      <w:r>
        <w:rPr>
          <w:rFonts w:ascii="Arial" w:hAnsi="Arial" w:cs="Arial"/>
          <w:sz w:val="24"/>
          <w:szCs w:val="24"/>
        </w:rPr>
        <w:t>gaugings</w:t>
      </w:r>
      <w:proofErr w:type="spellEnd"/>
      <w:r>
        <w:rPr>
          <w:rFonts w:ascii="Arial" w:hAnsi="Arial" w:cs="Arial"/>
          <w:sz w:val="24"/>
          <w:szCs w:val="24"/>
        </w:rPr>
        <w:t xml:space="preserve"> were conducted at site 421907 during the monitoring period </w:t>
      </w:r>
    </w:p>
    <w:p w:rsidR="00A55D27" w:rsidRPr="007E3F8D"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Monitoring staff were unavailable to gauge the peak of the environmental flow event.</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The peak of the flow event was of a relatively short duration and there were significant water losses during this time.</w:t>
      </w:r>
    </w:p>
    <w:p w:rsidR="00E83720" w:rsidRDefault="00E83720" w:rsidP="00A55D27">
      <w:pPr>
        <w:pStyle w:val="ListParagraph"/>
        <w:numPr>
          <w:ilvl w:val="0"/>
          <w:numId w:val="1"/>
        </w:numPr>
        <w:jc w:val="both"/>
        <w:rPr>
          <w:rFonts w:ascii="Arial" w:hAnsi="Arial" w:cs="Arial"/>
          <w:sz w:val="24"/>
          <w:szCs w:val="24"/>
        </w:rPr>
      </w:pPr>
      <w:r>
        <w:rPr>
          <w:rFonts w:ascii="Arial" w:hAnsi="Arial" w:cs="Arial"/>
          <w:sz w:val="24"/>
          <w:szCs w:val="24"/>
        </w:rPr>
        <w:t>Depth/Level measurements relate to the specific locations of each gauging station and is not possible to estimate water levels throughout this stretch of the Macquarie River in other locations.</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 xml:space="preserve">The rating table for site 421907 was developed using a combination of theoretical methods, peak correlation with upstream sites and adjustments from the results of </w:t>
      </w:r>
      <w:proofErr w:type="spellStart"/>
      <w:r>
        <w:rPr>
          <w:rFonts w:ascii="Arial" w:hAnsi="Arial" w:cs="Arial"/>
          <w:sz w:val="24"/>
          <w:szCs w:val="24"/>
        </w:rPr>
        <w:t>gaugings</w:t>
      </w:r>
      <w:proofErr w:type="spellEnd"/>
      <w:r>
        <w:rPr>
          <w:rFonts w:ascii="Arial" w:hAnsi="Arial" w:cs="Arial"/>
          <w:sz w:val="24"/>
          <w:szCs w:val="24"/>
        </w:rPr>
        <w:t xml:space="preserve"> during the monitoring period.</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The environmental flow from the Macquarie River was evident as approximately 4000ML inflow to the Barwon River during May and June, as per the aims of the monitoring project.</w:t>
      </w:r>
    </w:p>
    <w:p w:rsidR="00A55D27" w:rsidRDefault="00A55D27" w:rsidP="00A55D27">
      <w:pPr>
        <w:pStyle w:val="ListParagraph"/>
        <w:numPr>
          <w:ilvl w:val="0"/>
          <w:numId w:val="1"/>
        </w:numPr>
        <w:jc w:val="both"/>
        <w:rPr>
          <w:rFonts w:ascii="Arial" w:hAnsi="Arial" w:cs="Arial"/>
          <w:sz w:val="24"/>
          <w:szCs w:val="24"/>
        </w:rPr>
      </w:pPr>
      <w:r>
        <w:rPr>
          <w:rFonts w:ascii="Arial" w:hAnsi="Arial" w:cs="Arial"/>
          <w:sz w:val="24"/>
          <w:szCs w:val="24"/>
        </w:rPr>
        <w:t>Long term monitoring of flow in this section of the Macquarie River would result in a more accurate rating table over time and give a greater understanding of the amount of environmental water delivered through this system.</w:t>
      </w:r>
    </w:p>
    <w:p w:rsidR="00ED4387" w:rsidRDefault="00ED4387" w:rsidP="00A55D27">
      <w:pPr>
        <w:pStyle w:val="ListParagraph"/>
        <w:numPr>
          <w:ilvl w:val="0"/>
          <w:numId w:val="1"/>
        </w:numPr>
        <w:jc w:val="both"/>
        <w:rPr>
          <w:rFonts w:ascii="Arial" w:hAnsi="Arial" w:cs="Arial"/>
          <w:sz w:val="24"/>
          <w:szCs w:val="24"/>
        </w:rPr>
      </w:pPr>
      <w:r>
        <w:rPr>
          <w:rFonts w:ascii="Arial" w:hAnsi="Arial" w:cs="Arial"/>
          <w:sz w:val="24"/>
          <w:szCs w:val="24"/>
        </w:rPr>
        <w:t xml:space="preserve">All data should be used </w:t>
      </w:r>
      <w:r w:rsidR="00DC5EC7">
        <w:rPr>
          <w:rFonts w:ascii="Arial" w:hAnsi="Arial" w:cs="Arial"/>
          <w:sz w:val="24"/>
          <w:szCs w:val="24"/>
        </w:rPr>
        <w:t>with a degree of caution as there are potential error sources associated with the measurement of water level and discharge in natural systems.</w:t>
      </w:r>
    </w:p>
    <w:p w:rsidR="005E4E2B" w:rsidRPr="00696553" w:rsidRDefault="005E4E2B" w:rsidP="00A55D27">
      <w:pPr>
        <w:jc w:val="both"/>
        <w:rPr>
          <w:rFonts w:cs="Arial"/>
          <w:sz w:val="24"/>
          <w:szCs w:val="24"/>
        </w:rPr>
      </w:pPr>
    </w:p>
    <w:sectPr w:rsidR="005E4E2B" w:rsidRPr="00696553" w:rsidSect="004106CE">
      <w:headerReference w:type="even" r:id="rId23"/>
      <w:headerReference w:type="default" r:id="rId24"/>
      <w:footerReference w:type="even" r:id="rId25"/>
      <w:footerReference w:type="default" r:id="rId26"/>
      <w:headerReference w:type="first" r:id="rId27"/>
      <w:footerReference w:type="first" r:id="rId28"/>
      <w:pgSz w:w="11906" w:h="16838"/>
      <w:pgMar w:top="1955" w:right="1134" w:bottom="28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149" w:rsidRDefault="00490149" w:rsidP="004106CE">
      <w:pPr>
        <w:spacing w:after="0" w:line="240" w:lineRule="auto"/>
      </w:pPr>
      <w:r>
        <w:separator/>
      </w:r>
    </w:p>
  </w:endnote>
  <w:endnote w:type="continuationSeparator" w:id="0">
    <w:p w:rsidR="00490149" w:rsidRDefault="00490149" w:rsidP="0041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96" w:rsidRDefault="001609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5F" w:rsidRPr="004106CE" w:rsidRDefault="0078615F" w:rsidP="004106CE">
    <w:pPr>
      <w:rPr>
        <w:rFonts w:ascii="Avenir" w:hAnsi="Avenir"/>
        <w:color w:val="7F7F7F" w:themeColor="text1" w:themeTint="80"/>
        <w:sz w:val="20"/>
        <w:szCs w:val="20"/>
        <w:lang w:val="en-US"/>
      </w:rPr>
    </w:pPr>
  </w:p>
  <w:p w:rsidR="0078615F" w:rsidRPr="004106CE" w:rsidRDefault="0078615F" w:rsidP="0029468C">
    <w:pPr>
      <w:ind w:left="426"/>
      <w:rPr>
        <w:rFonts w:ascii="Avenir" w:hAnsi="Avenir"/>
        <w:color w:val="7F7F7F" w:themeColor="text1" w:themeTint="80"/>
        <w:sz w:val="20"/>
        <w:szCs w:val="20"/>
        <w:lang w:val="en-US"/>
      </w:rPr>
    </w:pPr>
    <w:r w:rsidRPr="004106CE">
      <w:rPr>
        <w:rFonts w:ascii="Avenir" w:hAnsi="Avenir"/>
        <w:color w:val="7F7F7F" w:themeColor="text1" w:themeTint="80"/>
        <w:sz w:val="20"/>
        <w:szCs w:val="20"/>
        <w:lang w:val="en-US"/>
      </w:rPr>
      <w:t>Lower Macquarie Catchment Temporary Monitoring Site for Office of Environment and Heritage</w:t>
    </w:r>
    <w:r w:rsidRPr="004106CE">
      <w:rPr>
        <w:rFonts w:ascii="Avenir" w:hAnsi="Avenir"/>
        <w:color w:val="7F7F7F" w:themeColor="text1" w:themeTint="80"/>
        <w:sz w:val="20"/>
        <w:szCs w:val="20"/>
        <w:lang w:val="en-US"/>
      </w:rPr>
      <w:br/>
      <w:t xml:space="preserve">Macquarie River @ </w:t>
    </w:r>
    <w:proofErr w:type="spellStart"/>
    <w:r w:rsidRPr="004106CE">
      <w:rPr>
        <w:rFonts w:ascii="Avenir" w:hAnsi="Avenir"/>
        <w:color w:val="7F7F7F" w:themeColor="text1" w:themeTint="80"/>
        <w:sz w:val="20"/>
        <w:szCs w:val="20"/>
        <w:lang w:val="en-US"/>
      </w:rPr>
      <w:t>Brewon</w:t>
    </w:r>
    <w:proofErr w:type="spellEnd"/>
    <w:r w:rsidRPr="004106CE">
      <w:rPr>
        <w:rFonts w:ascii="Avenir" w:hAnsi="Avenir"/>
        <w:color w:val="7F7F7F" w:themeColor="text1" w:themeTint="80"/>
        <w:sz w:val="20"/>
        <w:szCs w:val="20"/>
        <w:lang w:val="en-US"/>
      </w:rPr>
      <w:t xml:space="preserve"> Bridge, 421907</w:t>
    </w:r>
    <w:r>
      <w:rPr>
        <w:rFonts w:ascii="Avenir" w:hAnsi="Avenir"/>
        <w:color w:val="7F7F7F" w:themeColor="text1" w:themeTint="80"/>
        <w:sz w:val="20"/>
        <w:szCs w:val="20"/>
        <w:lang w:val="en-US"/>
      </w:rPr>
      <w:tab/>
    </w:r>
    <w:r>
      <w:rPr>
        <w:rFonts w:ascii="Avenir" w:hAnsi="Avenir"/>
        <w:color w:val="7F7F7F" w:themeColor="text1" w:themeTint="80"/>
        <w:sz w:val="20"/>
        <w:szCs w:val="20"/>
        <w:lang w:val="en-US"/>
      </w:rPr>
      <w:tab/>
    </w:r>
    <w:r>
      <w:rPr>
        <w:rFonts w:ascii="Avenir" w:hAnsi="Avenir"/>
        <w:color w:val="7F7F7F" w:themeColor="text1" w:themeTint="80"/>
        <w:sz w:val="20"/>
        <w:szCs w:val="20"/>
        <w:lang w:val="en-US"/>
      </w:rPr>
      <w:tab/>
    </w:r>
    <w:r>
      <w:rPr>
        <w:rFonts w:ascii="Avenir" w:hAnsi="Avenir"/>
        <w:color w:val="7F7F7F" w:themeColor="text1" w:themeTint="80"/>
        <w:sz w:val="20"/>
        <w:szCs w:val="20"/>
        <w:lang w:val="en-US"/>
      </w:rPr>
      <w:tab/>
    </w:r>
    <w:r>
      <w:rPr>
        <w:rFonts w:ascii="Avenir" w:hAnsi="Avenir"/>
        <w:color w:val="7F7F7F" w:themeColor="text1" w:themeTint="80"/>
        <w:sz w:val="20"/>
        <w:szCs w:val="20"/>
        <w:lang w:val="en-US"/>
      </w:rPr>
      <w:tab/>
    </w:r>
    <w:r>
      <w:rPr>
        <w:rFonts w:ascii="Avenir" w:hAnsi="Avenir"/>
        <w:color w:val="7F7F7F" w:themeColor="text1" w:themeTint="80"/>
        <w:sz w:val="20"/>
        <w:szCs w:val="20"/>
        <w:lang w:val="en-US"/>
      </w:rPr>
      <w:tab/>
      <w:t xml:space="preserve">  </w:t>
    </w:r>
    <w:r w:rsidRPr="0029468C">
      <w:rPr>
        <w:rFonts w:ascii="Avenir" w:hAnsi="Avenir"/>
        <w:color w:val="7F7F7F" w:themeColor="text1" w:themeTint="80"/>
        <w:sz w:val="20"/>
        <w:szCs w:val="20"/>
        <w:lang w:val="en-US"/>
      </w:rPr>
      <w:t xml:space="preserve">Page </w:t>
    </w:r>
    <w:r w:rsidRPr="0029468C">
      <w:rPr>
        <w:rFonts w:ascii="Avenir" w:hAnsi="Avenir"/>
        <w:b/>
        <w:color w:val="7F7F7F" w:themeColor="text1" w:themeTint="80"/>
        <w:sz w:val="20"/>
        <w:szCs w:val="20"/>
        <w:lang w:val="en-US"/>
      </w:rPr>
      <w:fldChar w:fldCharType="begin"/>
    </w:r>
    <w:r w:rsidRPr="0029468C">
      <w:rPr>
        <w:rFonts w:ascii="Avenir" w:hAnsi="Avenir"/>
        <w:b/>
        <w:color w:val="7F7F7F" w:themeColor="text1" w:themeTint="80"/>
        <w:sz w:val="20"/>
        <w:szCs w:val="20"/>
        <w:lang w:val="en-US"/>
      </w:rPr>
      <w:instrText xml:space="preserve"> PAGE  \* Arabic  \* MERGEFORMAT </w:instrText>
    </w:r>
    <w:r w:rsidRPr="0029468C">
      <w:rPr>
        <w:rFonts w:ascii="Avenir" w:hAnsi="Avenir"/>
        <w:b/>
        <w:color w:val="7F7F7F" w:themeColor="text1" w:themeTint="80"/>
        <w:sz w:val="20"/>
        <w:szCs w:val="20"/>
        <w:lang w:val="en-US"/>
      </w:rPr>
      <w:fldChar w:fldCharType="separate"/>
    </w:r>
    <w:r w:rsidR="00160996">
      <w:rPr>
        <w:rFonts w:ascii="Avenir" w:hAnsi="Avenir"/>
        <w:b/>
        <w:noProof/>
        <w:color w:val="7F7F7F" w:themeColor="text1" w:themeTint="80"/>
        <w:sz w:val="20"/>
        <w:szCs w:val="20"/>
        <w:lang w:val="en-US"/>
      </w:rPr>
      <w:t>14</w:t>
    </w:r>
    <w:r w:rsidRPr="0029468C">
      <w:rPr>
        <w:rFonts w:ascii="Avenir" w:hAnsi="Avenir"/>
        <w:b/>
        <w:color w:val="7F7F7F" w:themeColor="text1" w:themeTint="80"/>
        <w:sz w:val="20"/>
        <w:szCs w:val="20"/>
        <w:lang w:val="en-US"/>
      </w:rPr>
      <w:fldChar w:fldCharType="end"/>
    </w:r>
    <w:r w:rsidRPr="0029468C">
      <w:rPr>
        <w:rFonts w:ascii="Avenir" w:hAnsi="Avenir"/>
        <w:color w:val="7F7F7F" w:themeColor="text1" w:themeTint="80"/>
        <w:sz w:val="20"/>
        <w:szCs w:val="20"/>
        <w:lang w:val="en-US"/>
      </w:rPr>
      <w:t xml:space="preserve"> of </w:t>
    </w:r>
    <w:r w:rsidRPr="0029468C">
      <w:rPr>
        <w:rFonts w:ascii="Avenir" w:hAnsi="Avenir"/>
        <w:b/>
        <w:color w:val="7F7F7F" w:themeColor="text1" w:themeTint="80"/>
        <w:sz w:val="20"/>
        <w:szCs w:val="20"/>
        <w:lang w:val="en-US"/>
      </w:rPr>
      <w:fldChar w:fldCharType="begin"/>
    </w:r>
    <w:r w:rsidRPr="0029468C">
      <w:rPr>
        <w:rFonts w:ascii="Avenir" w:hAnsi="Avenir"/>
        <w:b/>
        <w:color w:val="7F7F7F" w:themeColor="text1" w:themeTint="80"/>
        <w:sz w:val="20"/>
        <w:szCs w:val="20"/>
        <w:lang w:val="en-US"/>
      </w:rPr>
      <w:instrText xml:space="preserve"> NUMPAGES  \* Arabic  \* MERGEFORMAT </w:instrText>
    </w:r>
    <w:r w:rsidRPr="0029468C">
      <w:rPr>
        <w:rFonts w:ascii="Avenir" w:hAnsi="Avenir"/>
        <w:b/>
        <w:color w:val="7F7F7F" w:themeColor="text1" w:themeTint="80"/>
        <w:sz w:val="20"/>
        <w:szCs w:val="20"/>
        <w:lang w:val="en-US"/>
      </w:rPr>
      <w:fldChar w:fldCharType="separate"/>
    </w:r>
    <w:r w:rsidR="00160996">
      <w:rPr>
        <w:rFonts w:ascii="Avenir" w:hAnsi="Avenir"/>
        <w:b/>
        <w:noProof/>
        <w:color w:val="7F7F7F" w:themeColor="text1" w:themeTint="80"/>
        <w:sz w:val="20"/>
        <w:szCs w:val="20"/>
        <w:lang w:val="en-US"/>
      </w:rPr>
      <w:t>14</w:t>
    </w:r>
    <w:r w:rsidRPr="0029468C">
      <w:rPr>
        <w:rFonts w:ascii="Avenir" w:hAnsi="Avenir"/>
        <w:b/>
        <w:color w:val="7F7F7F" w:themeColor="text1" w:themeTint="80"/>
        <w:sz w:val="20"/>
        <w:szCs w:val="20"/>
        <w:lang w:val="en-US"/>
      </w:rPr>
      <w:fldChar w:fldCharType="end"/>
    </w:r>
  </w:p>
  <w:p w:rsidR="0078615F" w:rsidRPr="004106CE" w:rsidRDefault="0078615F" w:rsidP="004106CE">
    <w:pPr>
      <w:rPr>
        <w:rFonts w:ascii="Avenir" w:hAnsi="Avenir"/>
        <w:color w:val="7F7F7F" w:themeColor="text1" w:themeTint="80"/>
        <w:sz w:val="20"/>
        <w:szCs w:val="20"/>
        <w:lang w:val="en-US"/>
      </w:rPr>
    </w:pPr>
  </w:p>
  <w:p w:rsidR="0078615F" w:rsidRPr="004106CE" w:rsidRDefault="0078615F">
    <w:pPr>
      <w:pStyle w:val="Footer"/>
      <w:rPr>
        <w:color w:val="7F7F7F" w:themeColor="text1" w:themeTint="8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96" w:rsidRDefault="00160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149" w:rsidRDefault="00490149" w:rsidP="004106CE">
      <w:pPr>
        <w:spacing w:after="0" w:line="240" w:lineRule="auto"/>
      </w:pPr>
      <w:r>
        <w:separator/>
      </w:r>
    </w:p>
  </w:footnote>
  <w:footnote w:type="continuationSeparator" w:id="0">
    <w:p w:rsidR="00490149" w:rsidRDefault="00490149" w:rsidP="00410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96" w:rsidRDefault="001609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15F" w:rsidRDefault="0078615F" w:rsidP="004106CE">
    <w:pPr>
      <w:pStyle w:val="Header"/>
      <w:jc w:val="right"/>
    </w:pPr>
    <w:r>
      <w:rPr>
        <w:noProof/>
        <w:lang w:eastAsia="en-AU"/>
      </w:rPr>
      <w:drawing>
        <wp:anchor distT="0" distB="0" distL="114300" distR="114300" simplePos="0" relativeHeight="251657216" behindDoc="1" locked="0" layoutInCell="1" allowOverlap="1" wp14:anchorId="7A93CC16" wp14:editId="13095E16">
          <wp:simplePos x="0" y="0"/>
          <wp:positionH relativeFrom="column">
            <wp:posOffset>4781550</wp:posOffset>
          </wp:positionH>
          <wp:positionV relativeFrom="paragraph">
            <wp:posOffset>-97155</wp:posOffset>
          </wp:positionV>
          <wp:extent cx="1444625" cy="495300"/>
          <wp:effectExtent l="0" t="0" r="3175" b="0"/>
          <wp:wrapThrough wrapText="bothSides">
            <wp:wrapPolygon edited="0">
              <wp:start x="0" y="0"/>
              <wp:lineTo x="0" y="20769"/>
              <wp:lineTo x="21363" y="20769"/>
              <wp:lineTo x="213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NSW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4625" cy="495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96" w:rsidRDefault="001609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B04FEB"/>
    <w:multiLevelType w:val="hybridMultilevel"/>
    <w:tmpl w:val="47586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9DE"/>
    <w:rsid w:val="000433E3"/>
    <w:rsid w:val="0007195E"/>
    <w:rsid w:val="00160996"/>
    <w:rsid w:val="00173980"/>
    <w:rsid w:val="001903D2"/>
    <w:rsid w:val="001A35B5"/>
    <w:rsid w:val="001A4FAF"/>
    <w:rsid w:val="001A59EA"/>
    <w:rsid w:val="001E6861"/>
    <w:rsid w:val="002147B0"/>
    <w:rsid w:val="00285DC8"/>
    <w:rsid w:val="0029468C"/>
    <w:rsid w:val="002A43E5"/>
    <w:rsid w:val="002C5E69"/>
    <w:rsid w:val="0030104D"/>
    <w:rsid w:val="00311286"/>
    <w:rsid w:val="00346859"/>
    <w:rsid w:val="00364A36"/>
    <w:rsid w:val="00384505"/>
    <w:rsid w:val="003E5467"/>
    <w:rsid w:val="003F681E"/>
    <w:rsid w:val="004106CE"/>
    <w:rsid w:val="00490149"/>
    <w:rsid w:val="0049191B"/>
    <w:rsid w:val="0050416D"/>
    <w:rsid w:val="00512894"/>
    <w:rsid w:val="005131CD"/>
    <w:rsid w:val="00540847"/>
    <w:rsid w:val="0055439D"/>
    <w:rsid w:val="005647A2"/>
    <w:rsid w:val="00574A5C"/>
    <w:rsid w:val="005A4659"/>
    <w:rsid w:val="005D4F40"/>
    <w:rsid w:val="005E4E2B"/>
    <w:rsid w:val="00646BEA"/>
    <w:rsid w:val="00661983"/>
    <w:rsid w:val="006A4DD9"/>
    <w:rsid w:val="006D525A"/>
    <w:rsid w:val="006E1A3E"/>
    <w:rsid w:val="00733745"/>
    <w:rsid w:val="007442BB"/>
    <w:rsid w:val="00760116"/>
    <w:rsid w:val="0076607D"/>
    <w:rsid w:val="0078615F"/>
    <w:rsid w:val="007A4ADF"/>
    <w:rsid w:val="00810CC0"/>
    <w:rsid w:val="00842DF2"/>
    <w:rsid w:val="00860AC0"/>
    <w:rsid w:val="00862283"/>
    <w:rsid w:val="00866BA5"/>
    <w:rsid w:val="008A524A"/>
    <w:rsid w:val="008B4EE2"/>
    <w:rsid w:val="00904D50"/>
    <w:rsid w:val="0090789F"/>
    <w:rsid w:val="009228E0"/>
    <w:rsid w:val="0098422E"/>
    <w:rsid w:val="00991AD6"/>
    <w:rsid w:val="009A27E4"/>
    <w:rsid w:val="009B47CA"/>
    <w:rsid w:val="009F3790"/>
    <w:rsid w:val="00A31AB2"/>
    <w:rsid w:val="00A556E2"/>
    <w:rsid w:val="00A55D27"/>
    <w:rsid w:val="00A655A5"/>
    <w:rsid w:val="00A80703"/>
    <w:rsid w:val="00AF09DE"/>
    <w:rsid w:val="00AF291C"/>
    <w:rsid w:val="00AF6D6E"/>
    <w:rsid w:val="00B43F49"/>
    <w:rsid w:val="00B648FE"/>
    <w:rsid w:val="00B9616C"/>
    <w:rsid w:val="00BE44A7"/>
    <w:rsid w:val="00C3320E"/>
    <w:rsid w:val="00C406FA"/>
    <w:rsid w:val="00C54D32"/>
    <w:rsid w:val="00CD37D8"/>
    <w:rsid w:val="00CE0549"/>
    <w:rsid w:val="00D54A34"/>
    <w:rsid w:val="00DC5EC7"/>
    <w:rsid w:val="00E13573"/>
    <w:rsid w:val="00E456B7"/>
    <w:rsid w:val="00E83720"/>
    <w:rsid w:val="00EA7631"/>
    <w:rsid w:val="00ED4387"/>
    <w:rsid w:val="00EF2CA7"/>
    <w:rsid w:val="00F41904"/>
    <w:rsid w:val="00FD5861"/>
    <w:rsid w:val="00FE33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60D3F9-7EF0-42F0-8381-955DD82A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894"/>
    <w:rPr>
      <w:rFonts w:ascii="Arial" w:hAnsi="Arial"/>
    </w:rPr>
  </w:style>
  <w:style w:type="paragraph" w:styleId="Heading1">
    <w:name w:val="heading 1"/>
    <w:basedOn w:val="Normal"/>
    <w:next w:val="Normal"/>
    <w:link w:val="Heading1Char"/>
    <w:uiPriority w:val="9"/>
    <w:qFormat/>
    <w:rsid w:val="001E6861"/>
    <w:pPr>
      <w:keepNext/>
      <w:keepLines/>
      <w:spacing w:before="480" w:after="0"/>
      <w:outlineLvl w:val="0"/>
    </w:pPr>
    <w:rPr>
      <w:rFonts w:ascii="Avenir" w:eastAsiaTheme="majorEastAsia" w:hAnsi="Avenir"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9DE"/>
    <w:rPr>
      <w:rFonts w:ascii="Tahoma" w:hAnsi="Tahoma" w:cs="Tahoma"/>
      <w:sz w:val="16"/>
      <w:szCs w:val="16"/>
    </w:rPr>
  </w:style>
  <w:style w:type="paragraph" w:styleId="Header">
    <w:name w:val="header"/>
    <w:basedOn w:val="Normal"/>
    <w:link w:val="HeaderChar"/>
    <w:uiPriority w:val="99"/>
    <w:unhideWhenUsed/>
    <w:rsid w:val="00410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6CE"/>
  </w:style>
  <w:style w:type="paragraph" w:styleId="Footer">
    <w:name w:val="footer"/>
    <w:basedOn w:val="Normal"/>
    <w:link w:val="FooterChar"/>
    <w:uiPriority w:val="99"/>
    <w:unhideWhenUsed/>
    <w:rsid w:val="00410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6CE"/>
  </w:style>
  <w:style w:type="paragraph" w:styleId="NormalWeb">
    <w:name w:val="Normal (Web)"/>
    <w:basedOn w:val="Normal"/>
    <w:uiPriority w:val="99"/>
    <w:semiHidden/>
    <w:unhideWhenUsed/>
    <w:rsid w:val="002946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9468C"/>
    <w:rPr>
      <w:color w:val="0000FF"/>
      <w:u w:val="single"/>
    </w:rPr>
  </w:style>
  <w:style w:type="character" w:customStyle="1" w:styleId="Heading1Char">
    <w:name w:val="Heading 1 Char"/>
    <w:basedOn w:val="DefaultParagraphFont"/>
    <w:link w:val="Heading1"/>
    <w:uiPriority w:val="9"/>
    <w:rsid w:val="001E6861"/>
    <w:rPr>
      <w:rFonts w:ascii="Avenir" w:eastAsiaTheme="majorEastAsia" w:hAnsi="Avenir" w:cstheme="majorBidi"/>
      <w:b/>
      <w:bCs/>
      <w:sz w:val="28"/>
      <w:szCs w:val="28"/>
    </w:rPr>
  </w:style>
  <w:style w:type="paragraph" w:styleId="TOCHeading">
    <w:name w:val="TOC Heading"/>
    <w:basedOn w:val="Heading1"/>
    <w:next w:val="Normal"/>
    <w:uiPriority w:val="39"/>
    <w:unhideWhenUsed/>
    <w:qFormat/>
    <w:rsid w:val="008A524A"/>
    <w:pPr>
      <w:outlineLvl w:val="9"/>
    </w:pPr>
    <w:rPr>
      <w:lang w:val="en-US"/>
    </w:rPr>
  </w:style>
  <w:style w:type="paragraph" w:styleId="TOC1">
    <w:name w:val="toc 1"/>
    <w:basedOn w:val="Normal"/>
    <w:next w:val="Normal"/>
    <w:autoRedefine/>
    <w:uiPriority w:val="39"/>
    <w:unhideWhenUsed/>
    <w:rsid w:val="008A524A"/>
    <w:pPr>
      <w:tabs>
        <w:tab w:val="right" w:leader="dot" w:pos="9016"/>
      </w:tabs>
      <w:spacing w:after="100"/>
    </w:pPr>
    <w:rPr>
      <w:rFonts w:eastAsiaTheme="minorEastAsia"/>
      <w:lang w:val="en-GB" w:eastAsia="en-GB"/>
    </w:rPr>
  </w:style>
  <w:style w:type="paragraph" w:styleId="TableofFigures">
    <w:name w:val="table of figures"/>
    <w:basedOn w:val="Normal"/>
    <w:next w:val="Normal"/>
    <w:uiPriority w:val="99"/>
    <w:unhideWhenUsed/>
    <w:rsid w:val="008A524A"/>
    <w:pPr>
      <w:spacing w:after="0"/>
    </w:pPr>
    <w:rPr>
      <w:rFonts w:eastAsiaTheme="minorEastAsia"/>
      <w:lang w:val="en-GB" w:eastAsia="en-GB"/>
    </w:rPr>
  </w:style>
  <w:style w:type="table" w:customStyle="1" w:styleId="GridTable4-Accent11">
    <w:name w:val="Grid Table 4 - Accent 11"/>
    <w:basedOn w:val="TableNormal"/>
    <w:uiPriority w:val="49"/>
    <w:rsid w:val="008A52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8A524A"/>
    <w:pPr>
      <w:spacing w:line="240" w:lineRule="auto"/>
    </w:pPr>
    <w:rPr>
      <w:rFonts w:eastAsiaTheme="minorEastAsia"/>
      <w:i/>
      <w:iCs/>
      <w:color w:val="1F497D" w:themeColor="text2"/>
      <w:sz w:val="18"/>
      <w:szCs w:val="18"/>
      <w:lang w:val="en-GB" w:eastAsia="en-GB"/>
    </w:rPr>
  </w:style>
  <w:style w:type="paragraph" w:styleId="ListParagraph">
    <w:name w:val="List Paragraph"/>
    <w:basedOn w:val="Normal"/>
    <w:uiPriority w:val="34"/>
    <w:qFormat/>
    <w:rsid w:val="00A55D27"/>
    <w:pPr>
      <w:ind w:left="720"/>
      <w:contextualSpacing/>
    </w:pPr>
    <w:rPr>
      <w:rFonts w:asciiTheme="minorHAnsi" w:eastAsiaTheme="minorEastAsia" w:hAnsi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62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P:\Dubbo%20Hydro\Report_Temporary%20OEH%20Monitoring%20site%20Final%20report1.docx"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P:\Dubbo%20Hydro\Report_Temporary%20OEH%20Monitoring%20site%20Final%20report1.docx"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file:///P:\Dubbo%20Hydro\Report_Temporary%20OEH%20Monitoring%20site%20Final%20report1.docx"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file:///P:\Dubbo%20Hydro\Report_Temporary%20OEH%20Monitoring%20site%20Final%20report1.docx"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C6ADE0FA.dotm</Template>
  <TotalTime>1</TotalTime>
  <Pages>14</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Macquarie Catchment Temporary Water Monitoring 2017</dc:title>
  <dc:creator>WaterNSW</dc:creator>
  <cp:lastModifiedBy>Durack, Bec</cp:lastModifiedBy>
  <cp:revision>2</cp:revision>
  <dcterms:created xsi:type="dcterms:W3CDTF">2018-02-07T00:28:00Z</dcterms:created>
  <dcterms:modified xsi:type="dcterms:W3CDTF">2018-02-07T00:28:00Z</dcterms:modified>
</cp:coreProperties>
</file>