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C84AE" w14:textId="0F3611B0" w:rsidR="00C01DA4" w:rsidRDefault="00C0033E" w:rsidP="00C01DA4">
      <w:pPr>
        <w:spacing w:before="0" w:after="200" w:line="276" w:lineRule="auto"/>
        <w:contextualSpacing/>
        <w:rPr>
          <w:rFonts w:eastAsiaTheme="majorEastAsia" w:cstheme="majorBidi"/>
          <w:noProof/>
          <w:color w:val="1F497D" w:themeColor="text2"/>
          <w:spacing w:val="5"/>
          <w:sz w:val="48"/>
          <w:szCs w:val="52"/>
          <w:lang w:eastAsia="en-AU"/>
        </w:rPr>
      </w:pPr>
      <w:r>
        <w:rPr>
          <w:rFonts w:eastAsiaTheme="majorEastAsia" w:cstheme="majorBidi"/>
          <w:noProof/>
          <w:color w:val="1F497D" w:themeColor="text2"/>
          <w:spacing w:val="5"/>
          <w:sz w:val="48"/>
          <w:szCs w:val="52"/>
          <w:lang w:eastAsia="en-AU"/>
        </w:rPr>
        <mc:AlternateContent>
          <mc:Choice Requires="wpg">
            <w:drawing>
              <wp:anchor distT="0" distB="0" distL="114300" distR="114300" simplePos="0" relativeHeight="251732992" behindDoc="1" locked="0" layoutInCell="1" allowOverlap="1" wp14:anchorId="79216B41" wp14:editId="70EAFFC9">
                <wp:simplePos x="0" y="0"/>
                <wp:positionH relativeFrom="column">
                  <wp:posOffset>-365234</wp:posOffset>
                </wp:positionH>
                <wp:positionV relativeFrom="paragraph">
                  <wp:posOffset>0</wp:posOffset>
                </wp:positionV>
                <wp:extent cx="6635750" cy="948690"/>
                <wp:effectExtent l="0" t="0" r="0" b="3810"/>
                <wp:wrapTight wrapText="bothSides">
                  <wp:wrapPolygon edited="0">
                    <wp:start x="0" y="0"/>
                    <wp:lineTo x="0" y="19084"/>
                    <wp:lineTo x="12588" y="20819"/>
                    <wp:lineTo x="12588" y="21253"/>
                    <wp:lineTo x="21517" y="21253"/>
                    <wp:lineTo x="21517" y="0"/>
                    <wp:lineTo x="9301" y="0"/>
                    <wp:lineTo x="0" y="0"/>
                  </wp:wrapPolygon>
                </wp:wrapTight>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750" cy="948690"/>
                          <a:chOff x="0" y="0"/>
                          <a:chExt cx="6635665" cy="949003"/>
                        </a:xfrm>
                      </wpg:grpSpPr>
                      <pic:pic xmlns:pic="http://schemas.openxmlformats.org/drawingml/2006/picture">
                        <pic:nvPicPr>
                          <pic:cNvPr id="73" name="Picture 12" descr="CEWO_logo_inline_LowRes.jpg"/>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2847340" cy="606425"/>
                          </a:xfrm>
                          <a:prstGeom prst="rect">
                            <a:avLst/>
                          </a:prstGeom>
                        </pic:spPr>
                      </pic:pic>
                      <pic:pic xmlns:pic="http://schemas.openxmlformats.org/drawingml/2006/picture">
                        <pic:nvPicPr>
                          <pic:cNvPr id="77" name="Picture 77" descr="G:\Environment\Environmental Water\CEWH\SER Section\Stakeholder Engagement\Publications\Color Palette\ColorPalette_symbolsOnly.jp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641445"/>
                            <a:ext cx="2639695" cy="187960"/>
                          </a:xfrm>
                          <a:prstGeom prst="rect">
                            <a:avLst/>
                          </a:prstGeom>
                          <a:noFill/>
                        </pic:spPr>
                      </pic:pic>
                      <pic:pic xmlns:pic="http://schemas.openxmlformats.org/drawingml/2006/picture">
                        <pic:nvPicPr>
                          <pic:cNvPr id="79" name="Picture 48"/>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2811439" y="13648"/>
                            <a:ext cx="1089025" cy="848995"/>
                          </a:xfrm>
                          <a:prstGeom prst="rect">
                            <a:avLst/>
                          </a:prstGeom>
                          <a:noFill/>
                          <a:ln>
                            <a:noFill/>
                          </a:ln>
                        </pic:spPr>
                      </pic:pic>
                      <pic:pic xmlns:pic="http://schemas.openxmlformats.org/drawingml/2006/picture">
                        <pic:nvPicPr>
                          <pic:cNvPr id="80" name="Picture 68" descr="ppt_bg_footer_SARDI.pn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3903260" y="13648"/>
                            <a:ext cx="2732405" cy="93535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618A651" id="Group 81" o:spid="_x0000_s1026" style="position:absolute;margin-left:-28.75pt;margin-top:0;width:522.5pt;height:74.7pt;z-index:-251583488" coordsize="66356,94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EWO_logo_inline_LowRes.jpg" style="position:absolute;width:28473;height:6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JU8vEAAAA2wAAAA8AAABkcnMvZG93bnJldi54bWxEj0FrAjEUhO9C/0N4hd40GxUtW6PUFtGD&#10;F9dCr4/N6+7Szcs2SXXtr28EweMwM98wi1VvW3EiHxrHGtQoA0FcOtNwpeHjuBk+gwgR2WDrmDRc&#10;KMBq+TBYYG7cmQ90KmIlEoRDjhrqGLtcylDWZDGMXEecvC/nLcYkfSWNx3OC21aOs2wmLTacFmrs&#10;6K2m8rv4tRpIKana9/ippv4n7Ofrv8lse9T66bF/fQERqY/38K29MxrmE7h+ST9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JU8vEAAAA2wAAAA8AAAAAAAAAAAAAAAAA&#10;nwIAAGRycy9kb3ducmV2LnhtbFBLBQYAAAAABAAEAPcAAACQAwAAAAA=&#10;">
                  <v:imagedata r:id="rId11" o:title="CEWO_logo_inline_LowRes"/>
                  <v:path arrowok="t"/>
                </v:shape>
                <v:shape id="Picture 77" o:spid="_x0000_s1028" type="#_x0000_t75" style="position:absolute;top:6414;width:26396;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UYpjDAAAA2wAAAA8AAABkcnMvZG93bnJldi54bWxEj82KwjAUhfeC7xCu4E5TXVTpmBatCrNw&#10;MzoM4+7SXNtic1OaqPXtJ8KAy8P5+TirrDeNuFPnassKZtMIBHFhdc2lgu/TfrIE4TyyxsYyKXiS&#10;gywdDlaYaPvgL7offSnCCLsEFVTet4mUrqjIoJvaljh4F9sZ9EF2pdQdPsK4aeQ8imJpsOZAqLCl&#10;vKLieryZAPnNb/Fsvs4PzujtZnd+xj99rtR41K8/QHjq/Tv83/7UChYLeH0JP0C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RimMMAAADbAAAADwAAAAAAAAAAAAAAAACf&#10;AgAAZHJzL2Rvd25yZXYueG1sUEsFBgAAAAAEAAQA9wAAAI8DAAAAAA==&#10;">
                  <v:imagedata r:id="rId12" o:title="ColorPalette_symbolsOnly"/>
                  <v:path arrowok="t"/>
                </v:shape>
                <v:shape id="Picture 48" o:spid="_x0000_s1029" type="#_x0000_t75" style="position:absolute;left:28114;top:136;width:10890;height:8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6y2DDAAAA2wAAAA8AAABkcnMvZG93bnJldi54bWxEj0FrwkAUhO+F/oflFbwU3VSo1egqJSL0&#10;4kGt4vGRfSbB7Nuwu8b4711B8DjMzDfMbNGZWrTkfGVZwdcgAUGcW11xoeB/t+qPQfiArLG2TApu&#10;5GExf3+bYartlTfUbkMhIoR9igrKEJpUSp+XZNAPbEMcvZN1BkOUrpDa4TXCTS2HSTKSBiuOCyU2&#10;lJWUn7cXoyA7Zpd2jwlP9rejW1Zr882fB6V6H93vFESgLrzCz/afVvAzgceX+A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3rLYMMAAADbAAAADwAAAAAAAAAAAAAAAACf&#10;AgAAZHJzL2Rvd25yZXYueG1sUEsFBgAAAAAEAAQA9wAAAI8DAAAAAA==&#10;">
                  <v:imagedata r:id="rId13" o:title=""/>
                  <v:path arrowok="t"/>
                </v:shape>
                <v:shape id="Picture 68" o:spid="_x0000_s1030" type="#_x0000_t75" alt="ppt_bg_footer_SARDI.png" style="position:absolute;left:39032;top:136;width:27324;height:9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xCO7EAAAA2wAAAA8AAABkcnMvZG93bnJldi54bWxEj0FrwkAQhe8F/8MyQi9FN/XQSnQVFSIV&#10;emnag8chOybB7OyS3cb4751DoadhmDfvvW+9HV2nBupj69nA6zwDRVx523Jt4Oe7mC1BxYRssfNM&#10;Bu4UYbuZPK0xt/7GXzSUqVZiwjFHA01KIdc6Vg05jHMfiOV28b3DJGtfa9vjTcxdpxdZ9qYdtiwJ&#10;DQY6NFRdy19nIBT1y344yzh9HrswxjsV76Uxz9NxtwKVaEz/4r/vD2tgKe2FRThAb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xCO7EAAAA2wAAAA8AAAAAAAAAAAAAAAAA&#10;nwIAAGRycy9kb3ducmV2LnhtbFBLBQYAAAAABAAEAPcAAACQAwAAAAA=&#10;">
                  <v:imagedata r:id="rId14" o:title="ppt_bg_footer_SARDI"/>
                  <v:path arrowok="t"/>
                </v:shape>
                <w10:wrap type="tight"/>
              </v:group>
            </w:pict>
          </mc:Fallback>
        </mc:AlternateContent>
      </w:r>
    </w:p>
    <w:p w14:paraId="789AF8B9" w14:textId="7F9D58D8" w:rsidR="00A62C74" w:rsidRPr="00A67C76" w:rsidRDefault="00C757C7" w:rsidP="00A62C74">
      <w:pPr>
        <w:numPr>
          <w:ilvl w:val="1"/>
          <w:numId w:val="0"/>
        </w:numPr>
        <w:contextualSpacing/>
        <w:jc w:val="center"/>
        <w:rPr>
          <w:rFonts w:eastAsiaTheme="majorEastAsia" w:cstheme="majorBidi"/>
          <w:b/>
          <w:iCs/>
          <w:color w:val="365F91" w:themeColor="accent1" w:themeShade="BF"/>
          <w:spacing w:val="15"/>
          <w:sz w:val="32"/>
          <w:szCs w:val="32"/>
        </w:rPr>
      </w:pPr>
      <w:r>
        <w:rPr>
          <w:rFonts w:eastAsiaTheme="majorEastAsia" w:cstheme="majorBidi"/>
          <w:b/>
          <w:iCs/>
          <w:color w:val="365F91" w:themeColor="accent1" w:themeShade="BF"/>
          <w:spacing w:val="15"/>
          <w:sz w:val="32"/>
          <w:szCs w:val="32"/>
        </w:rPr>
        <w:t>Long-Term Intervention M</w:t>
      </w:r>
      <w:r w:rsidR="0016155A">
        <w:rPr>
          <w:rFonts w:eastAsiaTheme="majorEastAsia" w:cstheme="majorBidi"/>
          <w:b/>
          <w:iCs/>
          <w:color w:val="365F91" w:themeColor="accent1" w:themeShade="BF"/>
          <w:spacing w:val="15"/>
          <w:sz w:val="32"/>
          <w:szCs w:val="32"/>
        </w:rPr>
        <w:t>onitoring</w:t>
      </w:r>
      <w:r w:rsidR="005407E1">
        <w:rPr>
          <w:rFonts w:eastAsiaTheme="majorEastAsia" w:cstheme="majorBidi"/>
          <w:b/>
          <w:iCs/>
          <w:color w:val="365F91" w:themeColor="accent1" w:themeShade="BF"/>
          <w:spacing w:val="15"/>
          <w:sz w:val="32"/>
          <w:szCs w:val="32"/>
        </w:rPr>
        <w:t xml:space="preserve"> </w:t>
      </w:r>
      <w:r w:rsidR="001050E0">
        <w:rPr>
          <w:rFonts w:eastAsiaTheme="majorEastAsia" w:cstheme="majorBidi"/>
          <w:b/>
          <w:iCs/>
          <w:color w:val="365F91" w:themeColor="accent1" w:themeShade="BF"/>
          <w:spacing w:val="15"/>
          <w:sz w:val="32"/>
          <w:szCs w:val="32"/>
        </w:rPr>
        <w:t>of</w:t>
      </w:r>
      <w:r>
        <w:rPr>
          <w:rFonts w:eastAsiaTheme="majorEastAsia" w:cstheme="majorBidi"/>
          <w:b/>
          <w:iCs/>
          <w:color w:val="365F91" w:themeColor="accent1" w:themeShade="BF"/>
          <w:spacing w:val="15"/>
          <w:sz w:val="32"/>
          <w:szCs w:val="32"/>
        </w:rPr>
        <w:t xml:space="preserve"> the Ecological R</w:t>
      </w:r>
      <w:r w:rsidR="00A62C74" w:rsidRPr="00A67C76">
        <w:rPr>
          <w:rFonts w:eastAsiaTheme="majorEastAsia" w:cstheme="majorBidi"/>
          <w:b/>
          <w:iCs/>
          <w:color w:val="365F91" w:themeColor="accent1" w:themeShade="BF"/>
          <w:spacing w:val="15"/>
          <w:sz w:val="32"/>
          <w:szCs w:val="32"/>
        </w:rPr>
        <w:t xml:space="preserve">esponses to Commonwealth </w:t>
      </w:r>
      <w:r>
        <w:rPr>
          <w:rFonts w:eastAsiaTheme="majorEastAsia" w:cstheme="majorBidi"/>
          <w:b/>
          <w:iCs/>
          <w:color w:val="365F91" w:themeColor="accent1" w:themeShade="BF"/>
          <w:spacing w:val="15"/>
          <w:sz w:val="32"/>
          <w:szCs w:val="32"/>
        </w:rPr>
        <w:t>E</w:t>
      </w:r>
      <w:r w:rsidR="00A62C74" w:rsidRPr="00A67C76">
        <w:rPr>
          <w:rFonts w:eastAsiaTheme="majorEastAsia" w:cstheme="majorBidi"/>
          <w:b/>
          <w:iCs/>
          <w:color w:val="365F91" w:themeColor="accent1" w:themeShade="BF"/>
          <w:spacing w:val="15"/>
          <w:sz w:val="32"/>
          <w:szCs w:val="32"/>
        </w:rPr>
        <w:t>nviro</w:t>
      </w:r>
      <w:r w:rsidR="00A914BA" w:rsidRPr="00A67C76">
        <w:rPr>
          <w:rFonts w:eastAsiaTheme="majorEastAsia" w:cstheme="majorBidi"/>
          <w:b/>
          <w:iCs/>
          <w:color w:val="365F91" w:themeColor="accent1" w:themeShade="BF"/>
          <w:spacing w:val="15"/>
          <w:sz w:val="32"/>
          <w:szCs w:val="32"/>
        </w:rPr>
        <w:t xml:space="preserve">nmental </w:t>
      </w:r>
      <w:r>
        <w:rPr>
          <w:rFonts w:eastAsiaTheme="majorEastAsia" w:cstheme="majorBidi"/>
          <w:b/>
          <w:iCs/>
          <w:color w:val="365F91" w:themeColor="accent1" w:themeShade="BF"/>
          <w:spacing w:val="15"/>
          <w:sz w:val="32"/>
          <w:szCs w:val="32"/>
        </w:rPr>
        <w:t>Water D</w:t>
      </w:r>
      <w:r w:rsidR="00EE6B16" w:rsidRPr="00A67C76">
        <w:rPr>
          <w:rFonts w:eastAsiaTheme="majorEastAsia" w:cstheme="majorBidi"/>
          <w:b/>
          <w:iCs/>
          <w:color w:val="365F91" w:themeColor="accent1" w:themeShade="BF"/>
          <w:spacing w:val="15"/>
          <w:sz w:val="32"/>
          <w:szCs w:val="32"/>
        </w:rPr>
        <w:t>elivered to the L</w:t>
      </w:r>
      <w:r w:rsidR="00B57F63">
        <w:rPr>
          <w:rFonts w:eastAsiaTheme="majorEastAsia" w:cstheme="majorBidi"/>
          <w:b/>
          <w:iCs/>
          <w:color w:val="365F91" w:themeColor="accent1" w:themeShade="BF"/>
          <w:spacing w:val="15"/>
          <w:sz w:val="32"/>
          <w:szCs w:val="32"/>
        </w:rPr>
        <w:t>ower Murray River</w:t>
      </w:r>
      <w:r w:rsidR="00377E5B">
        <w:rPr>
          <w:rFonts w:eastAsiaTheme="majorEastAsia" w:cstheme="majorBidi"/>
          <w:b/>
          <w:iCs/>
          <w:color w:val="365F91" w:themeColor="accent1" w:themeShade="BF"/>
          <w:spacing w:val="15"/>
          <w:sz w:val="32"/>
          <w:szCs w:val="32"/>
        </w:rPr>
        <w:t xml:space="preserve"> Selected Area</w:t>
      </w:r>
      <w:r w:rsidR="00B57F63">
        <w:rPr>
          <w:rFonts w:eastAsiaTheme="majorEastAsia" w:cstheme="majorBidi"/>
          <w:b/>
          <w:iCs/>
          <w:color w:val="365F91" w:themeColor="accent1" w:themeShade="BF"/>
          <w:spacing w:val="15"/>
          <w:sz w:val="32"/>
          <w:szCs w:val="32"/>
        </w:rPr>
        <w:t xml:space="preserve"> in 201</w:t>
      </w:r>
      <w:r w:rsidR="00D14C27">
        <w:rPr>
          <w:rFonts w:eastAsiaTheme="majorEastAsia" w:cstheme="majorBidi"/>
          <w:b/>
          <w:iCs/>
          <w:color w:val="365F91" w:themeColor="accent1" w:themeShade="BF"/>
          <w:spacing w:val="15"/>
          <w:sz w:val="32"/>
          <w:szCs w:val="32"/>
        </w:rPr>
        <w:t>5</w:t>
      </w:r>
      <w:r w:rsidR="00512BBD">
        <w:rPr>
          <w:rFonts w:eastAsiaTheme="majorEastAsia" w:cstheme="majorBidi"/>
          <w:b/>
          <w:iCs/>
          <w:color w:val="365F91" w:themeColor="accent1" w:themeShade="BF"/>
          <w:spacing w:val="15"/>
          <w:sz w:val="32"/>
          <w:szCs w:val="32"/>
        </w:rPr>
        <w:t>/</w:t>
      </w:r>
      <w:r w:rsidR="00377E5B">
        <w:rPr>
          <w:rFonts w:eastAsiaTheme="majorEastAsia" w:cstheme="majorBidi"/>
          <w:b/>
          <w:iCs/>
          <w:color w:val="365F91" w:themeColor="accent1" w:themeShade="BF"/>
          <w:spacing w:val="15"/>
          <w:sz w:val="32"/>
          <w:szCs w:val="32"/>
        </w:rPr>
        <w:t>1</w:t>
      </w:r>
      <w:r w:rsidR="00D14C27">
        <w:rPr>
          <w:rFonts w:eastAsiaTheme="majorEastAsia" w:cstheme="majorBidi"/>
          <w:b/>
          <w:iCs/>
          <w:color w:val="365F91" w:themeColor="accent1" w:themeShade="BF"/>
          <w:spacing w:val="15"/>
          <w:sz w:val="32"/>
          <w:szCs w:val="32"/>
        </w:rPr>
        <w:t>6</w:t>
      </w:r>
    </w:p>
    <w:p w14:paraId="6C44D89A" w14:textId="77777777" w:rsidR="00A62C74" w:rsidRPr="00A67C76" w:rsidRDefault="00A62C74" w:rsidP="00A62C74">
      <w:pPr>
        <w:contextualSpacing/>
        <w:jc w:val="center"/>
        <w:rPr>
          <w:rFonts w:cs="Arial"/>
          <w:color w:val="1F497D" w:themeColor="text2"/>
          <w:sz w:val="24"/>
        </w:rPr>
      </w:pPr>
    </w:p>
    <w:p w14:paraId="28366E7A" w14:textId="40F7791B" w:rsidR="00A62C74" w:rsidRDefault="00A62C74" w:rsidP="00A62C74">
      <w:pPr>
        <w:spacing w:line="276" w:lineRule="auto"/>
        <w:contextualSpacing/>
        <w:jc w:val="center"/>
        <w:rPr>
          <w:rFonts w:cs="Arial"/>
          <w:color w:val="000000" w:themeColor="text1"/>
          <w:szCs w:val="22"/>
        </w:rPr>
      </w:pPr>
      <w:r w:rsidRPr="00A67C76">
        <w:rPr>
          <w:rFonts w:cs="Arial"/>
          <w:color w:val="000000" w:themeColor="text1"/>
          <w:szCs w:val="22"/>
        </w:rPr>
        <w:t xml:space="preserve">A report prepared </w:t>
      </w:r>
      <w:r w:rsidR="00816EA6" w:rsidRPr="00A67C76">
        <w:rPr>
          <w:rFonts w:cs="Arial"/>
          <w:color w:val="000000" w:themeColor="text1"/>
          <w:szCs w:val="22"/>
        </w:rPr>
        <w:t>for the Commonwealth Environmental</w:t>
      </w:r>
      <w:bookmarkStart w:id="0" w:name="_GoBack"/>
      <w:bookmarkEnd w:id="0"/>
      <w:r w:rsidR="00816EA6" w:rsidRPr="00A67C76">
        <w:rPr>
          <w:rFonts w:cs="Arial"/>
          <w:color w:val="000000" w:themeColor="text1"/>
          <w:szCs w:val="22"/>
        </w:rPr>
        <w:t xml:space="preserve"> Water Office </w:t>
      </w:r>
      <w:r w:rsidRPr="00A67C76">
        <w:rPr>
          <w:rFonts w:cs="Arial"/>
          <w:color w:val="000000" w:themeColor="text1"/>
          <w:szCs w:val="22"/>
        </w:rPr>
        <w:t>by the South Australian Research and Developme</w:t>
      </w:r>
      <w:r w:rsidR="00816EA6">
        <w:rPr>
          <w:rFonts w:cs="Arial"/>
          <w:color w:val="000000" w:themeColor="text1"/>
          <w:szCs w:val="22"/>
        </w:rPr>
        <w:t>nt Institute, Aquatic Sciences</w:t>
      </w:r>
    </w:p>
    <w:p w14:paraId="6783FA90" w14:textId="24F86C2C" w:rsidR="0043184C" w:rsidRPr="0043184C" w:rsidRDefault="0043184C" w:rsidP="00A62C74">
      <w:pPr>
        <w:spacing w:line="276" w:lineRule="auto"/>
        <w:contextualSpacing/>
        <w:jc w:val="center"/>
        <w:rPr>
          <w:rFonts w:cs="Arial"/>
          <w:color w:val="000000" w:themeColor="text1"/>
          <w:sz w:val="16"/>
          <w:szCs w:val="22"/>
        </w:rPr>
      </w:pPr>
    </w:p>
    <w:p w14:paraId="2B581360" w14:textId="77777777" w:rsidR="00BF50B0" w:rsidRDefault="00BF50B0" w:rsidP="0043184C">
      <w:pPr>
        <w:tabs>
          <w:tab w:val="center" w:pos="4510"/>
          <w:tab w:val="left" w:pos="6205"/>
        </w:tabs>
        <w:spacing w:line="276" w:lineRule="auto"/>
        <w:contextualSpacing/>
        <w:jc w:val="center"/>
        <w:rPr>
          <w:color w:val="000000" w:themeColor="text1"/>
          <w:szCs w:val="22"/>
        </w:rPr>
      </w:pPr>
      <w:r w:rsidRPr="00BF50B0">
        <w:rPr>
          <w:noProof/>
          <w:color w:val="000000" w:themeColor="text1"/>
          <w:szCs w:val="22"/>
          <w:lang w:eastAsia="en-AU"/>
        </w:rPr>
        <mc:AlternateContent>
          <mc:Choice Requires="wpg">
            <w:drawing>
              <wp:inline distT="0" distB="0" distL="0" distR="0" wp14:anchorId="440232B3" wp14:editId="77AADCF1">
                <wp:extent cx="4811462" cy="4201064"/>
                <wp:effectExtent l="38100" t="38100" r="46355" b="47625"/>
                <wp:docPr id="1043" name="Group 1"/>
                <wp:cNvGraphicFramePr/>
                <a:graphic xmlns:a="http://schemas.openxmlformats.org/drawingml/2006/main">
                  <a:graphicData uri="http://schemas.microsoft.com/office/word/2010/wordprocessingGroup">
                    <wpg:wgp>
                      <wpg:cNvGrpSpPr/>
                      <wpg:grpSpPr>
                        <a:xfrm>
                          <a:off x="0" y="0"/>
                          <a:ext cx="4811462" cy="4201064"/>
                          <a:chOff x="0" y="0"/>
                          <a:chExt cx="9144000" cy="7985402"/>
                        </a:xfrm>
                      </wpg:grpSpPr>
                      <wpg:grpSp>
                        <wpg:cNvPr id="1044" name="Group 1044"/>
                        <wpg:cNvGrpSpPr/>
                        <wpg:grpSpPr>
                          <a:xfrm>
                            <a:off x="0" y="0"/>
                            <a:ext cx="9144000" cy="7985402"/>
                            <a:chOff x="0" y="0"/>
                            <a:chExt cx="9144000" cy="7985402"/>
                          </a:xfrm>
                        </wpg:grpSpPr>
                        <pic:pic xmlns:pic="http://schemas.openxmlformats.org/drawingml/2006/picture">
                          <pic:nvPicPr>
                            <pic:cNvPr id="1045" name="Picture 1045"/>
                            <pic:cNvPicPr/>
                          </pic:nvPicPr>
                          <pic:blipFill rotWithShape="1">
                            <a:blip r:embed="rId15" cstate="email">
                              <a:extLst>
                                <a:ext uri="{28A0092B-C50C-407E-A947-70E740481C1C}">
                                  <a14:useLocalDpi xmlns:a14="http://schemas.microsoft.com/office/drawing/2010/main"/>
                                </a:ext>
                              </a:extLst>
                            </a:blip>
                            <a:srcRect/>
                            <a:stretch/>
                          </pic:blipFill>
                          <pic:spPr>
                            <a:xfrm>
                              <a:off x="3362046" y="2002327"/>
                              <a:ext cx="2752203" cy="2438400"/>
                            </a:xfrm>
                            <a:prstGeom prst="rect">
                              <a:avLst/>
                            </a:prstGeom>
                            <a:ln w="28575">
                              <a:solidFill>
                                <a:schemeClr val="bg1"/>
                              </a:solidFill>
                            </a:ln>
                          </pic:spPr>
                        </pic:pic>
                        <wpg:grpSp>
                          <wpg:cNvPr id="1046" name="Group 1046"/>
                          <wpg:cNvGrpSpPr/>
                          <wpg:grpSpPr>
                            <a:xfrm>
                              <a:off x="0" y="4348"/>
                              <a:ext cx="2926080" cy="1950720"/>
                              <a:chOff x="0" y="4348"/>
                              <a:chExt cx="2926080" cy="1950720"/>
                            </a:xfrm>
                          </wpg:grpSpPr>
                          <pic:pic xmlns:pic="http://schemas.openxmlformats.org/drawingml/2006/picture">
                            <pic:nvPicPr>
                              <pic:cNvPr id="1047" name="Picture 1047"/>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4348"/>
                                <a:ext cx="1463040" cy="1950720"/>
                              </a:xfrm>
                              <a:prstGeom prst="rect">
                                <a:avLst/>
                              </a:prstGeom>
                              <a:ln w="28575">
                                <a:solidFill>
                                  <a:schemeClr val="bg1"/>
                                </a:solidFill>
                              </a:ln>
                            </pic:spPr>
                          </pic:pic>
                          <pic:pic xmlns:pic="http://schemas.openxmlformats.org/drawingml/2006/picture">
                            <pic:nvPicPr>
                              <pic:cNvPr id="1048" name="Picture 1048"/>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1463040" y="4348"/>
                                <a:ext cx="1463040" cy="1950720"/>
                              </a:xfrm>
                              <a:prstGeom prst="rect">
                                <a:avLst/>
                              </a:prstGeom>
                              <a:ln w="28575">
                                <a:solidFill>
                                  <a:schemeClr val="bg1"/>
                                </a:solidFill>
                              </a:ln>
                            </pic:spPr>
                          </pic:pic>
                        </wpg:grpSp>
                        <pic:pic xmlns:pic="http://schemas.openxmlformats.org/drawingml/2006/picture">
                          <pic:nvPicPr>
                            <pic:cNvPr id="1049" name="Picture 1049"/>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6138112" y="283"/>
                              <a:ext cx="3005887" cy="4440722"/>
                            </a:xfrm>
                            <a:prstGeom prst="rect">
                              <a:avLst/>
                            </a:prstGeom>
                            <a:ln w="28575">
                              <a:solidFill>
                                <a:schemeClr val="bg1"/>
                              </a:solidFill>
                            </a:ln>
                          </pic:spPr>
                        </pic:pic>
                        <pic:pic xmlns:pic="http://schemas.openxmlformats.org/drawingml/2006/picture">
                          <pic:nvPicPr>
                            <pic:cNvPr id="1050" name="Picture 1050"/>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2932596" y="0"/>
                              <a:ext cx="3195991" cy="1973752"/>
                            </a:xfrm>
                            <a:prstGeom prst="rect">
                              <a:avLst/>
                            </a:prstGeom>
                            <a:ln w="28575">
                              <a:solidFill>
                                <a:schemeClr val="bg1"/>
                              </a:solidFill>
                            </a:ln>
                          </pic:spPr>
                        </pic:pic>
                        <pic:pic xmlns:pic="http://schemas.openxmlformats.org/drawingml/2006/picture">
                          <pic:nvPicPr>
                            <pic:cNvPr id="1051" name="Picture 1051"/>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a:xfrm>
                              <a:off x="0" y="4491575"/>
                              <a:ext cx="9144000" cy="3493827"/>
                            </a:xfrm>
                            <a:prstGeom prst="rect">
                              <a:avLst/>
                            </a:prstGeom>
                            <a:ln w="28575">
                              <a:solidFill>
                                <a:schemeClr val="bg1"/>
                              </a:solidFill>
                            </a:ln>
                          </pic:spPr>
                        </pic:pic>
                      </wpg:grpSp>
                      <pic:pic xmlns:pic="http://schemas.openxmlformats.org/drawingml/2006/picture">
                        <pic:nvPicPr>
                          <pic:cNvPr id="1052" name="Picture 1052"/>
                          <pic:cNvPicPr/>
                        </pic:nvPicPr>
                        <pic:blipFill rotWithShape="1">
                          <a:blip r:embed="rId21" cstate="email">
                            <a:extLst>
                              <a:ext uri="{28A0092B-C50C-407E-A947-70E740481C1C}">
                                <a14:useLocalDpi xmlns:a14="http://schemas.microsoft.com/office/drawing/2010/main"/>
                              </a:ext>
                            </a:extLst>
                          </a:blip>
                          <a:srcRect/>
                          <a:stretch/>
                        </pic:blipFill>
                        <pic:spPr>
                          <a:xfrm>
                            <a:off x="0" y="1994005"/>
                            <a:ext cx="3328852" cy="2456818"/>
                          </a:xfrm>
                          <a:prstGeom prst="rect">
                            <a:avLst/>
                          </a:prstGeom>
                          <a:ln w="28575">
                            <a:solidFill>
                              <a:schemeClr val="bg1"/>
                            </a:solidFill>
                          </a:ln>
                        </pic:spPr>
                      </pic:pic>
                    </wpg:wgp>
                  </a:graphicData>
                </a:graphic>
              </wp:inline>
            </w:drawing>
          </mc:Choice>
          <mc:Fallback>
            <w:pict>
              <v:group w14:anchorId="50B22A88" id="Group 1" o:spid="_x0000_s1026" style="width:378.85pt;height:330.8pt;mso-position-horizontal-relative:char;mso-position-vertical-relative:line" coordsize="91440,79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">
                <v:group id="Group 1044" o:spid="_x0000_s1027" style="position:absolute;width:91440;height:79854" coordsize="91440,79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Picture 1045" o:spid="_x0000_s1028" type="#_x0000_t75" style="position:absolute;left:33620;top:20023;width:27522;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tX2vEAAAA3QAAAA8AAABkcnMvZG93bnJldi54bWxET0trAjEQvgv9D2EKvYhmW7TKapQiSD14&#10;8IV6HDbT3aWbyZKk6+qvN4LQ23x8z5nOW1OJhpwvLSt47ycgiDOrS84VHPbL3hiED8gaK8uk4Eoe&#10;5rOXzhRTbS+8pWYXchFD2KeooAihTqX0WUEGfd/WxJH7sc5giNDlUju8xHBTyY8k+ZQGS44NBda0&#10;KCj73f0ZBWt92ixPh+z7OOo21SLg+XZ0Vqm31/ZrAiJQG/7FT/dKx/nJYAiPb+IJ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tX2vEAAAA3QAAAA8AAAAAAAAAAAAAAAAA&#10;nwIAAGRycy9kb3ducmV2LnhtbFBLBQYAAAAABAAEAPcAAACQAwAAAAA=&#10;" stroked="t" strokecolor="white [3212]" strokeweight="2.25pt">
                    <v:imagedata r:id="rId22" o:title=""/>
                  </v:shape>
                  <v:group id="Group 1046" o:spid="_x0000_s1029" style="position:absolute;top:43;width:29260;height:19507" coordorigin=",43" coordsize="29260,19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Picture 1047" o:spid="_x0000_s1030" type="#_x0000_t75" style="position:absolute;top:43;width:14630;height:19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siTCAAAA3QAAAA8AAABkcnMvZG93bnJldi54bWxET82KwjAQvgu+Qxhhb5oqZdWuUYog7mEV&#10;rD7A0My23W0mpYlafXojCN7m4/udxaoztbhQ6yrLCsajCARxbnXFhYLTcTOcgXAeWWNtmRTcyMFq&#10;2e8tMNH2yge6ZL4QIYRdggpK75tESpeXZNCNbEMcuF/bGvQBtoXULV5DuKnlJIo+pcGKQ0OJDa1L&#10;yv+zs1Gw397dPLX7wy6Njz9/NLWZy2OlPgZd+gXCU+ff4pf7W4f5UTyF5zfhB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17IkwgAAAN0AAAAPAAAAAAAAAAAAAAAAAJ8C&#10;AABkcnMvZG93bnJldi54bWxQSwUGAAAAAAQABAD3AAAAjgMAAAAA&#10;" stroked="t" strokecolor="white [3212]" strokeweight="2.25pt">
                      <v:imagedata r:id="rId23" o:title=""/>
                      <v:path arrowok="t"/>
                    </v:shape>
                    <v:shape id="Picture 1048" o:spid="_x0000_s1031" type="#_x0000_t75" style="position:absolute;left:14630;top:43;width:14630;height:19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zZszHAAAA3QAAAA8AAABkcnMvZG93bnJldi54bWxEj09rAjEQxe+Ffocwhd5qUhWxW6OUQotI&#10;L/6p2NuwmW6WbibLJur67TsHwdsM7817v5kt+tCoE3WpjmzheWBAEZfR1VxZ2G0/nqagUkZ22EQm&#10;CxdKsJjf382wcPHMazptcqUkhFOBFnzObaF1Kj0FTIPYEov2G7uAWdau0q7Ds4SHRg+NmeiANUuD&#10;x5bePZV/m2OwYHTz+dUf/Gq5Ha2/f17ifrRrh9Y+PvRvr6Ay9flmvl4vneCbseDKNzKCnv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BzZszHAAAA3QAAAA8AAAAAAAAAAAAA&#10;AAAAnwIAAGRycy9kb3ducmV2LnhtbFBLBQYAAAAABAAEAPcAAACTAwAAAAA=&#10;" stroked="t" strokecolor="white [3212]" strokeweight="2.25pt">
                      <v:imagedata r:id="rId24" o:title=""/>
                      <v:path arrowok="t"/>
                    </v:shape>
                  </v:group>
                  <v:shape id="Picture 1049" o:spid="_x0000_s1032" type="#_x0000_t75" style="position:absolute;left:61381;top:2;width:30058;height:44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DXCrFAAAA3QAAAA8AAABkcnMvZG93bnJldi54bWxET0trwkAQvhf8D8sI3urGYoumriKlhfaS&#10;4qPtdciOSUx2NuyuMf33riB4m4/vOYtVbxrRkfOVZQWTcQKCOLe64kLBfvfxOAPhA7LGxjIp+CcP&#10;q+XgYYGptmfeULcNhYgh7FNUUIbQplL6vCSDfmxb4sgdrDMYInSF1A7PMdw08ilJXqTBimNDiS29&#10;lZTX25NRcHqvs+dD9pfNNrXJXPd9/P35Oio1GvbrVxCB+nAX39yfOs5PpnO4fhNPk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A1wqxQAAAN0AAAAPAAAAAAAAAAAAAAAA&#10;AJ8CAABkcnMvZG93bnJldi54bWxQSwUGAAAAAAQABAD3AAAAkQMAAAAA&#10;" stroked="t" strokecolor="white [3212]" strokeweight="2.25pt">
                    <v:imagedata r:id="rId25" o:title=""/>
                    <v:path arrowok="t"/>
                  </v:shape>
                  <v:shape id="Picture 1050" o:spid="_x0000_s1033" type="#_x0000_t75" style="position:absolute;left:29325;width:31960;height:19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qQ+zIAAAA3QAAAA8AAABkcnMvZG93bnJldi54bWxEj81qw0AMhO+FvMOiQC4hWbe0cXG9DiU0&#10;4FNKfg7JTXhV29SrNd5N4r59dSj0JjGjmU/5enSdutEQWs8GHpcJKOLK25ZrA6fjdvEKKkRki51n&#10;MvBDAdbF5CHHzPo77+l2iLWSEA4ZGmhi7DOtQ9WQw7D0PbFoX35wGGUdam0HvEu46/RTkqy0w5al&#10;ocGeNg1V34erM7B/Hj/Kdj6vd+e035Xp5TMNK23MbDq+v4GKNMZ/8991aQU/eRF++UZG0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KkPsyAAAAN0AAAAPAAAAAAAAAAAA&#10;AAAAAJ8CAABkcnMvZG93bnJldi54bWxQSwUGAAAAAAQABAD3AAAAlAMAAAAA&#10;" stroked="t" strokecolor="white [3212]" strokeweight="2.25pt">
                    <v:imagedata r:id="rId26" o:title=""/>
                    <v:path arrowok="t"/>
                  </v:shape>
                  <v:shape id="Picture 1051" o:spid="_x0000_s1034" type="#_x0000_t75" style="position:absolute;top:44915;width:91440;height:34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7Fg/CAAAA3QAAAA8AAABkcnMvZG93bnJldi54bWxET0trAjEQvgv+hzBCb5pVVOzWKCIU9FLw&#10;QXsdNuNmcTNZknR321/fFARv8/E9Z73tbS1a8qFyrGA6yUAQF05XXCq4Xt7HKxAhImusHZOCHwqw&#10;3QwHa8y16/hE7TmWIoVwyFGBibHJpQyFIYth4hrixN2ctxgT9KXUHrsUbms5y7KltFhxajDY0N5Q&#10;cT9/WwXdov2Yz75c+2q0N/5T/h6P3UWpl1G/ewMRqY9P8cN90Gl+tpjC/zfpB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exYPwgAAAN0AAAAPAAAAAAAAAAAAAAAAAJ8C&#10;AABkcnMvZG93bnJldi54bWxQSwUGAAAAAAQABAD3AAAAjgMAAAAA&#10;" stroked="t" strokecolor="white [3212]" strokeweight="2.25pt">
                    <v:imagedata r:id="rId27" o:title=""/>
                    <v:path arrowok="t"/>
                  </v:shape>
                </v:group>
                <v:shape id="Picture 1052" o:spid="_x0000_s1035" type="#_x0000_t75" style="position:absolute;top:19940;width:33288;height:24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dv8TGAAAA3QAAAA8AAABkcnMvZG93bnJldi54bWxET0trwkAQvhf6H5YpeKsb4wNJXUOpiMWD&#10;4APa3sbsmE2bnQ3ZrcZ/7xYK3ubje84s72wtztT6yrGCQT8BQVw4XXGp4LBfPk9B+ICssXZMCq7k&#10;IZ8/Psww0+7CWzrvQiliCPsMFZgQmkxKXxiy6PuuIY7cybUWQ4RtKXWLlxhua5kmyURarDg2GGzo&#10;zVDxs/u1Cr6O2+nYbD4n34tqsAnr0erjsBwq1XvqXl9ABOrCXfzvftdxfjJO4e+beIK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2/xMYAAADdAAAADwAAAAAAAAAAAAAA&#10;AACfAgAAZHJzL2Rvd25yZXYueG1sUEsFBgAAAAAEAAQA9wAAAJIDAAAAAA==&#10;" stroked="t" strokecolor="white [3212]" strokeweight="2.25pt">
                  <v:imagedata r:id="rId28" o:title=""/>
                </v:shape>
                <w10:anchorlock/>
              </v:group>
            </w:pict>
          </mc:Fallback>
        </mc:AlternateContent>
      </w:r>
    </w:p>
    <w:p w14:paraId="7C16F1C6" w14:textId="77777777" w:rsidR="00BF50B0" w:rsidRDefault="00BF50B0" w:rsidP="0043184C">
      <w:pPr>
        <w:tabs>
          <w:tab w:val="center" w:pos="4510"/>
          <w:tab w:val="left" w:pos="6205"/>
        </w:tabs>
        <w:spacing w:line="276" w:lineRule="auto"/>
        <w:contextualSpacing/>
        <w:jc w:val="center"/>
        <w:rPr>
          <w:color w:val="000000" w:themeColor="text1"/>
          <w:szCs w:val="22"/>
        </w:rPr>
      </w:pPr>
    </w:p>
    <w:p w14:paraId="170CF49B" w14:textId="57D75726" w:rsidR="00561B12" w:rsidRPr="00A67C76" w:rsidRDefault="00213776" w:rsidP="0043184C">
      <w:pPr>
        <w:tabs>
          <w:tab w:val="center" w:pos="4510"/>
          <w:tab w:val="left" w:pos="6205"/>
        </w:tabs>
        <w:spacing w:line="276" w:lineRule="auto"/>
        <w:contextualSpacing/>
        <w:jc w:val="center"/>
        <w:rPr>
          <w:rFonts w:cs="Arial"/>
          <w:b/>
          <w:bCs/>
          <w:i/>
          <w:color w:val="002060"/>
          <w:spacing w:val="40"/>
          <w:sz w:val="36"/>
          <w:szCs w:val="36"/>
          <w:lang w:eastAsia="en-AU"/>
        </w:rPr>
      </w:pPr>
      <w:r>
        <w:rPr>
          <w:color w:val="000000" w:themeColor="text1"/>
          <w:szCs w:val="22"/>
        </w:rPr>
        <w:t>February</w:t>
      </w:r>
      <w:r w:rsidR="005F12AA" w:rsidRPr="00D12321">
        <w:rPr>
          <w:color w:val="000000" w:themeColor="text1"/>
          <w:szCs w:val="22"/>
        </w:rPr>
        <w:t xml:space="preserve"> </w:t>
      </w:r>
      <w:r w:rsidR="00965BDD">
        <w:rPr>
          <w:color w:val="000000" w:themeColor="text1"/>
          <w:szCs w:val="22"/>
        </w:rPr>
        <w:t>2017</w:t>
      </w:r>
      <w:r w:rsidR="00561B12" w:rsidRPr="00A67C76">
        <w:rPr>
          <w:i/>
          <w:color w:val="002060"/>
          <w:sz w:val="36"/>
          <w:szCs w:val="36"/>
        </w:rPr>
        <w:br w:type="page"/>
      </w:r>
    </w:p>
    <w:p w14:paraId="67109DB2" w14:textId="50C75170" w:rsidR="00A62C74" w:rsidRPr="001F65AB" w:rsidRDefault="009D40C1" w:rsidP="00F07673">
      <w:pPr>
        <w:spacing w:line="240" w:lineRule="auto"/>
        <w:rPr>
          <w:rFonts w:cs="Arial"/>
          <w:b/>
          <w:bCs/>
          <w:color w:val="355F91"/>
          <w:szCs w:val="22"/>
        </w:rPr>
      </w:pPr>
      <w:bookmarkStart w:id="1" w:name="_____replySeparator"/>
      <w:bookmarkEnd w:id="1"/>
      <w:r w:rsidRPr="00D837DA">
        <w:rPr>
          <w:rFonts w:cs="Arial"/>
          <w:b/>
          <w:bCs/>
          <w:color w:val="355F91"/>
          <w:szCs w:val="22"/>
        </w:rPr>
        <w:lastRenderedPageBreak/>
        <w:t>Ye, Q.</w:t>
      </w:r>
      <w:r w:rsidRPr="00D837DA">
        <w:rPr>
          <w:rFonts w:cs="Arial"/>
          <w:b/>
          <w:bCs/>
          <w:color w:val="355F91"/>
          <w:szCs w:val="22"/>
          <w:vertAlign w:val="superscript"/>
        </w:rPr>
        <w:t>1</w:t>
      </w:r>
      <w:r w:rsidRPr="00D837DA">
        <w:rPr>
          <w:rFonts w:cs="Arial"/>
          <w:b/>
          <w:bCs/>
          <w:color w:val="355F91"/>
          <w:szCs w:val="22"/>
        </w:rPr>
        <w:t xml:space="preserve">, </w:t>
      </w:r>
      <w:r w:rsidR="005A2F7F" w:rsidRPr="00D837DA">
        <w:rPr>
          <w:rFonts w:cs="Arial"/>
          <w:b/>
          <w:bCs/>
          <w:color w:val="355F91"/>
          <w:szCs w:val="22"/>
        </w:rPr>
        <w:t>Giatas, G.</w:t>
      </w:r>
      <w:r w:rsidR="005A2F7F" w:rsidRPr="00D837DA">
        <w:rPr>
          <w:rFonts w:cs="Arial"/>
          <w:b/>
          <w:bCs/>
          <w:color w:val="355F91"/>
          <w:szCs w:val="22"/>
          <w:vertAlign w:val="superscript"/>
        </w:rPr>
        <w:t>1</w:t>
      </w:r>
      <w:r w:rsidR="005A2F7F" w:rsidRPr="00D837DA">
        <w:rPr>
          <w:rFonts w:cs="Arial"/>
          <w:b/>
          <w:bCs/>
          <w:color w:val="355F91"/>
          <w:szCs w:val="22"/>
        </w:rPr>
        <w:t xml:space="preserve">, </w:t>
      </w:r>
      <w:r w:rsidRPr="00D837DA">
        <w:rPr>
          <w:rFonts w:cs="Arial"/>
          <w:b/>
          <w:bCs/>
          <w:color w:val="355F91"/>
          <w:szCs w:val="22"/>
        </w:rPr>
        <w:t>Aldridge, K.</w:t>
      </w:r>
      <w:r w:rsidRPr="00D837DA">
        <w:rPr>
          <w:rFonts w:cs="Arial"/>
          <w:b/>
          <w:bCs/>
          <w:color w:val="355F91"/>
          <w:szCs w:val="22"/>
          <w:vertAlign w:val="superscript"/>
        </w:rPr>
        <w:t>2</w:t>
      </w:r>
      <w:r w:rsidR="00424CD2" w:rsidRPr="00D837DA">
        <w:rPr>
          <w:rFonts w:cs="Arial"/>
          <w:b/>
          <w:bCs/>
          <w:color w:val="355F91"/>
          <w:szCs w:val="22"/>
        </w:rPr>
        <w:t xml:space="preserve">, </w:t>
      </w:r>
      <w:r w:rsidR="004C0C13" w:rsidRPr="00D837DA">
        <w:rPr>
          <w:rFonts w:cs="Arial"/>
          <w:b/>
          <w:bCs/>
          <w:color w:val="355F91"/>
          <w:szCs w:val="22"/>
        </w:rPr>
        <w:t>Busch, B.</w:t>
      </w:r>
      <w:r w:rsidR="004C0C13" w:rsidRPr="00D837DA">
        <w:rPr>
          <w:rFonts w:cs="Arial"/>
          <w:b/>
          <w:bCs/>
          <w:color w:val="355F91"/>
          <w:szCs w:val="22"/>
          <w:vertAlign w:val="superscript"/>
        </w:rPr>
        <w:t>3</w:t>
      </w:r>
      <w:r w:rsidR="004C0C13" w:rsidRPr="00D837DA">
        <w:rPr>
          <w:rFonts w:cs="Arial"/>
          <w:b/>
          <w:bCs/>
          <w:color w:val="355F91"/>
          <w:szCs w:val="22"/>
        </w:rPr>
        <w:t xml:space="preserve">, </w:t>
      </w:r>
      <w:r w:rsidRPr="00D837DA">
        <w:rPr>
          <w:rFonts w:cs="Arial"/>
          <w:b/>
          <w:bCs/>
          <w:color w:val="355F91"/>
          <w:szCs w:val="22"/>
        </w:rPr>
        <w:t>Gibbs, M.</w:t>
      </w:r>
      <w:r w:rsidR="00EF4CBC" w:rsidRPr="00D837DA">
        <w:rPr>
          <w:rFonts w:cs="Arial"/>
          <w:b/>
          <w:bCs/>
          <w:color w:val="355F91"/>
          <w:szCs w:val="22"/>
          <w:vertAlign w:val="superscript"/>
        </w:rPr>
        <w:t>2,</w:t>
      </w:r>
      <w:r w:rsidR="004C0C13" w:rsidRPr="00D837DA">
        <w:rPr>
          <w:rFonts w:cs="Arial"/>
          <w:b/>
          <w:bCs/>
          <w:color w:val="355F91"/>
          <w:szCs w:val="22"/>
          <w:vertAlign w:val="superscript"/>
        </w:rPr>
        <w:t>4</w:t>
      </w:r>
      <w:r w:rsidRPr="00D837DA">
        <w:rPr>
          <w:rFonts w:cs="Arial"/>
          <w:b/>
          <w:bCs/>
          <w:color w:val="355F91"/>
          <w:szCs w:val="22"/>
        </w:rPr>
        <w:t xml:space="preserve">, </w:t>
      </w:r>
      <w:r w:rsidR="004C0C13" w:rsidRPr="00D837DA">
        <w:rPr>
          <w:rFonts w:cs="Arial"/>
          <w:b/>
          <w:bCs/>
          <w:color w:val="355F91"/>
          <w:szCs w:val="22"/>
        </w:rPr>
        <w:t>Hipsey, M.</w:t>
      </w:r>
      <w:r w:rsidR="004C0C13" w:rsidRPr="00D837DA">
        <w:rPr>
          <w:rFonts w:cs="Arial"/>
          <w:b/>
          <w:bCs/>
          <w:color w:val="355F91"/>
          <w:szCs w:val="22"/>
          <w:vertAlign w:val="superscript"/>
        </w:rPr>
        <w:t>3</w:t>
      </w:r>
      <w:r w:rsidR="004C0C13" w:rsidRPr="00D837DA">
        <w:rPr>
          <w:rFonts w:cs="Arial"/>
          <w:b/>
          <w:bCs/>
          <w:color w:val="355F91"/>
          <w:szCs w:val="22"/>
        </w:rPr>
        <w:t>, Lorenz, Z.</w:t>
      </w:r>
      <w:r w:rsidR="004C0C13" w:rsidRPr="00D837DA">
        <w:rPr>
          <w:rFonts w:cs="Arial"/>
          <w:b/>
          <w:bCs/>
          <w:color w:val="355F91"/>
          <w:szCs w:val="22"/>
          <w:vertAlign w:val="superscript"/>
        </w:rPr>
        <w:t>5</w:t>
      </w:r>
      <w:r w:rsidR="004C0C13" w:rsidRPr="00D837DA">
        <w:rPr>
          <w:rFonts w:cs="Arial"/>
          <w:b/>
          <w:bCs/>
          <w:color w:val="355F91"/>
          <w:szCs w:val="22"/>
        </w:rPr>
        <w:t xml:space="preserve">, </w:t>
      </w:r>
      <w:r w:rsidR="009C652D">
        <w:rPr>
          <w:rFonts w:cs="Arial"/>
          <w:b/>
          <w:bCs/>
          <w:color w:val="355F91"/>
          <w:szCs w:val="22"/>
        </w:rPr>
        <w:t>Mass, R.</w:t>
      </w:r>
      <w:r w:rsidR="00E57D58">
        <w:rPr>
          <w:rFonts w:cs="Arial"/>
          <w:b/>
          <w:bCs/>
          <w:color w:val="355F91"/>
          <w:szCs w:val="22"/>
          <w:vertAlign w:val="superscript"/>
        </w:rPr>
        <w:t>6</w:t>
      </w:r>
      <w:r w:rsidR="009C652D">
        <w:rPr>
          <w:rFonts w:cs="Arial"/>
          <w:b/>
          <w:bCs/>
          <w:color w:val="355F91"/>
          <w:szCs w:val="22"/>
        </w:rPr>
        <w:t xml:space="preserve">, </w:t>
      </w:r>
      <w:r w:rsidRPr="00D837DA">
        <w:rPr>
          <w:rFonts w:cs="Arial"/>
          <w:b/>
          <w:bCs/>
          <w:color w:val="355F91"/>
          <w:szCs w:val="22"/>
        </w:rPr>
        <w:t>Oliver, R.</w:t>
      </w:r>
      <w:r w:rsidR="004C0C13" w:rsidRPr="00D837DA">
        <w:rPr>
          <w:rFonts w:cs="Arial"/>
          <w:b/>
          <w:bCs/>
          <w:color w:val="355F91"/>
          <w:szCs w:val="22"/>
          <w:vertAlign w:val="superscript"/>
        </w:rPr>
        <w:t>5</w:t>
      </w:r>
      <w:r w:rsidRPr="00D837DA">
        <w:rPr>
          <w:rFonts w:cs="Arial"/>
          <w:b/>
          <w:bCs/>
          <w:color w:val="355F91"/>
          <w:szCs w:val="22"/>
        </w:rPr>
        <w:t>, Shiel, R</w:t>
      </w:r>
      <w:r w:rsidR="00EF4CBC" w:rsidRPr="00D837DA">
        <w:rPr>
          <w:rFonts w:cs="Arial"/>
          <w:b/>
          <w:bCs/>
          <w:color w:val="355F91"/>
          <w:szCs w:val="22"/>
        </w:rPr>
        <w:t>.</w:t>
      </w:r>
      <w:r w:rsidRPr="00D837DA">
        <w:rPr>
          <w:rFonts w:cs="Arial"/>
          <w:b/>
          <w:bCs/>
          <w:color w:val="355F91"/>
          <w:szCs w:val="22"/>
          <w:vertAlign w:val="superscript"/>
        </w:rPr>
        <w:t>2</w:t>
      </w:r>
      <w:r w:rsidR="00EF4CBC" w:rsidRPr="00D837DA">
        <w:rPr>
          <w:rFonts w:cs="Arial"/>
          <w:b/>
          <w:bCs/>
          <w:color w:val="355F91"/>
          <w:szCs w:val="22"/>
          <w:vertAlign w:val="superscript"/>
        </w:rPr>
        <w:t>,</w:t>
      </w:r>
      <w:r w:rsidR="00E57D58">
        <w:rPr>
          <w:rFonts w:cs="Arial"/>
          <w:b/>
          <w:bCs/>
          <w:color w:val="355F91"/>
          <w:szCs w:val="22"/>
          <w:vertAlign w:val="superscript"/>
        </w:rPr>
        <w:t>7</w:t>
      </w:r>
      <w:r w:rsidR="009C652D">
        <w:rPr>
          <w:rFonts w:cs="Arial"/>
          <w:b/>
          <w:bCs/>
          <w:color w:val="355F91"/>
          <w:szCs w:val="22"/>
        </w:rPr>
        <w:t xml:space="preserve">, </w:t>
      </w:r>
      <w:r w:rsidR="00EA7151">
        <w:rPr>
          <w:rFonts w:cs="Arial"/>
          <w:b/>
          <w:bCs/>
          <w:color w:val="355F91"/>
          <w:szCs w:val="22"/>
        </w:rPr>
        <w:t>Woodhead, J</w:t>
      </w:r>
      <w:r w:rsidR="009C652D">
        <w:rPr>
          <w:rFonts w:cs="Arial"/>
          <w:b/>
          <w:bCs/>
          <w:color w:val="355F91"/>
          <w:szCs w:val="22"/>
        </w:rPr>
        <w:t>.</w:t>
      </w:r>
      <w:r w:rsidR="00E57D58">
        <w:rPr>
          <w:rFonts w:cs="Arial"/>
          <w:b/>
          <w:bCs/>
          <w:color w:val="355F91"/>
          <w:szCs w:val="22"/>
          <w:vertAlign w:val="superscript"/>
        </w:rPr>
        <w:t>6</w:t>
      </w:r>
      <w:r w:rsidR="009C652D">
        <w:rPr>
          <w:rFonts w:cs="Arial"/>
          <w:b/>
          <w:bCs/>
          <w:color w:val="355F91"/>
          <w:szCs w:val="22"/>
        </w:rPr>
        <w:t xml:space="preserve"> </w:t>
      </w:r>
      <w:r w:rsidRPr="00D837DA">
        <w:rPr>
          <w:rFonts w:cs="Arial"/>
          <w:b/>
          <w:bCs/>
          <w:color w:val="355F91"/>
          <w:szCs w:val="22"/>
        </w:rPr>
        <w:t>and Zampatti, B.</w:t>
      </w:r>
      <w:r w:rsidRPr="00D837DA">
        <w:rPr>
          <w:rFonts w:cs="Arial"/>
          <w:b/>
          <w:bCs/>
          <w:color w:val="355F91"/>
          <w:szCs w:val="22"/>
          <w:vertAlign w:val="superscript"/>
        </w:rPr>
        <w:t>1</w:t>
      </w:r>
      <w:r w:rsidRPr="00D837DA">
        <w:rPr>
          <w:rFonts w:cs="Arial"/>
          <w:b/>
          <w:bCs/>
          <w:color w:val="355F91"/>
          <w:szCs w:val="22"/>
        </w:rPr>
        <w:t xml:space="preserve"> </w:t>
      </w:r>
      <w:r w:rsidR="00726321" w:rsidRPr="001F65AB">
        <w:rPr>
          <w:rFonts w:cs="Arial"/>
          <w:b/>
          <w:bCs/>
          <w:color w:val="355F91"/>
          <w:szCs w:val="22"/>
        </w:rPr>
        <w:t>(201</w:t>
      </w:r>
      <w:r w:rsidR="00965BDD">
        <w:rPr>
          <w:rFonts w:cs="Arial"/>
          <w:b/>
          <w:bCs/>
          <w:color w:val="355F91"/>
          <w:szCs w:val="22"/>
        </w:rPr>
        <w:t>7</w:t>
      </w:r>
      <w:r w:rsidR="00A62C74" w:rsidRPr="001F65AB">
        <w:rPr>
          <w:rFonts w:cs="Arial"/>
          <w:b/>
          <w:bCs/>
          <w:color w:val="355F91"/>
          <w:szCs w:val="22"/>
        </w:rPr>
        <w:t xml:space="preserve">). </w:t>
      </w:r>
      <w:r w:rsidR="00C757C7" w:rsidRPr="001F65AB">
        <w:rPr>
          <w:rFonts w:cs="Arial"/>
          <w:b/>
          <w:bCs/>
          <w:color w:val="355F91"/>
          <w:szCs w:val="22"/>
        </w:rPr>
        <w:t>Long-Term Intervention Monitoring</w:t>
      </w:r>
      <w:r w:rsidR="001050E0">
        <w:rPr>
          <w:rFonts w:cs="Arial"/>
          <w:b/>
          <w:bCs/>
          <w:color w:val="355F91"/>
          <w:szCs w:val="22"/>
        </w:rPr>
        <w:t xml:space="preserve"> of</w:t>
      </w:r>
      <w:r w:rsidR="00C757C7" w:rsidRPr="001F65AB">
        <w:rPr>
          <w:rFonts w:cs="Arial"/>
          <w:b/>
          <w:bCs/>
          <w:color w:val="355F91"/>
          <w:szCs w:val="22"/>
        </w:rPr>
        <w:t xml:space="preserve"> the Ecological Responses to Commonwealth Environmental Water Delivered to the Lower Murray River Selected Area in 201</w:t>
      </w:r>
      <w:r w:rsidR="007B0B0A">
        <w:rPr>
          <w:rFonts w:cs="Arial"/>
          <w:b/>
          <w:bCs/>
          <w:color w:val="355F91"/>
          <w:szCs w:val="22"/>
        </w:rPr>
        <w:t>5</w:t>
      </w:r>
      <w:r w:rsidR="00512BBD" w:rsidRPr="001F65AB">
        <w:rPr>
          <w:rFonts w:cs="Arial"/>
          <w:b/>
          <w:bCs/>
          <w:color w:val="355F91"/>
          <w:szCs w:val="22"/>
        </w:rPr>
        <w:t>/</w:t>
      </w:r>
      <w:r w:rsidR="00C757C7" w:rsidRPr="001F65AB">
        <w:rPr>
          <w:rFonts w:cs="Arial"/>
          <w:b/>
          <w:bCs/>
          <w:color w:val="355F91"/>
          <w:szCs w:val="22"/>
        </w:rPr>
        <w:t>1</w:t>
      </w:r>
      <w:r w:rsidR="007B0B0A">
        <w:rPr>
          <w:rFonts w:cs="Arial"/>
          <w:b/>
          <w:bCs/>
          <w:color w:val="355F91"/>
          <w:szCs w:val="22"/>
        </w:rPr>
        <w:t>6</w:t>
      </w:r>
      <w:r w:rsidR="00377E5B" w:rsidRPr="001F65AB">
        <w:rPr>
          <w:rFonts w:cs="Arial"/>
          <w:b/>
          <w:bCs/>
          <w:color w:val="355F91"/>
          <w:szCs w:val="22"/>
        </w:rPr>
        <w:t xml:space="preserve">. </w:t>
      </w:r>
      <w:r w:rsidR="00F62B37" w:rsidRPr="001F65AB">
        <w:rPr>
          <w:rFonts w:cs="Arial"/>
          <w:b/>
          <w:bCs/>
          <w:color w:val="355F91"/>
          <w:szCs w:val="22"/>
        </w:rPr>
        <w:t>A report</w:t>
      </w:r>
      <w:r w:rsidR="00A62C74" w:rsidRPr="001F65AB">
        <w:rPr>
          <w:rFonts w:cs="Arial"/>
          <w:b/>
          <w:bCs/>
          <w:color w:val="355F91"/>
          <w:szCs w:val="22"/>
        </w:rPr>
        <w:t xml:space="preserve"> prepared for </w:t>
      </w:r>
      <w:r w:rsidR="00816EA6">
        <w:rPr>
          <w:rFonts w:cs="Arial"/>
          <w:b/>
          <w:bCs/>
          <w:color w:val="355F91"/>
          <w:szCs w:val="22"/>
        </w:rPr>
        <w:t xml:space="preserve">the </w:t>
      </w:r>
      <w:r w:rsidR="00A62C74" w:rsidRPr="001F65AB">
        <w:rPr>
          <w:rFonts w:cs="Arial"/>
          <w:b/>
          <w:bCs/>
          <w:color w:val="355F91"/>
          <w:szCs w:val="22"/>
        </w:rPr>
        <w:t>Commonwealth Environmental Water Office. South Australian Research and Developme</w:t>
      </w:r>
      <w:r w:rsidR="00C757C7" w:rsidRPr="001F65AB">
        <w:rPr>
          <w:rFonts w:cs="Arial"/>
          <w:b/>
          <w:bCs/>
          <w:color w:val="355F91"/>
          <w:szCs w:val="22"/>
        </w:rPr>
        <w:t>nt Institute, Aquatic Sciences.</w:t>
      </w:r>
    </w:p>
    <w:p w14:paraId="037EA922" w14:textId="77777777" w:rsidR="00A62C74" w:rsidRPr="00A67C76" w:rsidRDefault="00A62C74" w:rsidP="00554B7A">
      <w:pPr>
        <w:spacing w:after="0" w:line="240" w:lineRule="auto"/>
        <w:contextualSpacing/>
        <w:rPr>
          <w:rFonts w:cs="Arial"/>
          <w:bCs/>
          <w:sz w:val="20"/>
        </w:rPr>
      </w:pPr>
      <w:r w:rsidRPr="00A67C76">
        <w:rPr>
          <w:rFonts w:cs="Arial"/>
          <w:bCs/>
          <w:sz w:val="20"/>
          <w:vertAlign w:val="superscript"/>
        </w:rPr>
        <w:t>1</w:t>
      </w:r>
      <w:r w:rsidRPr="00A67C76">
        <w:rPr>
          <w:rFonts w:cs="Arial"/>
          <w:bCs/>
          <w:sz w:val="20"/>
        </w:rPr>
        <w:t xml:space="preserve"> SARDI Aquatics Sciences</w:t>
      </w:r>
    </w:p>
    <w:p w14:paraId="2D2B2D4F" w14:textId="77777777" w:rsidR="00A62C74" w:rsidRDefault="00A62C74" w:rsidP="00554B7A">
      <w:pPr>
        <w:spacing w:after="0" w:line="240" w:lineRule="auto"/>
        <w:contextualSpacing/>
        <w:rPr>
          <w:rFonts w:cs="Arial"/>
          <w:bCs/>
          <w:sz w:val="20"/>
        </w:rPr>
      </w:pPr>
      <w:r w:rsidRPr="00A67C76">
        <w:rPr>
          <w:rFonts w:cs="Arial"/>
          <w:bCs/>
          <w:sz w:val="20"/>
          <w:vertAlign w:val="superscript"/>
        </w:rPr>
        <w:t>2</w:t>
      </w:r>
      <w:r w:rsidRPr="00A67C76">
        <w:rPr>
          <w:rFonts w:cs="Arial"/>
          <w:bCs/>
          <w:sz w:val="20"/>
        </w:rPr>
        <w:t xml:space="preserve"> The University of Adelaide</w:t>
      </w:r>
    </w:p>
    <w:p w14:paraId="6C75ECC3" w14:textId="77777777" w:rsidR="004C0C13" w:rsidRDefault="004C0C13" w:rsidP="004C0C13">
      <w:pPr>
        <w:spacing w:after="0" w:line="240" w:lineRule="auto"/>
        <w:contextualSpacing/>
        <w:rPr>
          <w:rFonts w:cs="Arial"/>
          <w:bCs/>
          <w:sz w:val="20"/>
        </w:rPr>
      </w:pPr>
      <w:r>
        <w:rPr>
          <w:rFonts w:cs="Arial"/>
          <w:bCs/>
          <w:sz w:val="20"/>
          <w:vertAlign w:val="superscript"/>
        </w:rPr>
        <w:t>3</w:t>
      </w:r>
      <w:r w:rsidRPr="00A67C76">
        <w:rPr>
          <w:rFonts w:cs="Arial"/>
          <w:bCs/>
          <w:sz w:val="20"/>
        </w:rPr>
        <w:t xml:space="preserve"> The University of </w:t>
      </w:r>
      <w:r>
        <w:rPr>
          <w:rFonts w:cs="Arial"/>
          <w:bCs/>
          <w:sz w:val="20"/>
        </w:rPr>
        <w:t>Western Australia</w:t>
      </w:r>
    </w:p>
    <w:p w14:paraId="0308F678" w14:textId="77777777" w:rsidR="00D151A6" w:rsidRPr="00A67C76" w:rsidRDefault="004C0C13" w:rsidP="00D151A6">
      <w:pPr>
        <w:spacing w:after="0" w:line="240" w:lineRule="auto"/>
        <w:contextualSpacing/>
        <w:rPr>
          <w:rFonts w:cs="Arial"/>
          <w:bCs/>
          <w:sz w:val="20"/>
        </w:rPr>
      </w:pPr>
      <w:r>
        <w:rPr>
          <w:rFonts w:cs="Arial"/>
          <w:bCs/>
          <w:sz w:val="20"/>
          <w:vertAlign w:val="superscript"/>
        </w:rPr>
        <w:t>4</w:t>
      </w:r>
      <w:r w:rsidR="00D151A6" w:rsidRPr="00A67C76">
        <w:rPr>
          <w:rFonts w:cs="Arial"/>
          <w:bCs/>
          <w:sz w:val="20"/>
          <w:vertAlign w:val="superscript"/>
        </w:rPr>
        <w:t xml:space="preserve"> </w:t>
      </w:r>
      <w:r w:rsidR="00D151A6">
        <w:rPr>
          <w:rFonts w:cs="Arial"/>
          <w:bCs/>
          <w:sz w:val="20"/>
        </w:rPr>
        <w:t>DEWNR</w:t>
      </w:r>
    </w:p>
    <w:p w14:paraId="09E4165D" w14:textId="77777777" w:rsidR="00D151A6" w:rsidRPr="00A67C76" w:rsidRDefault="004C0C13" w:rsidP="00D151A6">
      <w:pPr>
        <w:spacing w:after="0" w:line="240" w:lineRule="auto"/>
        <w:contextualSpacing/>
        <w:rPr>
          <w:rFonts w:cs="Arial"/>
          <w:bCs/>
          <w:sz w:val="20"/>
        </w:rPr>
      </w:pPr>
      <w:r>
        <w:rPr>
          <w:rFonts w:cs="Arial"/>
          <w:bCs/>
          <w:sz w:val="20"/>
          <w:vertAlign w:val="superscript"/>
        </w:rPr>
        <w:t>5</w:t>
      </w:r>
      <w:r w:rsidR="00D151A6" w:rsidRPr="00A67C76">
        <w:rPr>
          <w:rFonts w:cs="Arial"/>
          <w:bCs/>
          <w:sz w:val="20"/>
        </w:rPr>
        <w:t xml:space="preserve"> CSIRO</w:t>
      </w:r>
    </w:p>
    <w:p w14:paraId="2E766C92" w14:textId="5DBD7EB4" w:rsidR="009C652D" w:rsidRPr="00E57D58" w:rsidRDefault="004C0C13" w:rsidP="00C83F67">
      <w:pPr>
        <w:spacing w:after="0" w:line="240" w:lineRule="auto"/>
        <w:contextualSpacing/>
        <w:rPr>
          <w:rFonts w:cs="Arial"/>
          <w:bCs/>
          <w:sz w:val="20"/>
        </w:rPr>
      </w:pPr>
      <w:r>
        <w:rPr>
          <w:rFonts w:cs="Arial"/>
          <w:bCs/>
          <w:sz w:val="20"/>
          <w:vertAlign w:val="superscript"/>
        </w:rPr>
        <w:t>6</w:t>
      </w:r>
      <w:r w:rsidR="00C83F67" w:rsidRPr="00A67C76">
        <w:rPr>
          <w:rFonts w:cs="Arial"/>
          <w:bCs/>
          <w:sz w:val="20"/>
          <w:vertAlign w:val="superscript"/>
        </w:rPr>
        <w:t xml:space="preserve"> </w:t>
      </w:r>
      <w:r w:rsidR="00E57D58">
        <w:rPr>
          <w:rFonts w:cs="Arial"/>
          <w:bCs/>
          <w:sz w:val="20"/>
        </w:rPr>
        <w:t>University of Melbourne</w:t>
      </w:r>
    </w:p>
    <w:p w14:paraId="0E3AAD2E" w14:textId="251D859A" w:rsidR="00C83F67" w:rsidRDefault="009C652D" w:rsidP="00C83F67">
      <w:pPr>
        <w:spacing w:after="0" w:line="240" w:lineRule="auto"/>
        <w:contextualSpacing/>
        <w:rPr>
          <w:rFonts w:cs="Arial"/>
          <w:bCs/>
          <w:sz w:val="20"/>
        </w:rPr>
      </w:pPr>
      <w:r>
        <w:rPr>
          <w:rFonts w:cs="Arial"/>
          <w:bCs/>
          <w:sz w:val="20"/>
          <w:vertAlign w:val="superscript"/>
        </w:rPr>
        <w:t xml:space="preserve">7 </w:t>
      </w:r>
      <w:r w:rsidR="00C83F67">
        <w:rPr>
          <w:rFonts w:cs="Arial"/>
          <w:bCs/>
          <w:sz w:val="20"/>
        </w:rPr>
        <w:t>Wetland Research and Management</w:t>
      </w:r>
    </w:p>
    <w:p w14:paraId="7C127B70" w14:textId="789B344B" w:rsidR="00F62B37" w:rsidRDefault="007B19E8" w:rsidP="00F07673">
      <w:pPr>
        <w:spacing w:line="240" w:lineRule="auto"/>
        <w:rPr>
          <w:rFonts w:cs="Arial"/>
          <w:bCs/>
          <w:sz w:val="20"/>
        </w:rPr>
      </w:pPr>
      <w:r>
        <w:rPr>
          <w:noProof/>
          <w:lang w:eastAsia="en-AU"/>
        </w:rPr>
        <w:drawing>
          <wp:anchor distT="0" distB="0" distL="114300" distR="114300" simplePos="0" relativeHeight="251734016" behindDoc="0" locked="0" layoutInCell="1" allowOverlap="1" wp14:anchorId="57392DCE" wp14:editId="1B885526">
            <wp:simplePos x="0" y="0"/>
            <wp:positionH relativeFrom="margin">
              <wp:posOffset>4599305</wp:posOffset>
            </wp:positionH>
            <wp:positionV relativeFrom="paragraph">
              <wp:posOffset>1209040</wp:posOffset>
            </wp:positionV>
            <wp:extent cx="691515" cy="697865"/>
            <wp:effectExtent l="0" t="0" r="0" b="6985"/>
            <wp:wrapThrough wrapText="bothSides">
              <wp:wrapPolygon edited="0">
                <wp:start x="0" y="0"/>
                <wp:lineTo x="0" y="21227"/>
                <wp:lineTo x="20826" y="21227"/>
                <wp:lineTo x="208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OM-Rev3D_S_Sm1 (003).jpg"/>
                    <pic:cNvPicPr/>
                  </pic:nvPicPr>
                  <pic:blipFill>
                    <a:blip r:embed="rId29" cstate="email">
                      <a:extLst>
                        <a:ext uri="{28A0092B-C50C-407E-A947-70E740481C1C}">
                          <a14:useLocalDpi xmlns:a14="http://schemas.microsoft.com/office/drawing/2010/main"/>
                        </a:ext>
                      </a:extLst>
                    </a:blip>
                    <a:stretch>
                      <a:fillRect/>
                    </a:stretch>
                  </pic:blipFill>
                  <pic:spPr>
                    <a:xfrm>
                      <a:off x="0" y="0"/>
                      <a:ext cx="691515" cy="69786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06368" behindDoc="0" locked="0" layoutInCell="1" allowOverlap="1" wp14:anchorId="41996A35" wp14:editId="68E4E7E1">
            <wp:simplePos x="0" y="0"/>
            <wp:positionH relativeFrom="margin">
              <wp:align>left</wp:align>
            </wp:positionH>
            <wp:positionV relativeFrom="paragraph">
              <wp:posOffset>1190322</wp:posOffset>
            </wp:positionV>
            <wp:extent cx="802640" cy="802640"/>
            <wp:effectExtent l="0" t="0" r="0" b="0"/>
            <wp:wrapNone/>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802640" cy="802640"/>
                    </a:xfrm>
                    <a:prstGeom prst="rect">
                      <a:avLst/>
                    </a:prstGeom>
                  </pic:spPr>
                </pic:pic>
              </a:graphicData>
            </a:graphic>
          </wp:anchor>
        </w:drawing>
      </w:r>
      <w:r w:rsidR="00F62B37" w:rsidRPr="00574487">
        <w:rPr>
          <w:noProof/>
          <w:lang w:eastAsia="en-AU"/>
        </w:rPr>
        <w:drawing>
          <wp:inline distT="0" distB="0" distL="0" distR="0" wp14:anchorId="60C1770C" wp14:editId="7900ED55">
            <wp:extent cx="5278120" cy="1120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278120" cy="1120740"/>
                    </a:xfrm>
                    <a:prstGeom prst="rect">
                      <a:avLst/>
                    </a:prstGeom>
                    <a:noFill/>
                    <a:ln>
                      <a:noFill/>
                    </a:ln>
                  </pic:spPr>
                </pic:pic>
              </a:graphicData>
            </a:graphic>
          </wp:inline>
        </w:drawing>
      </w:r>
    </w:p>
    <w:p w14:paraId="6C16826A" w14:textId="48C31921" w:rsidR="00F62B37" w:rsidRDefault="007B19E8" w:rsidP="00F07673">
      <w:pPr>
        <w:spacing w:line="240" w:lineRule="auto"/>
        <w:rPr>
          <w:rFonts w:cs="Arial"/>
          <w:bCs/>
          <w:sz w:val="20"/>
        </w:rPr>
      </w:pPr>
      <w:r>
        <w:rPr>
          <w:noProof/>
          <w:lang w:eastAsia="en-AU"/>
        </w:rPr>
        <w:drawing>
          <wp:anchor distT="0" distB="0" distL="114300" distR="114300" simplePos="0" relativeHeight="251708416" behindDoc="0" locked="0" layoutInCell="1" allowOverlap="1" wp14:anchorId="339DDE40" wp14:editId="6DA2962E">
            <wp:simplePos x="0" y="0"/>
            <wp:positionH relativeFrom="column">
              <wp:posOffset>2348258</wp:posOffset>
            </wp:positionH>
            <wp:positionV relativeFrom="paragraph">
              <wp:posOffset>99750</wp:posOffset>
            </wp:positionV>
            <wp:extent cx="1881505" cy="410210"/>
            <wp:effectExtent l="0" t="0" r="4445" b="8890"/>
            <wp:wrapNone/>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881505" cy="410210"/>
                    </a:xfrm>
                    <a:prstGeom prst="rect">
                      <a:avLst/>
                    </a:prstGeom>
                    <a:noFill/>
                    <a:ln>
                      <a:noFill/>
                    </a:ln>
                    <a:extLst/>
                  </pic:spPr>
                </pic:pic>
              </a:graphicData>
            </a:graphic>
          </wp:anchor>
        </w:drawing>
      </w:r>
      <w:r>
        <w:rPr>
          <w:noProof/>
          <w:lang w:eastAsia="en-AU"/>
        </w:rPr>
        <w:drawing>
          <wp:anchor distT="0" distB="0" distL="114300" distR="114300" simplePos="0" relativeHeight="251705344" behindDoc="0" locked="0" layoutInCell="1" allowOverlap="1" wp14:anchorId="7A753A71" wp14:editId="7FA7EB77">
            <wp:simplePos x="0" y="0"/>
            <wp:positionH relativeFrom="column">
              <wp:posOffset>1086044</wp:posOffset>
            </wp:positionH>
            <wp:positionV relativeFrom="paragraph">
              <wp:posOffset>88541</wp:posOffset>
            </wp:positionV>
            <wp:extent cx="1084580" cy="360680"/>
            <wp:effectExtent l="0" t="0" r="1270" b="1270"/>
            <wp:wrapNone/>
            <wp:docPr id="1026" name="Picture 3" descr="Description: Description: W:\WRM LOGO\WRM_ARTWORK\WR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3" descr="Description: Description: W:\WRM LOGO\WRM_ARTWORK\WRM_LOGO.jp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084580" cy="360680"/>
                    </a:xfrm>
                    <a:prstGeom prst="rect">
                      <a:avLst/>
                    </a:prstGeom>
                    <a:noFill/>
                    <a:ln>
                      <a:noFill/>
                    </a:ln>
                    <a:extLst/>
                  </pic:spPr>
                </pic:pic>
              </a:graphicData>
            </a:graphic>
          </wp:anchor>
        </w:drawing>
      </w:r>
    </w:p>
    <w:p w14:paraId="3696155E" w14:textId="77777777" w:rsidR="00F62B37" w:rsidRDefault="00F62B37" w:rsidP="00F07673">
      <w:pPr>
        <w:spacing w:line="240" w:lineRule="auto"/>
        <w:rPr>
          <w:rFonts w:cs="Arial"/>
          <w:bCs/>
          <w:sz w:val="20"/>
        </w:rPr>
      </w:pPr>
    </w:p>
    <w:p w14:paraId="36BE908A" w14:textId="77777777" w:rsidR="00F62B37" w:rsidRDefault="00F62B37" w:rsidP="000274A7">
      <w:pPr>
        <w:spacing w:line="240" w:lineRule="auto"/>
        <w:rPr>
          <w:rFonts w:cs="Arial"/>
          <w:bCs/>
          <w:sz w:val="20"/>
        </w:rPr>
      </w:pPr>
    </w:p>
    <w:p w14:paraId="47BBCC5C" w14:textId="6C4916AD" w:rsidR="00A62C74" w:rsidRDefault="005E7FDB" w:rsidP="000274A7">
      <w:pPr>
        <w:pStyle w:val="ListBullet"/>
        <w:numPr>
          <w:ilvl w:val="0"/>
          <w:numId w:val="0"/>
        </w:numPr>
        <w:spacing w:line="240" w:lineRule="auto"/>
        <w:rPr>
          <w:bCs/>
          <w:sz w:val="20"/>
          <w:szCs w:val="20"/>
        </w:rPr>
      </w:pPr>
      <w:r w:rsidRPr="001F65AB">
        <w:rPr>
          <w:bCs/>
          <w:sz w:val="20"/>
        </w:rPr>
        <w:t xml:space="preserve">This monitoring project was commissioned and funded by Commonwealth Environmental Water Office with additional in-kind support from South Australian Research and </w:t>
      </w:r>
      <w:r w:rsidR="00A804B8" w:rsidRPr="001F65AB">
        <w:rPr>
          <w:bCs/>
          <w:sz w:val="20"/>
        </w:rPr>
        <w:t>D</w:t>
      </w:r>
      <w:r w:rsidRPr="001F65AB">
        <w:rPr>
          <w:bCs/>
          <w:sz w:val="20"/>
        </w:rPr>
        <w:t>evelopment Institute</w:t>
      </w:r>
      <w:r w:rsidR="00C757C7" w:rsidRPr="001F65AB">
        <w:rPr>
          <w:bCs/>
          <w:sz w:val="20"/>
        </w:rPr>
        <w:t xml:space="preserve"> (SARDI)</w:t>
      </w:r>
      <w:r w:rsidRPr="001F65AB">
        <w:rPr>
          <w:bCs/>
          <w:sz w:val="20"/>
        </w:rPr>
        <w:t xml:space="preserve">, </w:t>
      </w:r>
      <w:r w:rsidR="00A804B8" w:rsidRPr="001F65AB">
        <w:rPr>
          <w:sz w:val="20"/>
          <w:szCs w:val="20"/>
        </w:rPr>
        <w:t xml:space="preserve">Commonwealth Scientific and Industrial Research Organisation (CSIRO), </w:t>
      </w:r>
      <w:r w:rsidRPr="001F65AB">
        <w:rPr>
          <w:bCs/>
          <w:sz w:val="20"/>
        </w:rPr>
        <w:t>South Australian Department of Environment, Water and Natural Resources</w:t>
      </w:r>
      <w:r w:rsidR="00C757C7" w:rsidRPr="001F65AB">
        <w:rPr>
          <w:bCs/>
          <w:sz w:val="20"/>
        </w:rPr>
        <w:t xml:space="preserve"> (DEWNR)</w:t>
      </w:r>
      <w:r w:rsidRPr="001F65AB">
        <w:rPr>
          <w:bCs/>
          <w:sz w:val="20"/>
        </w:rPr>
        <w:t xml:space="preserve"> and Environment Protection Authority, South Australia</w:t>
      </w:r>
      <w:r w:rsidR="00C757C7" w:rsidRPr="001F65AB">
        <w:rPr>
          <w:bCs/>
          <w:sz w:val="20"/>
        </w:rPr>
        <w:t xml:space="preserve"> (EPA)</w:t>
      </w:r>
      <w:r w:rsidRPr="001F65AB">
        <w:rPr>
          <w:bCs/>
          <w:sz w:val="20"/>
        </w:rPr>
        <w:t>.</w:t>
      </w:r>
      <w:r w:rsidR="00C757C7" w:rsidRPr="001F65AB">
        <w:rPr>
          <w:bCs/>
          <w:sz w:val="20"/>
        </w:rPr>
        <w:t xml:space="preserve"> </w:t>
      </w:r>
      <w:r w:rsidR="00FA3D00" w:rsidRPr="001F65AB">
        <w:rPr>
          <w:bCs/>
          <w:sz w:val="20"/>
        </w:rPr>
        <w:t>SARDI provided project leadership and undert</w:t>
      </w:r>
      <w:r w:rsidR="00CC0A68">
        <w:rPr>
          <w:bCs/>
          <w:sz w:val="20"/>
        </w:rPr>
        <w:t>ook</w:t>
      </w:r>
      <w:r w:rsidR="00FA3D00" w:rsidRPr="001F65AB">
        <w:rPr>
          <w:bCs/>
          <w:sz w:val="20"/>
        </w:rPr>
        <w:t xml:space="preserve"> the tasks for the indicators of Fish (channel) and Fish Spawning and Recruitment. </w:t>
      </w:r>
      <w:r w:rsidR="00816EA6">
        <w:rPr>
          <w:bCs/>
          <w:sz w:val="20"/>
        </w:rPr>
        <w:t>Other</w:t>
      </w:r>
      <w:r w:rsidR="00A62C74" w:rsidRPr="001F65AB">
        <w:rPr>
          <w:bCs/>
          <w:sz w:val="20"/>
        </w:rPr>
        <w:t xml:space="preserve"> specific compon</w:t>
      </w:r>
      <w:r w:rsidR="00F62B37" w:rsidRPr="001F65AB">
        <w:rPr>
          <w:bCs/>
          <w:sz w:val="20"/>
        </w:rPr>
        <w:t xml:space="preserve">ents of this project were </w:t>
      </w:r>
      <w:r w:rsidR="00A62C74" w:rsidRPr="001F65AB">
        <w:rPr>
          <w:bCs/>
          <w:sz w:val="20"/>
        </w:rPr>
        <w:t>sub-contracted to CSIRO (Task</w:t>
      </w:r>
      <w:r w:rsidR="00506AC9" w:rsidRPr="001F65AB">
        <w:rPr>
          <w:bCs/>
          <w:sz w:val="20"/>
        </w:rPr>
        <w:t xml:space="preserve">: </w:t>
      </w:r>
      <w:r w:rsidR="00377E5B" w:rsidRPr="001F65AB">
        <w:rPr>
          <w:bCs/>
          <w:sz w:val="20"/>
        </w:rPr>
        <w:t>Stream Metabolism</w:t>
      </w:r>
      <w:r w:rsidR="00A62C74" w:rsidRPr="001F65AB">
        <w:rPr>
          <w:bCs/>
          <w:sz w:val="20"/>
        </w:rPr>
        <w:t xml:space="preserve">); </w:t>
      </w:r>
      <w:r w:rsidR="00FA3D00" w:rsidRPr="001F65AB">
        <w:rPr>
          <w:bCs/>
          <w:sz w:val="20"/>
        </w:rPr>
        <w:t xml:space="preserve">The University of Adelaide </w:t>
      </w:r>
      <w:r w:rsidR="00A62C74" w:rsidRPr="001F65AB">
        <w:rPr>
          <w:bCs/>
          <w:sz w:val="20"/>
        </w:rPr>
        <w:t>(Task</w:t>
      </w:r>
      <w:r w:rsidR="00377E5B" w:rsidRPr="001F65AB">
        <w:rPr>
          <w:bCs/>
          <w:sz w:val="20"/>
        </w:rPr>
        <w:t>s</w:t>
      </w:r>
      <w:r w:rsidR="00506AC9" w:rsidRPr="001F65AB">
        <w:rPr>
          <w:bCs/>
          <w:sz w:val="20"/>
        </w:rPr>
        <w:t xml:space="preserve">: </w:t>
      </w:r>
      <w:r w:rsidR="00C2201E" w:rsidRPr="001F65AB">
        <w:rPr>
          <w:bCs/>
          <w:sz w:val="20"/>
        </w:rPr>
        <w:t xml:space="preserve">Hydrology (channel) </w:t>
      </w:r>
      <w:r w:rsidR="00377E5B" w:rsidRPr="001F65AB">
        <w:rPr>
          <w:bCs/>
          <w:sz w:val="20"/>
        </w:rPr>
        <w:t>and Hydrological Regime</w:t>
      </w:r>
      <w:r w:rsidR="00A62C74" w:rsidRPr="001F65AB">
        <w:rPr>
          <w:bCs/>
          <w:sz w:val="20"/>
        </w:rPr>
        <w:t xml:space="preserve">); </w:t>
      </w:r>
      <w:r w:rsidR="00377E5B" w:rsidRPr="001F65AB">
        <w:rPr>
          <w:bCs/>
          <w:sz w:val="20"/>
        </w:rPr>
        <w:t>The University of Adelaide</w:t>
      </w:r>
      <w:r w:rsidR="00F62B37" w:rsidRPr="001F65AB">
        <w:rPr>
          <w:bCs/>
          <w:sz w:val="20"/>
        </w:rPr>
        <w:t xml:space="preserve"> and The University of Western Australia</w:t>
      </w:r>
      <w:r w:rsidR="00377E5B" w:rsidRPr="001F65AB">
        <w:rPr>
          <w:bCs/>
          <w:sz w:val="20"/>
        </w:rPr>
        <w:t xml:space="preserve"> (Task: </w:t>
      </w:r>
      <w:r w:rsidR="00C2201E" w:rsidRPr="001F65AB">
        <w:rPr>
          <w:bCs/>
          <w:sz w:val="20"/>
        </w:rPr>
        <w:t>Matter Transport</w:t>
      </w:r>
      <w:r w:rsidR="00F62B37" w:rsidRPr="001F65AB">
        <w:rPr>
          <w:bCs/>
          <w:sz w:val="20"/>
        </w:rPr>
        <w:t>);</w:t>
      </w:r>
      <w:r w:rsidR="00C2201E" w:rsidRPr="001F65AB">
        <w:rPr>
          <w:bCs/>
          <w:sz w:val="20"/>
        </w:rPr>
        <w:t xml:space="preserve"> and</w:t>
      </w:r>
      <w:r w:rsidR="00F62B37" w:rsidRPr="001F65AB">
        <w:rPr>
          <w:bCs/>
          <w:sz w:val="20"/>
        </w:rPr>
        <w:t xml:space="preserve"> Australian Limnological Services</w:t>
      </w:r>
      <w:r w:rsidR="00FA3D00" w:rsidRPr="001F65AB">
        <w:rPr>
          <w:bCs/>
          <w:sz w:val="20"/>
        </w:rPr>
        <w:t xml:space="preserve"> (Wetland Research </w:t>
      </w:r>
      <w:r w:rsidR="00FA3D00" w:rsidRPr="001F65AB">
        <w:rPr>
          <w:bCs/>
          <w:sz w:val="20"/>
          <w:szCs w:val="20"/>
        </w:rPr>
        <w:t>and Management</w:t>
      </w:r>
      <w:r w:rsidR="00870E8C" w:rsidRPr="001F65AB">
        <w:rPr>
          <w:bCs/>
          <w:sz w:val="20"/>
          <w:szCs w:val="20"/>
        </w:rPr>
        <w:t>)</w:t>
      </w:r>
      <w:r w:rsidR="00FA3D00" w:rsidRPr="001F65AB">
        <w:rPr>
          <w:bCs/>
          <w:sz w:val="20"/>
          <w:szCs w:val="20"/>
        </w:rPr>
        <w:t xml:space="preserve"> (Task:</w:t>
      </w:r>
      <w:r w:rsidR="00C2201E" w:rsidRPr="001F65AB">
        <w:rPr>
          <w:bCs/>
          <w:sz w:val="20"/>
          <w:szCs w:val="20"/>
        </w:rPr>
        <w:t xml:space="preserve"> Microinvertebrates</w:t>
      </w:r>
      <w:r w:rsidR="00377E5B" w:rsidRPr="001F65AB">
        <w:rPr>
          <w:bCs/>
          <w:sz w:val="20"/>
          <w:szCs w:val="20"/>
        </w:rPr>
        <w:t>)</w:t>
      </w:r>
      <w:r w:rsidRPr="001F65AB">
        <w:rPr>
          <w:bCs/>
          <w:sz w:val="20"/>
          <w:szCs w:val="20"/>
        </w:rPr>
        <w:t>.</w:t>
      </w:r>
    </w:p>
    <w:p w14:paraId="08BBFE1C" w14:textId="77777777" w:rsidR="0008149F" w:rsidRDefault="0008149F" w:rsidP="000274A7">
      <w:pPr>
        <w:spacing w:line="240" w:lineRule="auto"/>
        <w:rPr>
          <w:rFonts w:cs="Arial"/>
          <w:bCs/>
          <w:sz w:val="20"/>
          <w:lang w:eastAsia="en-AU"/>
        </w:rPr>
      </w:pPr>
      <w:r w:rsidRPr="0008149F">
        <w:rPr>
          <w:rFonts w:cs="Arial"/>
          <w:bCs/>
          <w:sz w:val="20"/>
          <w:lang w:eastAsia="en-AU"/>
        </w:rPr>
        <w:t>The authors of this report as well as the Commonwealth Environmental Water Office respectfully acknowledge the traditional owners of Country in the Murray-Darling Basin, their Elders past and present, their Nations, and their cultural, social, environmental, spiritual and economic connection to their lands and waters. In particular the Ngarrindjeri Nation and the First Peoples of the River Murray and Mallee as traditional owners of the land and water on which this publication is focused.</w:t>
      </w:r>
    </w:p>
    <w:p w14:paraId="0A9BB12E" w14:textId="0317B10F" w:rsidR="00A62C74" w:rsidRPr="005407E1" w:rsidRDefault="00233CAC" w:rsidP="000274A7">
      <w:pPr>
        <w:spacing w:line="240" w:lineRule="auto"/>
        <w:rPr>
          <w:rFonts w:cs="Arial"/>
          <w:bCs/>
          <w:sz w:val="20"/>
        </w:rPr>
      </w:pPr>
      <w:r w:rsidRPr="005A7372">
        <w:rPr>
          <w:rFonts w:cs="Arial"/>
          <w:b/>
          <w:bCs/>
          <w:sz w:val="20"/>
        </w:rPr>
        <w:t>Cover photo</w:t>
      </w:r>
      <w:r w:rsidR="005A7372" w:rsidRPr="005A7372">
        <w:rPr>
          <w:rFonts w:cs="Arial"/>
          <w:b/>
          <w:bCs/>
          <w:sz w:val="20"/>
        </w:rPr>
        <w:t>s</w:t>
      </w:r>
      <w:r w:rsidR="00377E5B" w:rsidRPr="0028607E">
        <w:rPr>
          <w:rFonts w:cs="Arial"/>
          <w:bCs/>
          <w:sz w:val="20"/>
        </w:rPr>
        <w:t>:</w:t>
      </w:r>
      <w:r w:rsidR="00E46C02" w:rsidRPr="0028607E">
        <w:rPr>
          <w:rFonts w:cs="Arial"/>
          <w:bCs/>
          <w:sz w:val="20"/>
        </w:rPr>
        <w:t xml:space="preserve"> </w:t>
      </w:r>
      <w:r w:rsidR="00D60796">
        <w:rPr>
          <w:rFonts w:cs="Arial"/>
          <w:bCs/>
          <w:sz w:val="20"/>
        </w:rPr>
        <w:t>G</w:t>
      </w:r>
      <w:r w:rsidR="005A7372" w:rsidRPr="0028607E">
        <w:rPr>
          <w:rFonts w:cs="Arial"/>
          <w:bCs/>
          <w:sz w:val="20"/>
        </w:rPr>
        <w:t>olden perch</w:t>
      </w:r>
      <w:r w:rsidR="007E4E4E" w:rsidRPr="0028607E">
        <w:rPr>
          <w:rFonts w:cs="Arial"/>
          <w:bCs/>
          <w:sz w:val="20"/>
        </w:rPr>
        <w:t>, electrofishing</w:t>
      </w:r>
      <w:r w:rsidR="00E46C02" w:rsidRPr="0028607E">
        <w:rPr>
          <w:rFonts w:cs="Arial"/>
          <w:bCs/>
          <w:sz w:val="20"/>
        </w:rPr>
        <w:t xml:space="preserve"> and Murray River (SARDI Aquatic Sciences); </w:t>
      </w:r>
      <w:r w:rsidR="0028607E">
        <w:rPr>
          <w:rFonts w:cs="Arial"/>
          <w:bCs/>
          <w:sz w:val="20"/>
        </w:rPr>
        <w:t>microinvertebrates</w:t>
      </w:r>
      <w:r w:rsidR="005A7372" w:rsidRPr="0028607E">
        <w:rPr>
          <w:rFonts w:cs="Arial"/>
          <w:bCs/>
          <w:sz w:val="20"/>
        </w:rPr>
        <w:t xml:space="preserve"> (</w:t>
      </w:r>
      <w:r w:rsidR="00E46C02" w:rsidRPr="0028607E">
        <w:rPr>
          <w:rFonts w:cs="Arial"/>
          <w:bCs/>
          <w:sz w:val="20"/>
        </w:rPr>
        <w:t>ALS, WRM</w:t>
      </w:r>
      <w:r w:rsidR="005A7372" w:rsidRPr="0028607E">
        <w:rPr>
          <w:rFonts w:cs="Arial"/>
          <w:bCs/>
          <w:sz w:val="20"/>
        </w:rPr>
        <w:t>)</w:t>
      </w:r>
      <w:r w:rsidR="00E46C02" w:rsidRPr="0028607E">
        <w:rPr>
          <w:rFonts w:cs="Arial"/>
          <w:bCs/>
          <w:sz w:val="20"/>
        </w:rPr>
        <w:t xml:space="preserve">; </w:t>
      </w:r>
      <w:r w:rsidR="005A7372" w:rsidRPr="0028607E">
        <w:rPr>
          <w:rFonts w:cs="Arial"/>
          <w:bCs/>
          <w:sz w:val="20"/>
        </w:rPr>
        <w:t>pump station (</w:t>
      </w:r>
      <w:hyperlink r:id="rId34" w:history="1">
        <w:r w:rsidR="005A7372" w:rsidRPr="0028607E">
          <w:rPr>
            <w:rStyle w:val="Hyperlink"/>
            <w:rFonts w:cs="Arial"/>
            <w:bCs/>
            <w:sz w:val="20"/>
          </w:rPr>
          <w:t>www.waterconnect.sa.gov.au</w:t>
        </w:r>
      </w:hyperlink>
      <w:r w:rsidR="00E46C02" w:rsidRPr="0028607E">
        <w:rPr>
          <w:rFonts w:cs="Arial"/>
          <w:bCs/>
          <w:sz w:val="20"/>
        </w:rPr>
        <w:t>)</w:t>
      </w:r>
      <w:r w:rsidR="0028607E" w:rsidRPr="0028607E">
        <w:rPr>
          <w:rFonts w:cs="Arial"/>
          <w:bCs/>
          <w:sz w:val="20"/>
        </w:rPr>
        <w:t xml:space="preserve">; </w:t>
      </w:r>
      <w:r w:rsidR="0028607E" w:rsidRPr="00AC1939">
        <w:rPr>
          <w:rFonts w:cs="Arial"/>
          <w:bCs/>
          <w:sz w:val="20"/>
        </w:rPr>
        <w:t>matter transport modelling (UoA</w:t>
      </w:r>
      <w:r w:rsidR="00AC1939" w:rsidRPr="00AC1939">
        <w:rPr>
          <w:rFonts w:cs="Arial"/>
          <w:bCs/>
          <w:sz w:val="20"/>
        </w:rPr>
        <w:t>, UoWA</w:t>
      </w:r>
      <w:r w:rsidR="0028607E" w:rsidRPr="00AC1939">
        <w:rPr>
          <w:rFonts w:cs="Arial"/>
          <w:bCs/>
          <w:sz w:val="20"/>
        </w:rPr>
        <w:t>)</w:t>
      </w:r>
      <w:r w:rsidR="00E46C02" w:rsidRPr="00AC1939">
        <w:rPr>
          <w:rFonts w:cs="Arial"/>
          <w:bCs/>
          <w:sz w:val="20"/>
        </w:rPr>
        <w:t>.</w:t>
      </w:r>
      <w:r w:rsidR="005A7372">
        <w:rPr>
          <w:rFonts w:cs="Arial"/>
          <w:bCs/>
          <w:sz w:val="20"/>
        </w:rPr>
        <w:t xml:space="preserve"> </w:t>
      </w:r>
    </w:p>
    <w:p w14:paraId="2C996C09" w14:textId="77777777" w:rsidR="001F65AB" w:rsidRPr="005407E1" w:rsidRDefault="001F65AB" w:rsidP="001F65AB">
      <w:pPr>
        <w:spacing w:line="240" w:lineRule="auto"/>
        <w:rPr>
          <w:rFonts w:eastAsiaTheme="majorEastAsia"/>
          <w:b/>
          <w:sz w:val="20"/>
        </w:rPr>
      </w:pPr>
      <w:r w:rsidRPr="005407E1">
        <w:rPr>
          <w:rFonts w:eastAsiaTheme="majorEastAsia"/>
          <w:b/>
          <w:sz w:val="20"/>
        </w:rPr>
        <w:t>D</w:t>
      </w:r>
      <w:r>
        <w:rPr>
          <w:rFonts w:eastAsiaTheme="majorEastAsia"/>
          <w:b/>
          <w:sz w:val="20"/>
        </w:rPr>
        <w:t>isclaimer</w:t>
      </w:r>
    </w:p>
    <w:p w14:paraId="14D269CB" w14:textId="77777777" w:rsidR="001F65AB" w:rsidRPr="005407E1" w:rsidRDefault="001F65AB" w:rsidP="001F65AB">
      <w:pPr>
        <w:autoSpaceDE w:val="0"/>
        <w:autoSpaceDN w:val="0"/>
        <w:adjustRightInd w:val="0"/>
        <w:spacing w:line="240" w:lineRule="auto"/>
        <w:rPr>
          <w:rFonts w:eastAsiaTheme="majorEastAsia"/>
          <w:b/>
          <w:sz w:val="20"/>
        </w:rPr>
      </w:pPr>
      <w:r w:rsidRPr="005407E1">
        <w:rPr>
          <w:rFonts w:eastAsiaTheme="minorHAnsi" w:cs="Century Gothic"/>
          <w:kern w:val="0"/>
          <w:sz w:val="20"/>
          <w:lang w:val="en-US"/>
        </w:rPr>
        <w:t xml:space="preserve">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 </w:t>
      </w:r>
    </w:p>
    <w:p w14:paraId="6772179E" w14:textId="3EE82736" w:rsidR="005407E1" w:rsidRPr="001F65AB" w:rsidRDefault="005407E1" w:rsidP="000274A7">
      <w:pPr>
        <w:rPr>
          <w:rFonts w:eastAsiaTheme="minorHAnsi"/>
          <w:b/>
          <w:color w:val="auto"/>
          <w:kern w:val="0"/>
          <w:sz w:val="20"/>
          <w:lang w:eastAsia="en-AU"/>
        </w:rPr>
      </w:pPr>
      <w:r w:rsidRPr="001F65AB">
        <w:rPr>
          <w:rFonts w:eastAsiaTheme="minorHAnsi"/>
          <w:b/>
          <w:color w:val="auto"/>
          <w:kern w:val="0"/>
          <w:sz w:val="20"/>
          <w:lang w:eastAsia="en-AU"/>
        </w:rPr>
        <w:lastRenderedPageBreak/>
        <w:t>© Copyright</w:t>
      </w:r>
      <w:r w:rsidR="00965BDD">
        <w:rPr>
          <w:rFonts w:eastAsiaTheme="minorHAnsi"/>
          <w:b/>
          <w:color w:val="auto"/>
          <w:kern w:val="0"/>
          <w:sz w:val="20"/>
          <w:lang w:eastAsia="en-AU"/>
        </w:rPr>
        <w:t xml:space="preserve"> Commonwealth of Australia, 2017</w:t>
      </w:r>
    </w:p>
    <w:p w14:paraId="1F0108C1" w14:textId="77777777" w:rsidR="005407E1" w:rsidRPr="005407E1" w:rsidRDefault="005407E1" w:rsidP="000274A7">
      <w:pPr>
        <w:rPr>
          <w:rFonts w:eastAsiaTheme="minorHAnsi"/>
          <w:color w:val="auto"/>
          <w:kern w:val="0"/>
          <w:sz w:val="18"/>
          <w:szCs w:val="18"/>
          <w:lang w:eastAsia="en-AU"/>
        </w:rPr>
      </w:pPr>
      <w:r w:rsidRPr="005407E1">
        <w:rPr>
          <w:rFonts w:eastAsiaTheme="minorHAnsi"/>
          <w:noProof/>
          <w:color w:val="auto"/>
          <w:kern w:val="0"/>
          <w:sz w:val="18"/>
          <w:szCs w:val="18"/>
          <w:lang w:eastAsia="en-AU"/>
        </w:rPr>
        <w:drawing>
          <wp:inline distT="0" distB="0" distL="0" distR="0" wp14:anchorId="5CEE3C23" wp14:editId="3A85EF32">
            <wp:extent cx="1809750" cy="628650"/>
            <wp:effectExtent l="19050" t="0" r="0" b="0"/>
            <wp:docPr id="41"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35" r:link="rId36" cstate="print"/>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14:paraId="05B98D5D" w14:textId="3D77BD57" w:rsidR="005407E1" w:rsidRPr="005F4147" w:rsidRDefault="005407E1" w:rsidP="000274A7">
      <w:pPr>
        <w:autoSpaceDE w:val="0"/>
        <w:autoSpaceDN w:val="0"/>
        <w:adjustRightInd w:val="0"/>
        <w:spacing w:line="240" w:lineRule="auto"/>
        <w:rPr>
          <w:rFonts w:eastAsiaTheme="minorHAnsi" w:cs="Century Gothic"/>
          <w:kern w:val="0"/>
          <w:sz w:val="20"/>
        </w:rPr>
      </w:pPr>
      <w:r w:rsidRPr="005407E1">
        <w:rPr>
          <w:rFonts w:cs="Arial"/>
          <w:bCs/>
          <w:color w:val="auto"/>
          <w:sz w:val="20"/>
        </w:rPr>
        <w:t>‘Long-</w:t>
      </w:r>
      <w:r w:rsidR="001050E0">
        <w:rPr>
          <w:rFonts w:cs="Arial"/>
          <w:bCs/>
          <w:color w:val="auto"/>
          <w:sz w:val="20"/>
        </w:rPr>
        <w:t>Term Intervention Monitoring of</w:t>
      </w:r>
      <w:r w:rsidRPr="005407E1">
        <w:rPr>
          <w:rFonts w:cs="Arial"/>
          <w:bCs/>
          <w:color w:val="auto"/>
          <w:sz w:val="20"/>
        </w:rPr>
        <w:t xml:space="preserve"> the Ecological Responses to Commonwealth Environmental Water Delivered to the Lower Murray River Selected Area in 201</w:t>
      </w:r>
      <w:r w:rsidR="007B0B0A">
        <w:rPr>
          <w:rFonts w:cs="Arial"/>
          <w:bCs/>
          <w:color w:val="auto"/>
          <w:sz w:val="20"/>
        </w:rPr>
        <w:t>5</w:t>
      </w:r>
      <w:r w:rsidRPr="005407E1">
        <w:rPr>
          <w:rFonts w:cs="Arial"/>
          <w:bCs/>
          <w:color w:val="auto"/>
          <w:sz w:val="20"/>
        </w:rPr>
        <w:t>/1</w:t>
      </w:r>
      <w:r w:rsidR="007B0B0A">
        <w:rPr>
          <w:rFonts w:cs="Arial"/>
          <w:bCs/>
          <w:color w:val="auto"/>
          <w:sz w:val="20"/>
        </w:rPr>
        <w:t>6</w:t>
      </w:r>
      <w:r w:rsidR="000274A7">
        <w:rPr>
          <w:rFonts w:cs="Arial"/>
          <w:bCs/>
          <w:color w:val="auto"/>
          <w:sz w:val="20"/>
        </w:rPr>
        <w:t xml:space="preserve">’ – this report </w:t>
      </w:r>
      <w:r w:rsidRPr="005407E1">
        <w:rPr>
          <w:rFonts w:eastAsiaTheme="minorHAnsi" w:cs="Century Gothic"/>
          <w:kern w:val="0"/>
          <w:sz w:val="20"/>
          <w:lang w:val="en-US"/>
        </w:rPr>
        <w:t xml:space="preserve">is licensed by the Commonwealth of Australia for use under a Creative Commons By Attribution 3.0 Australia </w:t>
      </w:r>
      <w:r w:rsidRPr="005F4147">
        <w:rPr>
          <w:rFonts w:eastAsiaTheme="minorHAnsi" w:cs="Century Gothic"/>
          <w:kern w:val="0"/>
          <w:sz w:val="20"/>
        </w:rPr>
        <w:t xml:space="preserve">licence with the exception of the Coat of Arms of the Commonwealth of Australia, the logo of the agency responsible for publishing the report, content supplied by third parties, and any images depicting people. For licence conditions see: http://creativecommons.org/licenses/by/3.0/au/ </w:t>
      </w:r>
    </w:p>
    <w:p w14:paraId="3A70D392" w14:textId="0461F927" w:rsidR="005407E1" w:rsidRPr="005407E1" w:rsidRDefault="005407E1" w:rsidP="000274A7">
      <w:pPr>
        <w:autoSpaceDE w:val="0"/>
        <w:autoSpaceDN w:val="0"/>
        <w:adjustRightInd w:val="0"/>
        <w:spacing w:line="240" w:lineRule="auto"/>
        <w:rPr>
          <w:rFonts w:eastAsiaTheme="minorHAnsi" w:cs="Century Gothic"/>
          <w:color w:val="auto"/>
          <w:kern w:val="0"/>
          <w:sz w:val="20"/>
          <w:lang w:val="en-US"/>
        </w:rPr>
      </w:pPr>
      <w:r w:rsidRPr="005407E1">
        <w:rPr>
          <w:rFonts w:eastAsiaTheme="minorHAnsi" w:cs="Century Gothic"/>
          <w:kern w:val="0"/>
          <w:sz w:val="20"/>
          <w:lang w:val="en-US"/>
        </w:rPr>
        <w:t>This report should be attributed as ‘</w:t>
      </w:r>
      <w:r w:rsidR="000274A7" w:rsidRPr="005407E1">
        <w:rPr>
          <w:rFonts w:cs="Arial"/>
          <w:bCs/>
          <w:color w:val="auto"/>
          <w:sz w:val="20"/>
        </w:rPr>
        <w:t xml:space="preserve">Long-Term Intervention Monitoring for the Ecological Responses to Commonwealth Environmental Water Delivered to the Lower Murray River </w:t>
      </w:r>
      <w:r w:rsidR="000274A7" w:rsidRPr="000274A7">
        <w:rPr>
          <w:rFonts w:cs="Arial"/>
          <w:bCs/>
          <w:color w:val="auto"/>
          <w:sz w:val="20"/>
        </w:rPr>
        <w:t>Selected Area in 201</w:t>
      </w:r>
      <w:r w:rsidR="007B0B0A">
        <w:rPr>
          <w:rFonts w:cs="Arial"/>
          <w:bCs/>
          <w:color w:val="auto"/>
          <w:sz w:val="20"/>
        </w:rPr>
        <w:t>5</w:t>
      </w:r>
      <w:r w:rsidR="000274A7" w:rsidRPr="000274A7">
        <w:rPr>
          <w:rFonts w:cs="Arial"/>
          <w:bCs/>
          <w:color w:val="auto"/>
          <w:sz w:val="20"/>
        </w:rPr>
        <w:t>/1</w:t>
      </w:r>
      <w:r w:rsidR="007B0B0A">
        <w:rPr>
          <w:rFonts w:cs="Arial"/>
          <w:bCs/>
          <w:color w:val="auto"/>
          <w:sz w:val="20"/>
        </w:rPr>
        <w:t>6</w:t>
      </w:r>
      <w:r w:rsidR="000274A7" w:rsidRPr="000274A7">
        <w:rPr>
          <w:rFonts w:cs="Arial"/>
          <w:bCs/>
          <w:color w:val="auto"/>
          <w:sz w:val="20"/>
        </w:rPr>
        <w:t xml:space="preserve">. A report prepared for </w:t>
      </w:r>
      <w:r w:rsidR="00AF2C29">
        <w:rPr>
          <w:rFonts w:cs="Arial"/>
          <w:bCs/>
          <w:color w:val="auto"/>
          <w:sz w:val="20"/>
        </w:rPr>
        <w:t xml:space="preserve">the </w:t>
      </w:r>
      <w:r w:rsidR="000274A7" w:rsidRPr="000274A7">
        <w:rPr>
          <w:rFonts w:cs="Arial"/>
          <w:bCs/>
          <w:color w:val="auto"/>
          <w:sz w:val="20"/>
        </w:rPr>
        <w:t>Commonwealth Environmental Water Office.</w:t>
      </w:r>
      <w:r w:rsidR="000274A7">
        <w:rPr>
          <w:rFonts w:cs="Arial"/>
          <w:bCs/>
          <w:color w:val="auto"/>
          <w:sz w:val="20"/>
        </w:rPr>
        <w:t>’</w:t>
      </w:r>
    </w:p>
    <w:p w14:paraId="3823F92A" w14:textId="77777777" w:rsidR="000274A7" w:rsidRDefault="000274A7" w:rsidP="000274A7">
      <w:pPr>
        <w:autoSpaceDE w:val="0"/>
        <w:autoSpaceDN w:val="0"/>
        <w:adjustRightInd w:val="0"/>
        <w:spacing w:line="240" w:lineRule="auto"/>
        <w:rPr>
          <w:rFonts w:eastAsiaTheme="minorHAnsi" w:cs="Century Gothic"/>
          <w:b/>
          <w:bCs/>
          <w:kern w:val="0"/>
          <w:sz w:val="20"/>
          <w:lang w:val="en-US"/>
        </w:rPr>
      </w:pPr>
    </w:p>
    <w:p w14:paraId="571A8963" w14:textId="77777777" w:rsidR="005407E1" w:rsidRPr="005407E1" w:rsidRDefault="005407E1" w:rsidP="005407E1">
      <w:pPr>
        <w:spacing w:line="240" w:lineRule="auto"/>
        <w:rPr>
          <w:rFonts w:eastAsiaTheme="majorEastAsia"/>
          <w:b/>
          <w:sz w:val="20"/>
        </w:rPr>
      </w:pPr>
    </w:p>
    <w:p w14:paraId="30157F98" w14:textId="77777777" w:rsidR="005407E1" w:rsidRPr="005407E1" w:rsidRDefault="005407E1" w:rsidP="005407E1">
      <w:pPr>
        <w:spacing w:line="240" w:lineRule="auto"/>
        <w:rPr>
          <w:rFonts w:eastAsiaTheme="majorEastAsia"/>
          <w:b/>
          <w:sz w:val="20"/>
        </w:rPr>
      </w:pPr>
    </w:p>
    <w:p w14:paraId="43CCC1E3" w14:textId="77777777" w:rsidR="002E1727" w:rsidRPr="00A67C76" w:rsidRDefault="002E1727" w:rsidP="0081353A">
      <w:pPr>
        <w:pStyle w:val="H1anotincinTOC"/>
        <w:rPr>
          <w:color w:val="1F497D" w:themeColor="text2"/>
        </w:rPr>
        <w:sectPr w:rsidR="002E1727" w:rsidRPr="00A67C76" w:rsidSect="001D4B63">
          <w:headerReference w:type="even" r:id="rId37"/>
          <w:headerReference w:type="default" r:id="rId38"/>
          <w:footerReference w:type="even" r:id="rId39"/>
          <w:footerReference w:type="default" r:id="rId40"/>
          <w:headerReference w:type="first" r:id="rId41"/>
          <w:footerReference w:type="first" r:id="rId42"/>
          <w:pgSz w:w="11900" w:h="16840"/>
          <w:pgMar w:top="1440" w:right="1440" w:bottom="1440" w:left="1440" w:header="708" w:footer="708" w:gutter="0"/>
          <w:pgNumType w:fmt="lowerRoman" w:start="1"/>
          <w:cols w:space="708"/>
          <w:docGrid w:linePitch="360"/>
        </w:sectPr>
      </w:pPr>
    </w:p>
    <w:bookmarkStart w:id="2" w:name="_Toc474147042" w:displacedByCustomXml="next"/>
    <w:sdt>
      <w:sdtPr>
        <w:rPr>
          <w:rFonts w:cs="Times New Roman"/>
          <w:b w:val="0"/>
          <w:bCs w:val="0"/>
          <w:caps w:val="0"/>
          <w:spacing w:val="0"/>
          <w:sz w:val="22"/>
          <w:szCs w:val="20"/>
          <w:lang w:eastAsia="en-US"/>
        </w:rPr>
        <w:id w:val="-407615464"/>
        <w:docPartObj>
          <w:docPartGallery w:val="Table of Contents"/>
          <w:docPartUnique/>
        </w:docPartObj>
      </w:sdtPr>
      <w:sdtEndPr>
        <w:rPr>
          <w:noProof/>
        </w:rPr>
      </w:sdtEndPr>
      <w:sdtContent>
        <w:bookmarkStart w:id="3" w:name="_Toc441838719" w:displacedByCustomXml="prev"/>
        <w:p w14:paraId="0EA5F78B" w14:textId="573D3D92" w:rsidR="002667B2" w:rsidRDefault="002667B2" w:rsidP="002667B2">
          <w:pPr>
            <w:pStyle w:val="H1anotincinTOC"/>
            <w:outlineLvl w:val="0"/>
          </w:pPr>
          <w:r w:rsidRPr="00A67C76">
            <w:rPr>
              <w:color w:val="1F497D" w:themeColor="text2"/>
            </w:rPr>
            <w:t>Table of contents</w:t>
          </w:r>
          <w:bookmarkEnd w:id="3"/>
          <w:bookmarkEnd w:id="2"/>
        </w:p>
        <w:p w14:paraId="545AD060" w14:textId="77777777" w:rsidR="00FB1907" w:rsidRDefault="002667B2">
          <w:pPr>
            <w:pStyle w:val="TOC1"/>
            <w:tabs>
              <w:tab w:val="right" w:leader="dot" w:pos="9010"/>
            </w:tabs>
            <w:rPr>
              <w:rFonts w:asciiTheme="minorHAnsi" w:eastAsiaTheme="minorEastAsia" w:hAnsiTheme="minorHAnsi" w:cstheme="minorBidi"/>
              <w:b w:val="0"/>
              <w:caps w:val="0"/>
              <w:noProof/>
              <w:color w:val="auto"/>
              <w:kern w:val="0"/>
              <w:szCs w:val="22"/>
              <w:lang w:eastAsia="en-AU"/>
            </w:rPr>
          </w:pPr>
          <w:r>
            <w:fldChar w:fldCharType="begin"/>
          </w:r>
          <w:r>
            <w:instrText xml:space="preserve"> TOC \o "1-3" \h \z \u </w:instrText>
          </w:r>
          <w:r>
            <w:fldChar w:fldCharType="separate"/>
          </w:r>
          <w:hyperlink w:anchor="_Toc474147042" w:history="1">
            <w:r w:rsidR="00FB1907" w:rsidRPr="00E42146">
              <w:rPr>
                <w:rStyle w:val="Hyperlink"/>
                <w:rFonts w:eastAsiaTheme="majorEastAsia"/>
                <w:noProof/>
              </w:rPr>
              <w:t>Table of contents</w:t>
            </w:r>
            <w:r w:rsidR="00FB1907">
              <w:rPr>
                <w:noProof/>
                <w:webHidden/>
              </w:rPr>
              <w:tab/>
            </w:r>
            <w:r w:rsidR="00FB1907">
              <w:rPr>
                <w:noProof/>
                <w:webHidden/>
              </w:rPr>
              <w:fldChar w:fldCharType="begin"/>
            </w:r>
            <w:r w:rsidR="00FB1907">
              <w:rPr>
                <w:noProof/>
                <w:webHidden/>
              </w:rPr>
              <w:instrText xml:space="preserve"> PAGEREF _Toc474147042 \h </w:instrText>
            </w:r>
            <w:r w:rsidR="00FB1907">
              <w:rPr>
                <w:noProof/>
                <w:webHidden/>
              </w:rPr>
            </w:r>
            <w:r w:rsidR="00FB1907">
              <w:rPr>
                <w:noProof/>
                <w:webHidden/>
              </w:rPr>
              <w:fldChar w:fldCharType="separate"/>
            </w:r>
            <w:r w:rsidR="004260C4">
              <w:rPr>
                <w:noProof/>
                <w:webHidden/>
              </w:rPr>
              <w:t>i</w:t>
            </w:r>
            <w:r w:rsidR="00FB1907">
              <w:rPr>
                <w:noProof/>
                <w:webHidden/>
              </w:rPr>
              <w:fldChar w:fldCharType="end"/>
            </w:r>
          </w:hyperlink>
        </w:p>
        <w:p w14:paraId="3AF8E5D1" w14:textId="77777777" w:rsidR="00FB1907" w:rsidRDefault="002A56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474147043" w:history="1">
            <w:r w:rsidR="00FB1907" w:rsidRPr="00E42146">
              <w:rPr>
                <w:rStyle w:val="Hyperlink"/>
                <w:rFonts w:eastAsiaTheme="majorEastAsia"/>
                <w:noProof/>
              </w:rPr>
              <w:t>List of figures</w:t>
            </w:r>
            <w:r w:rsidR="00FB1907">
              <w:rPr>
                <w:noProof/>
                <w:webHidden/>
              </w:rPr>
              <w:tab/>
            </w:r>
            <w:r w:rsidR="00FB1907">
              <w:rPr>
                <w:noProof/>
                <w:webHidden/>
              </w:rPr>
              <w:fldChar w:fldCharType="begin"/>
            </w:r>
            <w:r w:rsidR="00FB1907">
              <w:rPr>
                <w:noProof/>
                <w:webHidden/>
              </w:rPr>
              <w:instrText xml:space="preserve"> PAGEREF _Toc474147043 \h </w:instrText>
            </w:r>
            <w:r w:rsidR="00FB1907">
              <w:rPr>
                <w:noProof/>
                <w:webHidden/>
              </w:rPr>
            </w:r>
            <w:r w:rsidR="00FB1907">
              <w:rPr>
                <w:noProof/>
                <w:webHidden/>
              </w:rPr>
              <w:fldChar w:fldCharType="separate"/>
            </w:r>
            <w:r w:rsidR="004260C4">
              <w:rPr>
                <w:noProof/>
                <w:webHidden/>
              </w:rPr>
              <w:t>iii</w:t>
            </w:r>
            <w:r w:rsidR="00FB1907">
              <w:rPr>
                <w:noProof/>
                <w:webHidden/>
              </w:rPr>
              <w:fldChar w:fldCharType="end"/>
            </w:r>
          </w:hyperlink>
        </w:p>
        <w:p w14:paraId="79954ED3" w14:textId="77777777" w:rsidR="00FB1907" w:rsidRDefault="002A56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474147044" w:history="1">
            <w:r w:rsidR="00FB1907" w:rsidRPr="00E42146">
              <w:rPr>
                <w:rStyle w:val="Hyperlink"/>
                <w:rFonts w:eastAsiaTheme="majorEastAsia"/>
                <w:noProof/>
              </w:rPr>
              <w:t>List of tables</w:t>
            </w:r>
            <w:r w:rsidR="00FB1907">
              <w:rPr>
                <w:noProof/>
                <w:webHidden/>
              </w:rPr>
              <w:tab/>
            </w:r>
            <w:r w:rsidR="00FB1907">
              <w:rPr>
                <w:noProof/>
                <w:webHidden/>
              </w:rPr>
              <w:fldChar w:fldCharType="begin"/>
            </w:r>
            <w:r w:rsidR="00FB1907">
              <w:rPr>
                <w:noProof/>
                <w:webHidden/>
              </w:rPr>
              <w:instrText xml:space="preserve"> PAGEREF _Toc474147044 \h </w:instrText>
            </w:r>
            <w:r w:rsidR="00FB1907">
              <w:rPr>
                <w:noProof/>
                <w:webHidden/>
              </w:rPr>
            </w:r>
            <w:r w:rsidR="00FB1907">
              <w:rPr>
                <w:noProof/>
                <w:webHidden/>
              </w:rPr>
              <w:fldChar w:fldCharType="separate"/>
            </w:r>
            <w:r w:rsidR="004260C4">
              <w:rPr>
                <w:noProof/>
                <w:webHidden/>
              </w:rPr>
              <w:t>vi</w:t>
            </w:r>
            <w:r w:rsidR="00FB1907">
              <w:rPr>
                <w:noProof/>
                <w:webHidden/>
              </w:rPr>
              <w:fldChar w:fldCharType="end"/>
            </w:r>
          </w:hyperlink>
        </w:p>
        <w:p w14:paraId="6FFDF4ED" w14:textId="77777777" w:rsidR="00FB1907" w:rsidRDefault="002A56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474147045" w:history="1">
            <w:r w:rsidR="00FB1907" w:rsidRPr="00E42146">
              <w:rPr>
                <w:rStyle w:val="Hyperlink"/>
                <w:rFonts w:eastAsiaTheme="majorEastAsia"/>
                <w:noProof/>
              </w:rPr>
              <w:t>Acknowledgements</w:t>
            </w:r>
            <w:r w:rsidR="00FB1907">
              <w:rPr>
                <w:noProof/>
                <w:webHidden/>
              </w:rPr>
              <w:tab/>
            </w:r>
            <w:r w:rsidR="00FB1907">
              <w:rPr>
                <w:noProof/>
                <w:webHidden/>
              </w:rPr>
              <w:fldChar w:fldCharType="begin"/>
            </w:r>
            <w:r w:rsidR="00FB1907">
              <w:rPr>
                <w:noProof/>
                <w:webHidden/>
              </w:rPr>
              <w:instrText xml:space="preserve"> PAGEREF _Toc474147045 \h </w:instrText>
            </w:r>
            <w:r w:rsidR="00FB1907">
              <w:rPr>
                <w:noProof/>
                <w:webHidden/>
              </w:rPr>
            </w:r>
            <w:r w:rsidR="00FB1907">
              <w:rPr>
                <w:noProof/>
                <w:webHidden/>
              </w:rPr>
              <w:fldChar w:fldCharType="separate"/>
            </w:r>
            <w:r w:rsidR="004260C4">
              <w:rPr>
                <w:noProof/>
                <w:webHidden/>
              </w:rPr>
              <w:t>vii</w:t>
            </w:r>
            <w:r w:rsidR="00FB1907">
              <w:rPr>
                <w:noProof/>
                <w:webHidden/>
              </w:rPr>
              <w:fldChar w:fldCharType="end"/>
            </w:r>
          </w:hyperlink>
        </w:p>
        <w:p w14:paraId="7CAA2719" w14:textId="77777777" w:rsidR="00FB1907" w:rsidRDefault="002A56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474147046" w:history="1">
            <w:r w:rsidR="00FB1907" w:rsidRPr="00E42146">
              <w:rPr>
                <w:rStyle w:val="Hyperlink"/>
                <w:rFonts w:eastAsiaTheme="majorEastAsia"/>
                <w:noProof/>
              </w:rPr>
              <w:t>Executive summary</w:t>
            </w:r>
            <w:r w:rsidR="00FB1907">
              <w:rPr>
                <w:noProof/>
                <w:webHidden/>
              </w:rPr>
              <w:tab/>
            </w:r>
            <w:r w:rsidR="00FB1907">
              <w:rPr>
                <w:noProof/>
                <w:webHidden/>
              </w:rPr>
              <w:fldChar w:fldCharType="begin"/>
            </w:r>
            <w:r w:rsidR="00FB1907">
              <w:rPr>
                <w:noProof/>
                <w:webHidden/>
              </w:rPr>
              <w:instrText xml:space="preserve"> PAGEREF _Toc474147046 \h </w:instrText>
            </w:r>
            <w:r w:rsidR="00FB1907">
              <w:rPr>
                <w:noProof/>
                <w:webHidden/>
              </w:rPr>
            </w:r>
            <w:r w:rsidR="00FB1907">
              <w:rPr>
                <w:noProof/>
                <w:webHidden/>
              </w:rPr>
              <w:fldChar w:fldCharType="separate"/>
            </w:r>
            <w:r w:rsidR="004260C4">
              <w:rPr>
                <w:noProof/>
                <w:webHidden/>
              </w:rPr>
              <w:t>ix</w:t>
            </w:r>
            <w:r w:rsidR="00FB1907">
              <w:rPr>
                <w:noProof/>
                <w:webHidden/>
              </w:rPr>
              <w:fldChar w:fldCharType="end"/>
            </w:r>
          </w:hyperlink>
        </w:p>
        <w:p w14:paraId="26AAE5CA" w14:textId="77777777" w:rsidR="00FB1907" w:rsidRDefault="002A5644">
          <w:pPr>
            <w:pStyle w:val="TOC1"/>
            <w:tabs>
              <w:tab w:val="left" w:pos="660"/>
              <w:tab w:val="right" w:leader="dot" w:pos="9010"/>
            </w:tabs>
            <w:rPr>
              <w:rFonts w:asciiTheme="minorHAnsi" w:eastAsiaTheme="minorEastAsia" w:hAnsiTheme="minorHAnsi" w:cstheme="minorBidi"/>
              <w:b w:val="0"/>
              <w:caps w:val="0"/>
              <w:noProof/>
              <w:color w:val="auto"/>
              <w:kern w:val="0"/>
              <w:szCs w:val="22"/>
              <w:lang w:eastAsia="en-AU"/>
            </w:rPr>
          </w:pPr>
          <w:hyperlink w:anchor="_Toc474147047" w:history="1">
            <w:r w:rsidR="00FB1907" w:rsidRPr="00E42146">
              <w:rPr>
                <w:rStyle w:val="Hyperlink"/>
                <w:rFonts w:eastAsiaTheme="majorEastAsia"/>
                <w:noProof/>
              </w:rPr>
              <w:t>1</w:t>
            </w:r>
            <w:r w:rsidR="00FB1907">
              <w:rPr>
                <w:rFonts w:asciiTheme="minorHAnsi" w:eastAsiaTheme="minorEastAsia" w:hAnsiTheme="minorHAnsi" w:cstheme="minorBidi"/>
                <w:b w:val="0"/>
                <w:caps w:val="0"/>
                <w:noProof/>
                <w:color w:val="auto"/>
                <w:kern w:val="0"/>
                <w:szCs w:val="22"/>
                <w:lang w:eastAsia="en-AU"/>
              </w:rPr>
              <w:tab/>
            </w:r>
            <w:r w:rsidR="00FB1907" w:rsidRPr="00E42146">
              <w:rPr>
                <w:rStyle w:val="Hyperlink"/>
                <w:rFonts w:eastAsiaTheme="majorEastAsia"/>
                <w:noProof/>
              </w:rPr>
              <w:t>Introduction</w:t>
            </w:r>
            <w:r w:rsidR="00FB1907">
              <w:rPr>
                <w:noProof/>
                <w:webHidden/>
              </w:rPr>
              <w:tab/>
            </w:r>
            <w:r w:rsidR="00FB1907">
              <w:rPr>
                <w:noProof/>
                <w:webHidden/>
              </w:rPr>
              <w:fldChar w:fldCharType="begin"/>
            </w:r>
            <w:r w:rsidR="00FB1907">
              <w:rPr>
                <w:noProof/>
                <w:webHidden/>
              </w:rPr>
              <w:instrText xml:space="preserve"> PAGEREF _Toc474147047 \h </w:instrText>
            </w:r>
            <w:r w:rsidR="00FB1907">
              <w:rPr>
                <w:noProof/>
                <w:webHidden/>
              </w:rPr>
            </w:r>
            <w:r w:rsidR="00FB1907">
              <w:rPr>
                <w:noProof/>
                <w:webHidden/>
              </w:rPr>
              <w:fldChar w:fldCharType="separate"/>
            </w:r>
            <w:r w:rsidR="004260C4">
              <w:rPr>
                <w:noProof/>
                <w:webHidden/>
              </w:rPr>
              <w:t>1</w:t>
            </w:r>
            <w:r w:rsidR="00FB1907">
              <w:rPr>
                <w:noProof/>
                <w:webHidden/>
              </w:rPr>
              <w:fldChar w:fldCharType="end"/>
            </w:r>
          </w:hyperlink>
        </w:p>
        <w:p w14:paraId="053E4C08" w14:textId="77777777" w:rsidR="00FB1907" w:rsidRDefault="002A5644">
          <w:pPr>
            <w:pStyle w:val="TOC2"/>
            <w:rPr>
              <w:rFonts w:asciiTheme="minorHAnsi" w:eastAsiaTheme="minorEastAsia" w:hAnsiTheme="minorHAnsi" w:cstheme="minorBidi"/>
              <w:color w:val="auto"/>
              <w:kern w:val="0"/>
              <w:szCs w:val="22"/>
              <w:lang w:eastAsia="en-AU"/>
            </w:rPr>
          </w:pPr>
          <w:hyperlink w:anchor="_Toc474147048" w:history="1">
            <w:r w:rsidR="00FB1907" w:rsidRPr="00E42146">
              <w:rPr>
                <w:rStyle w:val="Hyperlink"/>
                <w:rFonts w:eastAsiaTheme="majorEastAsia"/>
              </w:rPr>
              <w:t>1.1</w:t>
            </w:r>
            <w:r w:rsidR="00FB1907">
              <w:rPr>
                <w:rFonts w:asciiTheme="minorHAnsi" w:eastAsiaTheme="minorEastAsia" w:hAnsiTheme="minorHAnsi" w:cstheme="minorBidi"/>
                <w:color w:val="auto"/>
                <w:kern w:val="0"/>
                <w:szCs w:val="22"/>
                <w:lang w:eastAsia="en-AU"/>
              </w:rPr>
              <w:tab/>
            </w:r>
            <w:r w:rsidR="00FB1907" w:rsidRPr="00E42146">
              <w:rPr>
                <w:rStyle w:val="Hyperlink"/>
                <w:rFonts w:eastAsiaTheme="majorEastAsia"/>
              </w:rPr>
              <w:t>General background</w:t>
            </w:r>
            <w:r w:rsidR="00FB1907">
              <w:rPr>
                <w:webHidden/>
              </w:rPr>
              <w:tab/>
            </w:r>
            <w:r w:rsidR="00FB1907">
              <w:rPr>
                <w:webHidden/>
              </w:rPr>
              <w:fldChar w:fldCharType="begin"/>
            </w:r>
            <w:r w:rsidR="00FB1907">
              <w:rPr>
                <w:webHidden/>
              </w:rPr>
              <w:instrText xml:space="preserve"> PAGEREF _Toc474147048 \h </w:instrText>
            </w:r>
            <w:r w:rsidR="00FB1907">
              <w:rPr>
                <w:webHidden/>
              </w:rPr>
            </w:r>
            <w:r w:rsidR="00FB1907">
              <w:rPr>
                <w:webHidden/>
              </w:rPr>
              <w:fldChar w:fldCharType="separate"/>
            </w:r>
            <w:r w:rsidR="004260C4">
              <w:rPr>
                <w:webHidden/>
              </w:rPr>
              <w:t>1</w:t>
            </w:r>
            <w:r w:rsidR="00FB1907">
              <w:rPr>
                <w:webHidden/>
              </w:rPr>
              <w:fldChar w:fldCharType="end"/>
            </w:r>
          </w:hyperlink>
        </w:p>
        <w:p w14:paraId="41F7739F" w14:textId="77777777" w:rsidR="00FB1907" w:rsidRDefault="002A5644">
          <w:pPr>
            <w:pStyle w:val="TOC2"/>
            <w:rPr>
              <w:rFonts w:asciiTheme="minorHAnsi" w:eastAsiaTheme="minorEastAsia" w:hAnsiTheme="minorHAnsi" w:cstheme="minorBidi"/>
              <w:color w:val="auto"/>
              <w:kern w:val="0"/>
              <w:szCs w:val="22"/>
              <w:lang w:eastAsia="en-AU"/>
            </w:rPr>
          </w:pPr>
          <w:hyperlink w:anchor="_Toc474147049" w:history="1">
            <w:r w:rsidR="00FB1907" w:rsidRPr="00E42146">
              <w:rPr>
                <w:rStyle w:val="Hyperlink"/>
                <w:rFonts w:eastAsiaTheme="majorEastAsia"/>
              </w:rPr>
              <w:t>1.2</w:t>
            </w:r>
            <w:r w:rsidR="00FB1907">
              <w:rPr>
                <w:rFonts w:asciiTheme="minorHAnsi" w:eastAsiaTheme="minorEastAsia" w:hAnsiTheme="minorHAnsi" w:cstheme="minorBidi"/>
                <w:color w:val="auto"/>
                <w:kern w:val="0"/>
                <w:szCs w:val="22"/>
                <w:lang w:eastAsia="en-AU"/>
              </w:rPr>
              <w:tab/>
            </w:r>
            <w:r w:rsidR="00FB1907" w:rsidRPr="00E42146">
              <w:rPr>
                <w:rStyle w:val="Hyperlink"/>
                <w:rFonts w:eastAsiaTheme="majorEastAsia"/>
              </w:rPr>
              <w:t>Commonwealth environmental water</w:t>
            </w:r>
            <w:r w:rsidR="00FB1907">
              <w:rPr>
                <w:webHidden/>
              </w:rPr>
              <w:tab/>
            </w:r>
            <w:r w:rsidR="00FB1907">
              <w:rPr>
                <w:webHidden/>
              </w:rPr>
              <w:fldChar w:fldCharType="begin"/>
            </w:r>
            <w:r w:rsidR="00FB1907">
              <w:rPr>
                <w:webHidden/>
              </w:rPr>
              <w:instrText xml:space="preserve"> PAGEREF _Toc474147049 \h </w:instrText>
            </w:r>
            <w:r w:rsidR="00FB1907">
              <w:rPr>
                <w:webHidden/>
              </w:rPr>
            </w:r>
            <w:r w:rsidR="00FB1907">
              <w:rPr>
                <w:webHidden/>
              </w:rPr>
              <w:fldChar w:fldCharType="separate"/>
            </w:r>
            <w:r w:rsidR="004260C4">
              <w:rPr>
                <w:webHidden/>
              </w:rPr>
              <w:t>3</w:t>
            </w:r>
            <w:r w:rsidR="00FB1907">
              <w:rPr>
                <w:webHidden/>
              </w:rPr>
              <w:fldChar w:fldCharType="end"/>
            </w:r>
          </w:hyperlink>
        </w:p>
        <w:p w14:paraId="4D1B74C0" w14:textId="77777777" w:rsidR="00FB1907" w:rsidRDefault="002A5644">
          <w:pPr>
            <w:pStyle w:val="TOC2"/>
            <w:rPr>
              <w:rFonts w:asciiTheme="minorHAnsi" w:eastAsiaTheme="minorEastAsia" w:hAnsiTheme="minorHAnsi" w:cstheme="minorBidi"/>
              <w:color w:val="auto"/>
              <w:kern w:val="0"/>
              <w:szCs w:val="22"/>
              <w:lang w:eastAsia="en-AU"/>
            </w:rPr>
          </w:pPr>
          <w:hyperlink w:anchor="_Toc474147050" w:history="1">
            <w:r w:rsidR="00FB1907" w:rsidRPr="00E42146">
              <w:rPr>
                <w:rStyle w:val="Hyperlink"/>
                <w:rFonts w:eastAsiaTheme="majorEastAsia"/>
              </w:rPr>
              <w:t>1.3</w:t>
            </w:r>
            <w:r w:rsidR="00FB1907">
              <w:rPr>
                <w:rFonts w:asciiTheme="minorHAnsi" w:eastAsiaTheme="minorEastAsia" w:hAnsiTheme="minorHAnsi" w:cstheme="minorBidi"/>
                <w:color w:val="auto"/>
                <w:kern w:val="0"/>
                <w:szCs w:val="22"/>
                <w:lang w:eastAsia="en-AU"/>
              </w:rPr>
              <w:tab/>
            </w:r>
            <w:r w:rsidR="00FB1907" w:rsidRPr="00E42146">
              <w:rPr>
                <w:rStyle w:val="Hyperlink"/>
                <w:rFonts w:eastAsiaTheme="majorEastAsia"/>
              </w:rPr>
              <w:t>CEWO LTIM project in the LMR Selected Area</w:t>
            </w:r>
            <w:r w:rsidR="00FB1907">
              <w:rPr>
                <w:webHidden/>
              </w:rPr>
              <w:tab/>
            </w:r>
            <w:r w:rsidR="00FB1907">
              <w:rPr>
                <w:webHidden/>
              </w:rPr>
              <w:fldChar w:fldCharType="begin"/>
            </w:r>
            <w:r w:rsidR="00FB1907">
              <w:rPr>
                <w:webHidden/>
              </w:rPr>
              <w:instrText xml:space="preserve"> PAGEREF _Toc474147050 \h </w:instrText>
            </w:r>
            <w:r w:rsidR="00FB1907">
              <w:rPr>
                <w:webHidden/>
              </w:rPr>
            </w:r>
            <w:r w:rsidR="00FB1907">
              <w:rPr>
                <w:webHidden/>
              </w:rPr>
              <w:fldChar w:fldCharType="separate"/>
            </w:r>
            <w:r w:rsidR="004260C4">
              <w:rPr>
                <w:webHidden/>
              </w:rPr>
              <w:t>7</w:t>
            </w:r>
            <w:r w:rsidR="00FB1907">
              <w:rPr>
                <w:webHidden/>
              </w:rPr>
              <w:fldChar w:fldCharType="end"/>
            </w:r>
          </w:hyperlink>
        </w:p>
        <w:p w14:paraId="315AC95C" w14:textId="77777777" w:rsidR="00FB1907" w:rsidRDefault="002A5644">
          <w:pPr>
            <w:pStyle w:val="TOC2"/>
            <w:rPr>
              <w:rFonts w:asciiTheme="minorHAnsi" w:eastAsiaTheme="minorEastAsia" w:hAnsiTheme="minorHAnsi" w:cstheme="minorBidi"/>
              <w:color w:val="auto"/>
              <w:kern w:val="0"/>
              <w:szCs w:val="22"/>
              <w:lang w:eastAsia="en-AU"/>
            </w:rPr>
          </w:pPr>
          <w:hyperlink w:anchor="_Toc474147051" w:history="1">
            <w:r w:rsidR="00FB1907" w:rsidRPr="00E42146">
              <w:rPr>
                <w:rStyle w:val="Hyperlink"/>
                <w:rFonts w:eastAsiaTheme="majorEastAsia"/>
              </w:rPr>
              <w:t>1.4</w:t>
            </w:r>
            <w:r w:rsidR="00FB1907">
              <w:rPr>
                <w:rFonts w:asciiTheme="minorHAnsi" w:eastAsiaTheme="minorEastAsia" w:hAnsiTheme="minorHAnsi" w:cstheme="minorBidi"/>
                <w:color w:val="auto"/>
                <w:kern w:val="0"/>
                <w:szCs w:val="22"/>
                <w:lang w:eastAsia="en-AU"/>
              </w:rPr>
              <w:tab/>
            </w:r>
            <w:r w:rsidR="00FB1907" w:rsidRPr="00E42146">
              <w:rPr>
                <w:rStyle w:val="Hyperlink"/>
                <w:rFonts w:eastAsiaTheme="majorEastAsia"/>
              </w:rPr>
              <w:t>Key findings from the CEWO LTIM project for Year 1 (2014/15)</w:t>
            </w:r>
            <w:r w:rsidR="00FB1907">
              <w:rPr>
                <w:webHidden/>
              </w:rPr>
              <w:tab/>
            </w:r>
            <w:r w:rsidR="00FB1907">
              <w:rPr>
                <w:webHidden/>
              </w:rPr>
              <w:fldChar w:fldCharType="begin"/>
            </w:r>
            <w:r w:rsidR="00FB1907">
              <w:rPr>
                <w:webHidden/>
              </w:rPr>
              <w:instrText xml:space="preserve"> PAGEREF _Toc474147051 \h </w:instrText>
            </w:r>
            <w:r w:rsidR="00FB1907">
              <w:rPr>
                <w:webHidden/>
              </w:rPr>
            </w:r>
            <w:r w:rsidR="00FB1907">
              <w:rPr>
                <w:webHidden/>
              </w:rPr>
              <w:fldChar w:fldCharType="separate"/>
            </w:r>
            <w:r w:rsidR="004260C4">
              <w:rPr>
                <w:webHidden/>
              </w:rPr>
              <w:t>10</w:t>
            </w:r>
            <w:r w:rsidR="00FB1907">
              <w:rPr>
                <w:webHidden/>
              </w:rPr>
              <w:fldChar w:fldCharType="end"/>
            </w:r>
          </w:hyperlink>
        </w:p>
        <w:p w14:paraId="02EB9F93" w14:textId="77777777" w:rsidR="00FB1907" w:rsidRDefault="002A5644">
          <w:pPr>
            <w:pStyle w:val="TOC2"/>
            <w:rPr>
              <w:rFonts w:asciiTheme="minorHAnsi" w:eastAsiaTheme="minorEastAsia" w:hAnsiTheme="minorHAnsi" w:cstheme="minorBidi"/>
              <w:color w:val="auto"/>
              <w:kern w:val="0"/>
              <w:szCs w:val="22"/>
              <w:lang w:eastAsia="en-AU"/>
            </w:rPr>
          </w:pPr>
          <w:hyperlink w:anchor="_Toc474147052" w:history="1">
            <w:r w:rsidR="00FB1907" w:rsidRPr="00E42146">
              <w:rPr>
                <w:rStyle w:val="Hyperlink"/>
                <w:rFonts w:eastAsiaTheme="majorEastAsia"/>
              </w:rPr>
              <w:t>1.5</w:t>
            </w:r>
            <w:r w:rsidR="00FB1907">
              <w:rPr>
                <w:rFonts w:asciiTheme="minorHAnsi" w:eastAsiaTheme="minorEastAsia" w:hAnsiTheme="minorHAnsi" w:cstheme="minorBidi"/>
                <w:color w:val="auto"/>
                <w:kern w:val="0"/>
                <w:szCs w:val="22"/>
                <w:lang w:eastAsia="en-AU"/>
              </w:rPr>
              <w:tab/>
            </w:r>
            <w:r w:rsidR="00FB1907" w:rsidRPr="00E42146">
              <w:rPr>
                <w:rStyle w:val="Hyperlink"/>
                <w:rFonts w:eastAsiaTheme="majorEastAsia"/>
              </w:rPr>
              <w:t>Purpose of the CEWO LTIM report for Year 2 (2015/16)</w:t>
            </w:r>
            <w:r w:rsidR="00FB1907">
              <w:rPr>
                <w:webHidden/>
              </w:rPr>
              <w:tab/>
            </w:r>
            <w:r w:rsidR="00FB1907">
              <w:rPr>
                <w:webHidden/>
              </w:rPr>
              <w:fldChar w:fldCharType="begin"/>
            </w:r>
            <w:r w:rsidR="00FB1907">
              <w:rPr>
                <w:webHidden/>
              </w:rPr>
              <w:instrText xml:space="preserve"> PAGEREF _Toc474147052 \h </w:instrText>
            </w:r>
            <w:r w:rsidR="00FB1907">
              <w:rPr>
                <w:webHidden/>
              </w:rPr>
            </w:r>
            <w:r w:rsidR="00FB1907">
              <w:rPr>
                <w:webHidden/>
              </w:rPr>
              <w:fldChar w:fldCharType="separate"/>
            </w:r>
            <w:r w:rsidR="004260C4">
              <w:rPr>
                <w:webHidden/>
              </w:rPr>
              <w:t>11</w:t>
            </w:r>
            <w:r w:rsidR="00FB1907">
              <w:rPr>
                <w:webHidden/>
              </w:rPr>
              <w:fldChar w:fldCharType="end"/>
            </w:r>
          </w:hyperlink>
        </w:p>
        <w:p w14:paraId="24557304" w14:textId="77777777" w:rsidR="00FB1907" w:rsidRDefault="002A5644">
          <w:pPr>
            <w:pStyle w:val="TOC1"/>
            <w:tabs>
              <w:tab w:val="left" w:pos="660"/>
              <w:tab w:val="right" w:leader="dot" w:pos="9010"/>
            </w:tabs>
            <w:rPr>
              <w:rFonts w:asciiTheme="minorHAnsi" w:eastAsiaTheme="minorEastAsia" w:hAnsiTheme="minorHAnsi" w:cstheme="minorBidi"/>
              <w:b w:val="0"/>
              <w:caps w:val="0"/>
              <w:noProof/>
              <w:color w:val="auto"/>
              <w:kern w:val="0"/>
              <w:szCs w:val="22"/>
              <w:lang w:eastAsia="en-AU"/>
            </w:rPr>
          </w:pPr>
          <w:hyperlink w:anchor="_Toc474147053" w:history="1">
            <w:r w:rsidR="00FB1907" w:rsidRPr="00E42146">
              <w:rPr>
                <w:rStyle w:val="Hyperlink"/>
                <w:rFonts w:eastAsiaTheme="majorEastAsia"/>
                <w:noProof/>
              </w:rPr>
              <w:t>2</w:t>
            </w:r>
            <w:r w:rsidR="00FB1907">
              <w:rPr>
                <w:rFonts w:asciiTheme="minorHAnsi" w:eastAsiaTheme="minorEastAsia" w:hAnsiTheme="minorHAnsi" w:cstheme="minorBidi"/>
                <w:b w:val="0"/>
                <w:caps w:val="0"/>
                <w:noProof/>
                <w:color w:val="auto"/>
                <w:kern w:val="0"/>
                <w:szCs w:val="22"/>
                <w:lang w:eastAsia="en-AU"/>
              </w:rPr>
              <w:tab/>
            </w:r>
            <w:r w:rsidR="00FB1907" w:rsidRPr="00E42146">
              <w:rPr>
                <w:rStyle w:val="Hyperlink"/>
                <w:rFonts w:eastAsiaTheme="majorEastAsia"/>
                <w:noProof/>
              </w:rPr>
              <w:t>Key Findings</w:t>
            </w:r>
            <w:r w:rsidR="00FB1907">
              <w:rPr>
                <w:noProof/>
                <w:webHidden/>
              </w:rPr>
              <w:tab/>
            </w:r>
            <w:r w:rsidR="00FB1907">
              <w:rPr>
                <w:noProof/>
                <w:webHidden/>
              </w:rPr>
              <w:fldChar w:fldCharType="begin"/>
            </w:r>
            <w:r w:rsidR="00FB1907">
              <w:rPr>
                <w:noProof/>
                <w:webHidden/>
              </w:rPr>
              <w:instrText xml:space="preserve"> PAGEREF _Toc474147053 \h </w:instrText>
            </w:r>
            <w:r w:rsidR="00FB1907">
              <w:rPr>
                <w:noProof/>
                <w:webHidden/>
              </w:rPr>
            </w:r>
            <w:r w:rsidR="00FB1907">
              <w:rPr>
                <w:noProof/>
                <w:webHidden/>
              </w:rPr>
              <w:fldChar w:fldCharType="separate"/>
            </w:r>
            <w:r w:rsidR="004260C4">
              <w:rPr>
                <w:noProof/>
                <w:webHidden/>
              </w:rPr>
              <w:t>12</w:t>
            </w:r>
            <w:r w:rsidR="00FB1907">
              <w:rPr>
                <w:noProof/>
                <w:webHidden/>
              </w:rPr>
              <w:fldChar w:fldCharType="end"/>
            </w:r>
          </w:hyperlink>
        </w:p>
        <w:p w14:paraId="7D2A2529" w14:textId="77777777" w:rsidR="00FB1907" w:rsidRDefault="002A5644">
          <w:pPr>
            <w:pStyle w:val="TOC2"/>
            <w:rPr>
              <w:rFonts w:asciiTheme="minorHAnsi" w:eastAsiaTheme="minorEastAsia" w:hAnsiTheme="minorHAnsi" w:cstheme="minorBidi"/>
              <w:color w:val="auto"/>
              <w:kern w:val="0"/>
              <w:szCs w:val="22"/>
              <w:lang w:eastAsia="en-AU"/>
            </w:rPr>
          </w:pPr>
          <w:hyperlink w:anchor="_Toc474147054" w:history="1">
            <w:r w:rsidR="00FB1907" w:rsidRPr="00E42146">
              <w:rPr>
                <w:rStyle w:val="Hyperlink"/>
                <w:rFonts w:eastAsiaTheme="majorEastAsia"/>
              </w:rPr>
              <w:t>2.1</w:t>
            </w:r>
            <w:r w:rsidR="00FB1907">
              <w:rPr>
                <w:rFonts w:asciiTheme="minorHAnsi" w:eastAsiaTheme="minorEastAsia" w:hAnsiTheme="minorHAnsi" w:cstheme="minorBidi"/>
                <w:color w:val="auto"/>
                <w:kern w:val="0"/>
                <w:szCs w:val="22"/>
                <w:lang w:eastAsia="en-AU"/>
              </w:rPr>
              <w:tab/>
            </w:r>
            <w:r w:rsidR="00FB1907" w:rsidRPr="00E42146">
              <w:rPr>
                <w:rStyle w:val="Hyperlink"/>
                <w:rFonts w:eastAsiaTheme="majorEastAsia"/>
              </w:rPr>
              <w:t>Category 1</w:t>
            </w:r>
            <w:r w:rsidR="00FB1907">
              <w:rPr>
                <w:webHidden/>
              </w:rPr>
              <w:tab/>
            </w:r>
            <w:r w:rsidR="00FB1907">
              <w:rPr>
                <w:webHidden/>
              </w:rPr>
              <w:fldChar w:fldCharType="begin"/>
            </w:r>
            <w:r w:rsidR="00FB1907">
              <w:rPr>
                <w:webHidden/>
              </w:rPr>
              <w:instrText xml:space="preserve"> PAGEREF _Toc474147054 \h </w:instrText>
            </w:r>
            <w:r w:rsidR="00FB1907">
              <w:rPr>
                <w:webHidden/>
              </w:rPr>
            </w:r>
            <w:r w:rsidR="00FB1907">
              <w:rPr>
                <w:webHidden/>
              </w:rPr>
              <w:fldChar w:fldCharType="separate"/>
            </w:r>
            <w:r w:rsidR="004260C4">
              <w:rPr>
                <w:webHidden/>
              </w:rPr>
              <w:t>12</w:t>
            </w:r>
            <w:r w:rsidR="00FB1907">
              <w:rPr>
                <w:webHidden/>
              </w:rPr>
              <w:fldChar w:fldCharType="end"/>
            </w:r>
          </w:hyperlink>
        </w:p>
        <w:p w14:paraId="54E09C64" w14:textId="77777777" w:rsidR="00FB1907" w:rsidRDefault="002A5644">
          <w:pPr>
            <w:pStyle w:val="TOC3"/>
            <w:rPr>
              <w:rFonts w:asciiTheme="minorHAnsi" w:eastAsiaTheme="minorEastAsia" w:hAnsiTheme="minorHAnsi" w:cstheme="minorBidi"/>
              <w:i w:val="0"/>
              <w:noProof/>
              <w:color w:val="auto"/>
              <w:kern w:val="0"/>
              <w:szCs w:val="22"/>
              <w:lang w:eastAsia="en-AU"/>
            </w:rPr>
          </w:pPr>
          <w:hyperlink w:anchor="_Toc474147055" w:history="1">
            <w:r w:rsidR="00FB1907" w:rsidRPr="00E42146">
              <w:rPr>
                <w:rStyle w:val="Hyperlink"/>
                <w:rFonts w:eastAsiaTheme="majorEastAsia"/>
                <w:noProof/>
              </w:rPr>
              <w:t>Stream Metabolism</w:t>
            </w:r>
            <w:r w:rsidR="00FB1907">
              <w:rPr>
                <w:noProof/>
                <w:webHidden/>
              </w:rPr>
              <w:tab/>
            </w:r>
            <w:r w:rsidR="00FB1907">
              <w:rPr>
                <w:noProof/>
                <w:webHidden/>
              </w:rPr>
              <w:fldChar w:fldCharType="begin"/>
            </w:r>
            <w:r w:rsidR="00FB1907">
              <w:rPr>
                <w:noProof/>
                <w:webHidden/>
              </w:rPr>
              <w:instrText xml:space="preserve"> PAGEREF _Toc474147055 \h </w:instrText>
            </w:r>
            <w:r w:rsidR="00FB1907">
              <w:rPr>
                <w:noProof/>
                <w:webHidden/>
              </w:rPr>
            </w:r>
            <w:r w:rsidR="00FB1907">
              <w:rPr>
                <w:noProof/>
                <w:webHidden/>
              </w:rPr>
              <w:fldChar w:fldCharType="separate"/>
            </w:r>
            <w:r w:rsidR="004260C4">
              <w:rPr>
                <w:noProof/>
                <w:webHidden/>
              </w:rPr>
              <w:t>12</w:t>
            </w:r>
            <w:r w:rsidR="00FB1907">
              <w:rPr>
                <w:noProof/>
                <w:webHidden/>
              </w:rPr>
              <w:fldChar w:fldCharType="end"/>
            </w:r>
          </w:hyperlink>
        </w:p>
        <w:p w14:paraId="47DC83F7" w14:textId="77777777" w:rsidR="00FB1907" w:rsidRDefault="002A5644">
          <w:pPr>
            <w:pStyle w:val="TOC3"/>
            <w:rPr>
              <w:rFonts w:asciiTheme="minorHAnsi" w:eastAsiaTheme="minorEastAsia" w:hAnsiTheme="minorHAnsi" w:cstheme="minorBidi"/>
              <w:i w:val="0"/>
              <w:noProof/>
              <w:color w:val="auto"/>
              <w:kern w:val="0"/>
              <w:szCs w:val="22"/>
              <w:lang w:eastAsia="en-AU"/>
            </w:rPr>
          </w:pPr>
          <w:hyperlink w:anchor="_Toc474147056" w:history="1">
            <w:r w:rsidR="00FB1907" w:rsidRPr="00E42146">
              <w:rPr>
                <w:rStyle w:val="Hyperlink"/>
                <w:rFonts w:eastAsiaTheme="majorEastAsia"/>
                <w:noProof/>
              </w:rPr>
              <w:t>Fish (channel)</w:t>
            </w:r>
            <w:r w:rsidR="00FB1907">
              <w:rPr>
                <w:noProof/>
                <w:webHidden/>
              </w:rPr>
              <w:tab/>
            </w:r>
            <w:r w:rsidR="00FB1907">
              <w:rPr>
                <w:noProof/>
                <w:webHidden/>
              </w:rPr>
              <w:fldChar w:fldCharType="begin"/>
            </w:r>
            <w:r w:rsidR="00FB1907">
              <w:rPr>
                <w:noProof/>
                <w:webHidden/>
              </w:rPr>
              <w:instrText xml:space="preserve"> PAGEREF _Toc474147056 \h </w:instrText>
            </w:r>
            <w:r w:rsidR="00FB1907">
              <w:rPr>
                <w:noProof/>
                <w:webHidden/>
              </w:rPr>
            </w:r>
            <w:r w:rsidR="00FB1907">
              <w:rPr>
                <w:noProof/>
                <w:webHidden/>
              </w:rPr>
              <w:fldChar w:fldCharType="separate"/>
            </w:r>
            <w:r w:rsidR="004260C4">
              <w:rPr>
                <w:noProof/>
                <w:webHidden/>
              </w:rPr>
              <w:t>15</w:t>
            </w:r>
            <w:r w:rsidR="00FB1907">
              <w:rPr>
                <w:noProof/>
                <w:webHidden/>
              </w:rPr>
              <w:fldChar w:fldCharType="end"/>
            </w:r>
          </w:hyperlink>
        </w:p>
        <w:p w14:paraId="71BF7A30" w14:textId="77777777" w:rsidR="00FB1907" w:rsidRDefault="002A5644">
          <w:pPr>
            <w:pStyle w:val="TOC2"/>
            <w:rPr>
              <w:rFonts w:asciiTheme="minorHAnsi" w:eastAsiaTheme="minorEastAsia" w:hAnsiTheme="minorHAnsi" w:cstheme="minorBidi"/>
              <w:color w:val="auto"/>
              <w:kern w:val="0"/>
              <w:szCs w:val="22"/>
              <w:lang w:eastAsia="en-AU"/>
            </w:rPr>
          </w:pPr>
          <w:hyperlink w:anchor="_Toc474147057" w:history="1">
            <w:r w:rsidR="00FB1907" w:rsidRPr="00E42146">
              <w:rPr>
                <w:rStyle w:val="Hyperlink"/>
                <w:rFonts w:eastAsiaTheme="majorEastAsia"/>
              </w:rPr>
              <w:t>2.2</w:t>
            </w:r>
            <w:r w:rsidR="00FB1907">
              <w:rPr>
                <w:rFonts w:asciiTheme="minorHAnsi" w:eastAsiaTheme="minorEastAsia" w:hAnsiTheme="minorHAnsi" w:cstheme="minorBidi"/>
                <w:color w:val="auto"/>
                <w:kern w:val="0"/>
                <w:szCs w:val="22"/>
                <w:lang w:eastAsia="en-AU"/>
              </w:rPr>
              <w:tab/>
            </w:r>
            <w:r w:rsidR="00FB1907" w:rsidRPr="00E42146">
              <w:rPr>
                <w:rStyle w:val="Hyperlink"/>
                <w:rFonts w:eastAsiaTheme="majorEastAsia"/>
              </w:rPr>
              <w:t>Category 3</w:t>
            </w:r>
            <w:r w:rsidR="00FB1907">
              <w:rPr>
                <w:webHidden/>
              </w:rPr>
              <w:tab/>
            </w:r>
            <w:r w:rsidR="00FB1907">
              <w:rPr>
                <w:webHidden/>
              </w:rPr>
              <w:fldChar w:fldCharType="begin"/>
            </w:r>
            <w:r w:rsidR="00FB1907">
              <w:rPr>
                <w:webHidden/>
              </w:rPr>
              <w:instrText xml:space="preserve"> PAGEREF _Toc474147057 \h </w:instrText>
            </w:r>
            <w:r w:rsidR="00FB1907">
              <w:rPr>
                <w:webHidden/>
              </w:rPr>
            </w:r>
            <w:r w:rsidR="00FB1907">
              <w:rPr>
                <w:webHidden/>
              </w:rPr>
              <w:fldChar w:fldCharType="separate"/>
            </w:r>
            <w:r w:rsidR="004260C4">
              <w:rPr>
                <w:webHidden/>
              </w:rPr>
              <w:t>17</w:t>
            </w:r>
            <w:r w:rsidR="00FB1907">
              <w:rPr>
                <w:webHidden/>
              </w:rPr>
              <w:fldChar w:fldCharType="end"/>
            </w:r>
          </w:hyperlink>
        </w:p>
        <w:p w14:paraId="59BF6D03" w14:textId="77777777" w:rsidR="00FB1907" w:rsidRDefault="002A5644">
          <w:pPr>
            <w:pStyle w:val="TOC3"/>
            <w:rPr>
              <w:rFonts w:asciiTheme="minorHAnsi" w:eastAsiaTheme="minorEastAsia" w:hAnsiTheme="minorHAnsi" w:cstheme="minorBidi"/>
              <w:i w:val="0"/>
              <w:noProof/>
              <w:color w:val="auto"/>
              <w:kern w:val="0"/>
              <w:szCs w:val="22"/>
              <w:lang w:eastAsia="en-AU"/>
            </w:rPr>
          </w:pPr>
          <w:hyperlink w:anchor="_Toc474147058" w:history="1">
            <w:r w:rsidR="00FB1907" w:rsidRPr="00E42146">
              <w:rPr>
                <w:rStyle w:val="Hyperlink"/>
                <w:rFonts w:eastAsiaTheme="majorEastAsia"/>
                <w:noProof/>
              </w:rPr>
              <w:t>Hydrological Regime</w:t>
            </w:r>
            <w:r w:rsidR="00FB1907">
              <w:rPr>
                <w:noProof/>
                <w:webHidden/>
              </w:rPr>
              <w:tab/>
            </w:r>
            <w:r w:rsidR="00FB1907">
              <w:rPr>
                <w:noProof/>
                <w:webHidden/>
              </w:rPr>
              <w:fldChar w:fldCharType="begin"/>
            </w:r>
            <w:r w:rsidR="00FB1907">
              <w:rPr>
                <w:noProof/>
                <w:webHidden/>
              </w:rPr>
              <w:instrText xml:space="preserve"> PAGEREF _Toc474147058 \h </w:instrText>
            </w:r>
            <w:r w:rsidR="00FB1907">
              <w:rPr>
                <w:noProof/>
                <w:webHidden/>
              </w:rPr>
            </w:r>
            <w:r w:rsidR="00FB1907">
              <w:rPr>
                <w:noProof/>
                <w:webHidden/>
              </w:rPr>
              <w:fldChar w:fldCharType="separate"/>
            </w:r>
            <w:r w:rsidR="004260C4">
              <w:rPr>
                <w:noProof/>
                <w:webHidden/>
              </w:rPr>
              <w:t>17</w:t>
            </w:r>
            <w:r w:rsidR="00FB1907">
              <w:rPr>
                <w:noProof/>
                <w:webHidden/>
              </w:rPr>
              <w:fldChar w:fldCharType="end"/>
            </w:r>
          </w:hyperlink>
        </w:p>
        <w:p w14:paraId="1FC5E362" w14:textId="77777777" w:rsidR="00FB1907" w:rsidRDefault="002A5644">
          <w:pPr>
            <w:pStyle w:val="TOC3"/>
            <w:rPr>
              <w:rFonts w:asciiTheme="minorHAnsi" w:eastAsiaTheme="minorEastAsia" w:hAnsiTheme="minorHAnsi" w:cstheme="minorBidi"/>
              <w:i w:val="0"/>
              <w:noProof/>
              <w:color w:val="auto"/>
              <w:kern w:val="0"/>
              <w:szCs w:val="22"/>
              <w:lang w:eastAsia="en-AU"/>
            </w:rPr>
          </w:pPr>
          <w:hyperlink w:anchor="_Toc474147059" w:history="1">
            <w:r w:rsidR="00FB1907" w:rsidRPr="00E42146">
              <w:rPr>
                <w:rStyle w:val="Hyperlink"/>
                <w:rFonts w:eastAsiaTheme="majorEastAsia"/>
                <w:noProof/>
              </w:rPr>
              <w:t>Matter Transport</w:t>
            </w:r>
            <w:r w:rsidR="00FB1907">
              <w:rPr>
                <w:noProof/>
                <w:webHidden/>
              </w:rPr>
              <w:tab/>
            </w:r>
            <w:r w:rsidR="00FB1907">
              <w:rPr>
                <w:noProof/>
                <w:webHidden/>
              </w:rPr>
              <w:fldChar w:fldCharType="begin"/>
            </w:r>
            <w:r w:rsidR="00FB1907">
              <w:rPr>
                <w:noProof/>
                <w:webHidden/>
              </w:rPr>
              <w:instrText xml:space="preserve"> PAGEREF _Toc474147059 \h </w:instrText>
            </w:r>
            <w:r w:rsidR="00FB1907">
              <w:rPr>
                <w:noProof/>
                <w:webHidden/>
              </w:rPr>
            </w:r>
            <w:r w:rsidR="00FB1907">
              <w:rPr>
                <w:noProof/>
                <w:webHidden/>
              </w:rPr>
              <w:fldChar w:fldCharType="separate"/>
            </w:r>
            <w:r w:rsidR="004260C4">
              <w:rPr>
                <w:noProof/>
                <w:webHidden/>
              </w:rPr>
              <w:t>22</w:t>
            </w:r>
            <w:r w:rsidR="00FB1907">
              <w:rPr>
                <w:noProof/>
                <w:webHidden/>
              </w:rPr>
              <w:fldChar w:fldCharType="end"/>
            </w:r>
          </w:hyperlink>
        </w:p>
        <w:p w14:paraId="05B0F189" w14:textId="77777777" w:rsidR="00FB1907" w:rsidRDefault="002A5644">
          <w:pPr>
            <w:pStyle w:val="TOC3"/>
            <w:rPr>
              <w:rFonts w:asciiTheme="minorHAnsi" w:eastAsiaTheme="minorEastAsia" w:hAnsiTheme="minorHAnsi" w:cstheme="minorBidi"/>
              <w:i w:val="0"/>
              <w:noProof/>
              <w:color w:val="auto"/>
              <w:kern w:val="0"/>
              <w:szCs w:val="22"/>
              <w:lang w:eastAsia="en-AU"/>
            </w:rPr>
          </w:pPr>
          <w:hyperlink w:anchor="_Toc474147060" w:history="1">
            <w:r w:rsidR="00FB1907" w:rsidRPr="00E42146">
              <w:rPr>
                <w:rStyle w:val="Hyperlink"/>
                <w:rFonts w:eastAsiaTheme="majorEastAsia"/>
                <w:noProof/>
              </w:rPr>
              <w:t>Microinvertebrates</w:t>
            </w:r>
            <w:r w:rsidR="00FB1907">
              <w:rPr>
                <w:noProof/>
                <w:webHidden/>
              </w:rPr>
              <w:tab/>
            </w:r>
            <w:r w:rsidR="00FB1907">
              <w:rPr>
                <w:noProof/>
                <w:webHidden/>
              </w:rPr>
              <w:fldChar w:fldCharType="begin"/>
            </w:r>
            <w:r w:rsidR="00FB1907">
              <w:rPr>
                <w:noProof/>
                <w:webHidden/>
              </w:rPr>
              <w:instrText xml:space="preserve"> PAGEREF _Toc474147060 \h </w:instrText>
            </w:r>
            <w:r w:rsidR="00FB1907">
              <w:rPr>
                <w:noProof/>
                <w:webHidden/>
              </w:rPr>
            </w:r>
            <w:r w:rsidR="00FB1907">
              <w:rPr>
                <w:noProof/>
                <w:webHidden/>
              </w:rPr>
              <w:fldChar w:fldCharType="separate"/>
            </w:r>
            <w:r w:rsidR="004260C4">
              <w:rPr>
                <w:noProof/>
                <w:webHidden/>
              </w:rPr>
              <w:t>28</w:t>
            </w:r>
            <w:r w:rsidR="00FB1907">
              <w:rPr>
                <w:noProof/>
                <w:webHidden/>
              </w:rPr>
              <w:fldChar w:fldCharType="end"/>
            </w:r>
          </w:hyperlink>
        </w:p>
        <w:p w14:paraId="702EBA75" w14:textId="77777777" w:rsidR="00FB1907" w:rsidRDefault="002A5644">
          <w:pPr>
            <w:pStyle w:val="TOC3"/>
            <w:rPr>
              <w:rFonts w:asciiTheme="minorHAnsi" w:eastAsiaTheme="minorEastAsia" w:hAnsiTheme="minorHAnsi" w:cstheme="minorBidi"/>
              <w:i w:val="0"/>
              <w:noProof/>
              <w:color w:val="auto"/>
              <w:kern w:val="0"/>
              <w:szCs w:val="22"/>
              <w:lang w:eastAsia="en-AU"/>
            </w:rPr>
          </w:pPr>
          <w:hyperlink w:anchor="_Toc474147061" w:history="1">
            <w:r w:rsidR="00FB1907" w:rsidRPr="00E42146">
              <w:rPr>
                <w:rStyle w:val="Hyperlink"/>
                <w:rFonts w:eastAsiaTheme="majorEastAsia"/>
                <w:noProof/>
              </w:rPr>
              <w:t>Fish Spawning and Recruitment</w:t>
            </w:r>
            <w:r w:rsidR="00FB1907">
              <w:rPr>
                <w:noProof/>
                <w:webHidden/>
              </w:rPr>
              <w:tab/>
            </w:r>
            <w:r w:rsidR="00FB1907">
              <w:rPr>
                <w:noProof/>
                <w:webHidden/>
              </w:rPr>
              <w:fldChar w:fldCharType="begin"/>
            </w:r>
            <w:r w:rsidR="00FB1907">
              <w:rPr>
                <w:noProof/>
                <w:webHidden/>
              </w:rPr>
              <w:instrText xml:space="preserve"> PAGEREF _Toc474147061 \h </w:instrText>
            </w:r>
            <w:r w:rsidR="00FB1907">
              <w:rPr>
                <w:noProof/>
                <w:webHidden/>
              </w:rPr>
            </w:r>
            <w:r w:rsidR="00FB1907">
              <w:rPr>
                <w:noProof/>
                <w:webHidden/>
              </w:rPr>
              <w:fldChar w:fldCharType="separate"/>
            </w:r>
            <w:r w:rsidR="004260C4">
              <w:rPr>
                <w:noProof/>
                <w:webHidden/>
              </w:rPr>
              <w:t>32</w:t>
            </w:r>
            <w:r w:rsidR="00FB1907">
              <w:rPr>
                <w:noProof/>
                <w:webHidden/>
              </w:rPr>
              <w:fldChar w:fldCharType="end"/>
            </w:r>
          </w:hyperlink>
        </w:p>
        <w:p w14:paraId="4BB4025B" w14:textId="77777777" w:rsidR="00FB1907" w:rsidRDefault="002A5644">
          <w:pPr>
            <w:pStyle w:val="TOC1"/>
            <w:tabs>
              <w:tab w:val="left" w:pos="660"/>
              <w:tab w:val="right" w:leader="dot" w:pos="9010"/>
            </w:tabs>
            <w:rPr>
              <w:rFonts w:asciiTheme="minorHAnsi" w:eastAsiaTheme="minorEastAsia" w:hAnsiTheme="minorHAnsi" w:cstheme="minorBidi"/>
              <w:b w:val="0"/>
              <w:caps w:val="0"/>
              <w:noProof/>
              <w:color w:val="auto"/>
              <w:kern w:val="0"/>
              <w:szCs w:val="22"/>
              <w:lang w:eastAsia="en-AU"/>
            </w:rPr>
          </w:pPr>
          <w:hyperlink w:anchor="_Toc474147062" w:history="1">
            <w:r w:rsidR="00FB1907" w:rsidRPr="00E42146">
              <w:rPr>
                <w:rStyle w:val="Hyperlink"/>
                <w:rFonts w:eastAsiaTheme="majorEastAsia"/>
                <w:noProof/>
              </w:rPr>
              <w:t>3</w:t>
            </w:r>
            <w:r w:rsidR="00FB1907">
              <w:rPr>
                <w:rFonts w:asciiTheme="minorHAnsi" w:eastAsiaTheme="minorEastAsia" w:hAnsiTheme="minorHAnsi" w:cstheme="minorBidi"/>
                <w:b w:val="0"/>
                <w:caps w:val="0"/>
                <w:noProof/>
                <w:color w:val="auto"/>
                <w:kern w:val="0"/>
                <w:szCs w:val="22"/>
                <w:lang w:eastAsia="en-AU"/>
              </w:rPr>
              <w:tab/>
            </w:r>
            <w:r w:rsidR="00FB1907" w:rsidRPr="00E42146">
              <w:rPr>
                <w:rStyle w:val="Hyperlink"/>
                <w:rFonts w:eastAsiaTheme="majorEastAsia"/>
                <w:noProof/>
              </w:rPr>
              <w:t>Synthesis and evaluation</w:t>
            </w:r>
            <w:r w:rsidR="00FB1907">
              <w:rPr>
                <w:noProof/>
                <w:webHidden/>
              </w:rPr>
              <w:tab/>
            </w:r>
            <w:r w:rsidR="00FB1907">
              <w:rPr>
                <w:noProof/>
                <w:webHidden/>
              </w:rPr>
              <w:fldChar w:fldCharType="begin"/>
            </w:r>
            <w:r w:rsidR="00FB1907">
              <w:rPr>
                <w:noProof/>
                <w:webHidden/>
              </w:rPr>
              <w:instrText xml:space="preserve"> PAGEREF _Toc474147062 \h </w:instrText>
            </w:r>
            <w:r w:rsidR="00FB1907">
              <w:rPr>
                <w:noProof/>
                <w:webHidden/>
              </w:rPr>
            </w:r>
            <w:r w:rsidR="00FB1907">
              <w:rPr>
                <w:noProof/>
                <w:webHidden/>
              </w:rPr>
              <w:fldChar w:fldCharType="separate"/>
            </w:r>
            <w:r w:rsidR="004260C4">
              <w:rPr>
                <w:noProof/>
                <w:webHidden/>
              </w:rPr>
              <w:t>35</w:t>
            </w:r>
            <w:r w:rsidR="00FB1907">
              <w:rPr>
                <w:noProof/>
                <w:webHidden/>
              </w:rPr>
              <w:fldChar w:fldCharType="end"/>
            </w:r>
          </w:hyperlink>
        </w:p>
        <w:p w14:paraId="53CB2D9B" w14:textId="77777777" w:rsidR="00FB1907" w:rsidRDefault="002A5644">
          <w:pPr>
            <w:pStyle w:val="TOC1"/>
            <w:tabs>
              <w:tab w:val="left" w:pos="660"/>
              <w:tab w:val="right" w:leader="dot" w:pos="9010"/>
            </w:tabs>
            <w:rPr>
              <w:rFonts w:asciiTheme="minorHAnsi" w:eastAsiaTheme="minorEastAsia" w:hAnsiTheme="minorHAnsi" w:cstheme="minorBidi"/>
              <w:b w:val="0"/>
              <w:caps w:val="0"/>
              <w:noProof/>
              <w:color w:val="auto"/>
              <w:kern w:val="0"/>
              <w:szCs w:val="22"/>
              <w:lang w:eastAsia="en-AU"/>
            </w:rPr>
          </w:pPr>
          <w:hyperlink w:anchor="_Toc474147063" w:history="1">
            <w:r w:rsidR="00FB1907" w:rsidRPr="00E42146">
              <w:rPr>
                <w:rStyle w:val="Hyperlink"/>
                <w:rFonts w:eastAsiaTheme="majorEastAsia"/>
                <w:noProof/>
              </w:rPr>
              <w:t>4</w:t>
            </w:r>
            <w:r w:rsidR="00FB1907">
              <w:rPr>
                <w:rFonts w:asciiTheme="minorHAnsi" w:eastAsiaTheme="minorEastAsia" w:hAnsiTheme="minorHAnsi" w:cstheme="minorBidi"/>
                <w:b w:val="0"/>
                <w:caps w:val="0"/>
                <w:noProof/>
                <w:color w:val="auto"/>
                <w:kern w:val="0"/>
                <w:szCs w:val="22"/>
                <w:lang w:eastAsia="en-AU"/>
              </w:rPr>
              <w:tab/>
            </w:r>
            <w:r w:rsidR="00FB1907" w:rsidRPr="00E42146">
              <w:rPr>
                <w:rStyle w:val="Hyperlink"/>
                <w:rFonts w:eastAsiaTheme="majorEastAsia"/>
                <w:noProof/>
              </w:rPr>
              <w:t>Management implications and recommendations</w:t>
            </w:r>
            <w:r w:rsidR="00FB1907">
              <w:rPr>
                <w:noProof/>
                <w:webHidden/>
              </w:rPr>
              <w:tab/>
            </w:r>
            <w:r w:rsidR="00FB1907">
              <w:rPr>
                <w:noProof/>
                <w:webHidden/>
              </w:rPr>
              <w:fldChar w:fldCharType="begin"/>
            </w:r>
            <w:r w:rsidR="00FB1907">
              <w:rPr>
                <w:noProof/>
                <w:webHidden/>
              </w:rPr>
              <w:instrText xml:space="preserve"> PAGEREF _Toc474147063 \h </w:instrText>
            </w:r>
            <w:r w:rsidR="00FB1907">
              <w:rPr>
                <w:noProof/>
                <w:webHidden/>
              </w:rPr>
            </w:r>
            <w:r w:rsidR="00FB1907">
              <w:rPr>
                <w:noProof/>
                <w:webHidden/>
              </w:rPr>
              <w:fldChar w:fldCharType="separate"/>
            </w:r>
            <w:r w:rsidR="004260C4">
              <w:rPr>
                <w:noProof/>
                <w:webHidden/>
              </w:rPr>
              <w:t>41</w:t>
            </w:r>
            <w:r w:rsidR="00FB1907">
              <w:rPr>
                <w:noProof/>
                <w:webHidden/>
              </w:rPr>
              <w:fldChar w:fldCharType="end"/>
            </w:r>
          </w:hyperlink>
        </w:p>
        <w:p w14:paraId="34A17744" w14:textId="77777777" w:rsidR="00FB1907" w:rsidRDefault="002A5644">
          <w:pPr>
            <w:pStyle w:val="TOC3"/>
            <w:rPr>
              <w:rFonts w:asciiTheme="minorHAnsi" w:eastAsiaTheme="minorEastAsia" w:hAnsiTheme="minorHAnsi" w:cstheme="minorBidi"/>
              <w:i w:val="0"/>
              <w:noProof/>
              <w:color w:val="auto"/>
              <w:kern w:val="0"/>
              <w:szCs w:val="22"/>
              <w:lang w:eastAsia="en-AU"/>
            </w:rPr>
          </w:pPr>
          <w:hyperlink w:anchor="_Toc474147064" w:history="1">
            <w:r w:rsidR="00FB1907" w:rsidRPr="00E42146">
              <w:rPr>
                <w:rStyle w:val="Hyperlink"/>
                <w:rFonts w:eastAsiaTheme="majorEastAsia"/>
                <w:noProof/>
              </w:rPr>
              <w:t>Hydrology and Hydrological Regime</w:t>
            </w:r>
            <w:r w:rsidR="00FB1907">
              <w:rPr>
                <w:noProof/>
                <w:webHidden/>
              </w:rPr>
              <w:tab/>
            </w:r>
            <w:r w:rsidR="00FB1907">
              <w:rPr>
                <w:noProof/>
                <w:webHidden/>
              </w:rPr>
              <w:fldChar w:fldCharType="begin"/>
            </w:r>
            <w:r w:rsidR="00FB1907">
              <w:rPr>
                <w:noProof/>
                <w:webHidden/>
              </w:rPr>
              <w:instrText xml:space="preserve"> PAGEREF _Toc474147064 \h </w:instrText>
            </w:r>
            <w:r w:rsidR="00FB1907">
              <w:rPr>
                <w:noProof/>
                <w:webHidden/>
              </w:rPr>
            </w:r>
            <w:r w:rsidR="00FB1907">
              <w:rPr>
                <w:noProof/>
                <w:webHidden/>
              </w:rPr>
              <w:fldChar w:fldCharType="separate"/>
            </w:r>
            <w:r w:rsidR="004260C4">
              <w:rPr>
                <w:noProof/>
                <w:webHidden/>
              </w:rPr>
              <w:t>42</w:t>
            </w:r>
            <w:r w:rsidR="00FB1907">
              <w:rPr>
                <w:noProof/>
                <w:webHidden/>
              </w:rPr>
              <w:fldChar w:fldCharType="end"/>
            </w:r>
          </w:hyperlink>
        </w:p>
        <w:p w14:paraId="31692B05" w14:textId="77777777" w:rsidR="00FB1907" w:rsidRDefault="002A5644">
          <w:pPr>
            <w:pStyle w:val="TOC3"/>
            <w:rPr>
              <w:rFonts w:asciiTheme="minorHAnsi" w:eastAsiaTheme="minorEastAsia" w:hAnsiTheme="minorHAnsi" w:cstheme="minorBidi"/>
              <w:i w:val="0"/>
              <w:noProof/>
              <w:color w:val="auto"/>
              <w:kern w:val="0"/>
              <w:szCs w:val="22"/>
              <w:lang w:eastAsia="en-AU"/>
            </w:rPr>
          </w:pPr>
          <w:hyperlink w:anchor="_Toc474147065" w:history="1">
            <w:r w:rsidR="00FB1907" w:rsidRPr="00E42146">
              <w:rPr>
                <w:rStyle w:val="Hyperlink"/>
                <w:rFonts w:eastAsiaTheme="majorEastAsia"/>
                <w:noProof/>
              </w:rPr>
              <w:t>Stream Metabolism</w:t>
            </w:r>
            <w:r w:rsidR="00FB1907">
              <w:rPr>
                <w:noProof/>
                <w:webHidden/>
              </w:rPr>
              <w:tab/>
            </w:r>
            <w:r w:rsidR="00FB1907">
              <w:rPr>
                <w:noProof/>
                <w:webHidden/>
              </w:rPr>
              <w:fldChar w:fldCharType="begin"/>
            </w:r>
            <w:r w:rsidR="00FB1907">
              <w:rPr>
                <w:noProof/>
                <w:webHidden/>
              </w:rPr>
              <w:instrText xml:space="preserve"> PAGEREF _Toc474147065 \h </w:instrText>
            </w:r>
            <w:r w:rsidR="00FB1907">
              <w:rPr>
                <w:noProof/>
                <w:webHidden/>
              </w:rPr>
            </w:r>
            <w:r w:rsidR="00FB1907">
              <w:rPr>
                <w:noProof/>
                <w:webHidden/>
              </w:rPr>
              <w:fldChar w:fldCharType="separate"/>
            </w:r>
            <w:r w:rsidR="004260C4">
              <w:rPr>
                <w:noProof/>
                <w:webHidden/>
              </w:rPr>
              <w:t>44</w:t>
            </w:r>
            <w:r w:rsidR="00FB1907">
              <w:rPr>
                <w:noProof/>
                <w:webHidden/>
              </w:rPr>
              <w:fldChar w:fldCharType="end"/>
            </w:r>
          </w:hyperlink>
        </w:p>
        <w:p w14:paraId="2AA424F3" w14:textId="77777777" w:rsidR="00FB1907" w:rsidRDefault="002A5644">
          <w:pPr>
            <w:pStyle w:val="TOC3"/>
            <w:rPr>
              <w:rFonts w:asciiTheme="minorHAnsi" w:eastAsiaTheme="minorEastAsia" w:hAnsiTheme="minorHAnsi" w:cstheme="minorBidi"/>
              <w:i w:val="0"/>
              <w:noProof/>
              <w:color w:val="auto"/>
              <w:kern w:val="0"/>
              <w:szCs w:val="22"/>
              <w:lang w:eastAsia="en-AU"/>
            </w:rPr>
          </w:pPr>
          <w:hyperlink w:anchor="_Toc474147066" w:history="1">
            <w:r w:rsidR="00FB1907" w:rsidRPr="00E42146">
              <w:rPr>
                <w:rStyle w:val="Hyperlink"/>
                <w:rFonts w:eastAsiaTheme="majorEastAsia"/>
                <w:noProof/>
              </w:rPr>
              <w:t>Matter Transport</w:t>
            </w:r>
            <w:r w:rsidR="00FB1907">
              <w:rPr>
                <w:noProof/>
                <w:webHidden/>
              </w:rPr>
              <w:tab/>
            </w:r>
            <w:r w:rsidR="00FB1907">
              <w:rPr>
                <w:noProof/>
                <w:webHidden/>
              </w:rPr>
              <w:fldChar w:fldCharType="begin"/>
            </w:r>
            <w:r w:rsidR="00FB1907">
              <w:rPr>
                <w:noProof/>
                <w:webHidden/>
              </w:rPr>
              <w:instrText xml:space="preserve"> PAGEREF _Toc474147066 \h </w:instrText>
            </w:r>
            <w:r w:rsidR="00FB1907">
              <w:rPr>
                <w:noProof/>
                <w:webHidden/>
              </w:rPr>
            </w:r>
            <w:r w:rsidR="00FB1907">
              <w:rPr>
                <w:noProof/>
                <w:webHidden/>
              </w:rPr>
              <w:fldChar w:fldCharType="separate"/>
            </w:r>
            <w:r w:rsidR="004260C4">
              <w:rPr>
                <w:noProof/>
                <w:webHidden/>
              </w:rPr>
              <w:t>44</w:t>
            </w:r>
            <w:r w:rsidR="00FB1907">
              <w:rPr>
                <w:noProof/>
                <w:webHidden/>
              </w:rPr>
              <w:fldChar w:fldCharType="end"/>
            </w:r>
          </w:hyperlink>
        </w:p>
        <w:p w14:paraId="762A58B6" w14:textId="77777777" w:rsidR="00FB1907" w:rsidRDefault="002A5644">
          <w:pPr>
            <w:pStyle w:val="TOC3"/>
            <w:rPr>
              <w:rFonts w:asciiTheme="minorHAnsi" w:eastAsiaTheme="minorEastAsia" w:hAnsiTheme="minorHAnsi" w:cstheme="minorBidi"/>
              <w:i w:val="0"/>
              <w:noProof/>
              <w:color w:val="auto"/>
              <w:kern w:val="0"/>
              <w:szCs w:val="22"/>
              <w:lang w:eastAsia="en-AU"/>
            </w:rPr>
          </w:pPr>
          <w:hyperlink w:anchor="_Toc474147067" w:history="1">
            <w:r w:rsidR="00FB1907" w:rsidRPr="00E42146">
              <w:rPr>
                <w:rStyle w:val="Hyperlink"/>
                <w:rFonts w:eastAsiaTheme="majorEastAsia"/>
                <w:noProof/>
              </w:rPr>
              <w:t>Microinvertebrates</w:t>
            </w:r>
            <w:r w:rsidR="00FB1907">
              <w:rPr>
                <w:noProof/>
                <w:webHidden/>
              </w:rPr>
              <w:tab/>
            </w:r>
            <w:r w:rsidR="00FB1907">
              <w:rPr>
                <w:noProof/>
                <w:webHidden/>
              </w:rPr>
              <w:fldChar w:fldCharType="begin"/>
            </w:r>
            <w:r w:rsidR="00FB1907">
              <w:rPr>
                <w:noProof/>
                <w:webHidden/>
              </w:rPr>
              <w:instrText xml:space="preserve"> PAGEREF _Toc474147067 \h </w:instrText>
            </w:r>
            <w:r w:rsidR="00FB1907">
              <w:rPr>
                <w:noProof/>
                <w:webHidden/>
              </w:rPr>
            </w:r>
            <w:r w:rsidR="00FB1907">
              <w:rPr>
                <w:noProof/>
                <w:webHidden/>
              </w:rPr>
              <w:fldChar w:fldCharType="separate"/>
            </w:r>
            <w:r w:rsidR="004260C4">
              <w:rPr>
                <w:noProof/>
                <w:webHidden/>
              </w:rPr>
              <w:t>46</w:t>
            </w:r>
            <w:r w:rsidR="00FB1907">
              <w:rPr>
                <w:noProof/>
                <w:webHidden/>
              </w:rPr>
              <w:fldChar w:fldCharType="end"/>
            </w:r>
          </w:hyperlink>
        </w:p>
        <w:p w14:paraId="519A4789" w14:textId="77777777" w:rsidR="00FB1907" w:rsidRDefault="002A5644">
          <w:pPr>
            <w:pStyle w:val="TOC3"/>
            <w:rPr>
              <w:rFonts w:asciiTheme="minorHAnsi" w:eastAsiaTheme="minorEastAsia" w:hAnsiTheme="minorHAnsi" w:cstheme="minorBidi"/>
              <w:i w:val="0"/>
              <w:noProof/>
              <w:color w:val="auto"/>
              <w:kern w:val="0"/>
              <w:szCs w:val="22"/>
              <w:lang w:eastAsia="en-AU"/>
            </w:rPr>
          </w:pPr>
          <w:hyperlink w:anchor="_Toc474147068" w:history="1">
            <w:r w:rsidR="00FB1907" w:rsidRPr="00E42146">
              <w:rPr>
                <w:rStyle w:val="Hyperlink"/>
                <w:rFonts w:eastAsiaTheme="majorEastAsia"/>
                <w:noProof/>
              </w:rPr>
              <w:t>Fish Spawning and Recruitment</w:t>
            </w:r>
            <w:r w:rsidR="00FB1907">
              <w:rPr>
                <w:noProof/>
                <w:webHidden/>
              </w:rPr>
              <w:tab/>
            </w:r>
            <w:r w:rsidR="00FB1907">
              <w:rPr>
                <w:noProof/>
                <w:webHidden/>
              </w:rPr>
              <w:fldChar w:fldCharType="begin"/>
            </w:r>
            <w:r w:rsidR="00FB1907">
              <w:rPr>
                <w:noProof/>
                <w:webHidden/>
              </w:rPr>
              <w:instrText xml:space="preserve"> PAGEREF _Toc474147068 \h </w:instrText>
            </w:r>
            <w:r w:rsidR="00FB1907">
              <w:rPr>
                <w:noProof/>
                <w:webHidden/>
              </w:rPr>
            </w:r>
            <w:r w:rsidR="00FB1907">
              <w:rPr>
                <w:noProof/>
                <w:webHidden/>
              </w:rPr>
              <w:fldChar w:fldCharType="separate"/>
            </w:r>
            <w:r w:rsidR="004260C4">
              <w:rPr>
                <w:noProof/>
                <w:webHidden/>
              </w:rPr>
              <w:t>46</w:t>
            </w:r>
            <w:r w:rsidR="00FB1907">
              <w:rPr>
                <w:noProof/>
                <w:webHidden/>
              </w:rPr>
              <w:fldChar w:fldCharType="end"/>
            </w:r>
          </w:hyperlink>
        </w:p>
        <w:p w14:paraId="26B731B5" w14:textId="77777777" w:rsidR="00FB1907" w:rsidRDefault="002A5644">
          <w:pPr>
            <w:pStyle w:val="TOC1"/>
            <w:tabs>
              <w:tab w:val="left" w:pos="660"/>
              <w:tab w:val="right" w:leader="dot" w:pos="9010"/>
            </w:tabs>
            <w:rPr>
              <w:rFonts w:asciiTheme="minorHAnsi" w:eastAsiaTheme="minorEastAsia" w:hAnsiTheme="minorHAnsi" w:cstheme="minorBidi"/>
              <w:b w:val="0"/>
              <w:caps w:val="0"/>
              <w:noProof/>
              <w:color w:val="auto"/>
              <w:kern w:val="0"/>
              <w:szCs w:val="22"/>
              <w:lang w:eastAsia="en-AU"/>
            </w:rPr>
          </w:pPr>
          <w:hyperlink w:anchor="_Toc474147069" w:history="1">
            <w:r w:rsidR="00FB1907" w:rsidRPr="00E42146">
              <w:rPr>
                <w:rStyle w:val="Hyperlink"/>
                <w:rFonts w:eastAsiaTheme="majorEastAsia" w:cstheme="majorBidi"/>
                <w:bCs/>
                <w:noProof/>
              </w:rPr>
              <w:t>5</w:t>
            </w:r>
            <w:r w:rsidR="00FB1907">
              <w:rPr>
                <w:rFonts w:asciiTheme="minorHAnsi" w:eastAsiaTheme="minorEastAsia" w:hAnsiTheme="minorHAnsi" w:cstheme="minorBidi"/>
                <w:b w:val="0"/>
                <w:caps w:val="0"/>
                <w:noProof/>
                <w:color w:val="auto"/>
                <w:kern w:val="0"/>
                <w:szCs w:val="22"/>
                <w:lang w:eastAsia="en-AU"/>
              </w:rPr>
              <w:tab/>
            </w:r>
            <w:r w:rsidR="00FB1907" w:rsidRPr="00E42146">
              <w:rPr>
                <w:rStyle w:val="Hyperlink"/>
                <w:rFonts w:eastAsiaTheme="majorEastAsia" w:cstheme="majorBidi"/>
                <w:bCs/>
                <w:noProof/>
              </w:rPr>
              <w:t>Conclusion</w:t>
            </w:r>
            <w:r w:rsidR="00FB1907">
              <w:rPr>
                <w:noProof/>
                <w:webHidden/>
              </w:rPr>
              <w:tab/>
            </w:r>
            <w:r w:rsidR="00FB1907">
              <w:rPr>
                <w:noProof/>
                <w:webHidden/>
              </w:rPr>
              <w:fldChar w:fldCharType="begin"/>
            </w:r>
            <w:r w:rsidR="00FB1907">
              <w:rPr>
                <w:noProof/>
                <w:webHidden/>
              </w:rPr>
              <w:instrText xml:space="preserve"> PAGEREF _Toc474147069 \h </w:instrText>
            </w:r>
            <w:r w:rsidR="00FB1907">
              <w:rPr>
                <w:noProof/>
                <w:webHidden/>
              </w:rPr>
            </w:r>
            <w:r w:rsidR="00FB1907">
              <w:rPr>
                <w:noProof/>
                <w:webHidden/>
              </w:rPr>
              <w:fldChar w:fldCharType="separate"/>
            </w:r>
            <w:r w:rsidR="004260C4">
              <w:rPr>
                <w:noProof/>
                <w:webHidden/>
              </w:rPr>
              <w:t>48</w:t>
            </w:r>
            <w:r w:rsidR="00FB1907">
              <w:rPr>
                <w:noProof/>
                <w:webHidden/>
              </w:rPr>
              <w:fldChar w:fldCharType="end"/>
            </w:r>
          </w:hyperlink>
        </w:p>
        <w:p w14:paraId="5CFAA58C" w14:textId="77777777" w:rsidR="00FB1907" w:rsidRDefault="002A5644">
          <w:pPr>
            <w:pStyle w:val="TOC1"/>
            <w:tabs>
              <w:tab w:val="left" w:pos="660"/>
              <w:tab w:val="right" w:leader="dot" w:pos="9010"/>
            </w:tabs>
            <w:rPr>
              <w:rFonts w:asciiTheme="minorHAnsi" w:eastAsiaTheme="minorEastAsia" w:hAnsiTheme="minorHAnsi" w:cstheme="minorBidi"/>
              <w:b w:val="0"/>
              <w:caps w:val="0"/>
              <w:noProof/>
              <w:color w:val="auto"/>
              <w:kern w:val="0"/>
              <w:szCs w:val="22"/>
              <w:lang w:eastAsia="en-AU"/>
            </w:rPr>
          </w:pPr>
          <w:hyperlink w:anchor="_Toc474147070" w:history="1">
            <w:r w:rsidR="00FB1907" w:rsidRPr="00E42146">
              <w:rPr>
                <w:rStyle w:val="Hyperlink"/>
                <w:rFonts w:eastAsiaTheme="majorEastAsia"/>
                <w:noProof/>
              </w:rPr>
              <w:t>6</w:t>
            </w:r>
            <w:r w:rsidR="00FB1907">
              <w:rPr>
                <w:rFonts w:asciiTheme="minorHAnsi" w:eastAsiaTheme="minorEastAsia" w:hAnsiTheme="minorHAnsi" w:cstheme="minorBidi"/>
                <w:b w:val="0"/>
                <w:caps w:val="0"/>
                <w:noProof/>
                <w:color w:val="auto"/>
                <w:kern w:val="0"/>
                <w:szCs w:val="22"/>
                <w:lang w:eastAsia="en-AU"/>
              </w:rPr>
              <w:tab/>
            </w:r>
            <w:r w:rsidR="00FB1907" w:rsidRPr="00E42146">
              <w:rPr>
                <w:rStyle w:val="Hyperlink"/>
                <w:rFonts w:eastAsiaTheme="majorEastAsia"/>
                <w:noProof/>
              </w:rPr>
              <w:t>References</w:t>
            </w:r>
            <w:r w:rsidR="00FB1907">
              <w:rPr>
                <w:noProof/>
                <w:webHidden/>
              </w:rPr>
              <w:tab/>
            </w:r>
            <w:r w:rsidR="00FB1907">
              <w:rPr>
                <w:noProof/>
                <w:webHidden/>
              </w:rPr>
              <w:fldChar w:fldCharType="begin"/>
            </w:r>
            <w:r w:rsidR="00FB1907">
              <w:rPr>
                <w:noProof/>
                <w:webHidden/>
              </w:rPr>
              <w:instrText xml:space="preserve"> PAGEREF _Toc474147070 \h </w:instrText>
            </w:r>
            <w:r w:rsidR="00FB1907">
              <w:rPr>
                <w:noProof/>
                <w:webHidden/>
              </w:rPr>
            </w:r>
            <w:r w:rsidR="00FB1907">
              <w:rPr>
                <w:noProof/>
                <w:webHidden/>
              </w:rPr>
              <w:fldChar w:fldCharType="separate"/>
            </w:r>
            <w:r w:rsidR="004260C4">
              <w:rPr>
                <w:noProof/>
                <w:webHidden/>
              </w:rPr>
              <w:t>50</w:t>
            </w:r>
            <w:r w:rsidR="00FB1907">
              <w:rPr>
                <w:noProof/>
                <w:webHidden/>
              </w:rPr>
              <w:fldChar w:fldCharType="end"/>
            </w:r>
          </w:hyperlink>
        </w:p>
        <w:p w14:paraId="16ADDFED" w14:textId="77777777" w:rsidR="00FB1907" w:rsidRDefault="002A5644">
          <w:pPr>
            <w:pStyle w:val="TOC1"/>
            <w:tabs>
              <w:tab w:val="left" w:pos="660"/>
              <w:tab w:val="right" w:leader="dot" w:pos="9010"/>
            </w:tabs>
            <w:rPr>
              <w:rFonts w:asciiTheme="minorHAnsi" w:eastAsiaTheme="minorEastAsia" w:hAnsiTheme="minorHAnsi" w:cstheme="minorBidi"/>
              <w:b w:val="0"/>
              <w:caps w:val="0"/>
              <w:noProof/>
              <w:color w:val="auto"/>
              <w:kern w:val="0"/>
              <w:szCs w:val="22"/>
              <w:lang w:eastAsia="en-AU"/>
            </w:rPr>
          </w:pPr>
          <w:hyperlink w:anchor="_Toc474147071" w:history="1">
            <w:r w:rsidR="00FB1907" w:rsidRPr="00E42146">
              <w:rPr>
                <w:rStyle w:val="Hyperlink"/>
                <w:rFonts w:eastAsiaTheme="majorEastAsia"/>
                <w:noProof/>
              </w:rPr>
              <w:t>7</w:t>
            </w:r>
            <w:r w:rsidR="00FB1907">
              <w:rPr>
                <w:rFonts w:asciiTheme="minorHAnsi" w:eastAsiaTheme="minorEastAsia" w:hAnsiTheme="minorHAnsi" w:cstheme="minorBidi"/>
                <w:b w:val="0"/>
                <w:caps w:val="0"/>
                <w:noProof/>
                <w:color w:val="auto"/>
                <w:kern w:val="0"/>
                <w:szCs w:val="22"/>
                <w:lang w:eastAsia="en-AU"/>
              </w:rPr>
              <w:tab/>
            </w:r>
            <w:r w:rsidR="00FB1907" w:rsidRPr="00E42146">
              <w:rPr>
                <w:rStyle w:val="Hyperlink"/>
                <w:rFonts w:eastAsiaTheme="majorEastAsia"/>
                <w:noProof/>
              </w:rPr>
              <w:t>Appendices</w:t>
            </w:r>
            <w:r w:rsidR="00FB1907">
              <w:rPr>
                <w:noProof/>
                <w:webHidden/>
              </w:rPr>
              <w:tab/>
            </w:r>
            <w:r w:rsidR="00FB1907">
              <w:rPr>
                <w:noProof/>
                <w:webHidden/>
              </w:rPr>
              <w:fldChar w:fldCharType="begin"/>
            </w:r>
            <w:r w:rsidR="00FB1907">
              <w:rPr>
                <w:noProof/>
                <w:webHidden/>
              </w:rPr>
              <w:instrText xml:space="preserve"> PAGEREF _Toc474147071 \h </w:instrText>
            </w:r>
            <w:r w:rsidR="00FB1907">
              <w:rPr>
                <w:noProof/>
                <w:webHidden/>
              </w:rPr>
            </w:r>
            <w:r w:rsidR="00FB1907">
              <w:rPr>
                <w:noProof/>
                <w:webHidden/>
              </w:rPr>
              <w:fldChar w:fldCharType="separate"/>
            </w:r>
            <w:r w:rsidR="004260C4">
              <w:rPr>
                <w:noProof/>
                <w:webHidden/>
              </w:rPr>
              <w:t>60</w:t>
            </w:r>
            <w:r w:rsidR="00FB1907">
              <w:rPr>
                <w:noProof/>
                <w:webHidden/>
              </w:rPr>
              <w:fldChar w:fldCharType="end"/>
            </w:r>
          </w:hyperlink>
        </w:p>
        <w:p w14:paraId="27744870" w14:textId="77777777" w:rsidR="00FB1907" w:rsidRDefault="002A56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474147072" w:history="1">
            <w:r w:rsidR="00FB1907" w:rsidRPr="00E42146">
              <w:rPr>
                <w:rStyle w:val="Hyperlink"/>
                <w:rFonts w:eastAsiaTheme="majorEastAsia"/>
                <w:noProof/>
              </w:rPr>
              <w:t>Appendix A: Selected area objectives and hypotheses for each indicator</w:t>
            </w:r>
            <w:r w:rsidR="00FB1907">
              <w:rPr>
                <w:noProof/>
                <w:webHidden/>
              </w:rPr>
              <w:tab/>
            </w:r>
            <w:r w:rsidR="00FB1907">
              <w:rPr>
                <w:noProof/>
                <w:webHidden/>
              </w:rPr>
              <w:fldChar w:fldCharType="begin"/>
            </w:r>
            <w:r w:rsidR="00FB1907">
              <w:rPr>
                <w:noProof/>
                <w:webHidden/>
              </w:rPr>
              <w:instrText xml:space="preserve"> PAGEREF _Toc474147072 \h </w:instrText>
            </w:r>
            <w:r w:rsidR="00FB1907">
              <w:rPr>
                <w:noProof/>
                <w:webHidden/>
              </w:rPr>
            </w:r>
            <w:r w:rsidR="00FB1907">
              <w:rPr>
                <w:noProof/>
                <w:webHidden/>
              </w:rPr>
              <w:fldChar w:fldCharType="separate"/>
            </w:r>
            <w:r w:rsidR="004260C4">
              <w:rPr>
                <w:noProof/>
                <w:webHidden/>
              </w:rPr>
              <w:t>60</w:t>
            </w:r>
            <w:r w:rsidR="00FB1907">
              <w:rPr>
                <w:noProof/>
                <w:webHidden/>
              </w:rPr>
              <w:fldChar w:fldCharType="end"/>
            </w:r>
          </w:hyperlink>
        </w:p>
        <w:p w14:paraId="330BB326" w14:textId="77777777" w:rsidR="00FB1907" w:rsidRDefault="002A56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474147073" w:history="1">
            <w:r w:rsidR="00FB1907" w:rsidRPr="00E42146">
              <w:rPr>
                <w:rStyle w:val="Hyperlink"/>
                <w:rFonts w:eastAsiaTheme="majorEastAsia"/>
                <w:noProof/>
              </w:rPr>
              <w:t>Appendix B: Overview of other watering activities during 2015/16</w:t>
            </w:r>
            <w:r w:rsidR="00FB1907">
              <w:rPr>
                <w:noProof/>
                <w:webHidden/>
              </w:rPr>
              <w:tab/>
            </w:r>
            <w:r w:rsidR="00FB1907">
              <w:rPr>
                <w:noProof/>
                <w:webHidden/>
              </w:rPr>
              <w:fldChar w:fldCharType="begin"/>
            </w:r>
            <w:r w:rsidR="00FB1907">
              <w:rPr>
                <w:noProof/>
                <w:webHidden/>
              </w:rPr>
              <w:instrText xml:space="preserve"> PAGEREF _Toc474147073 \h </w:instrText>
            </w:r>
            <w:r w:rsidR="00FB1907">
              <w:rPr>
                <w:noProof/>
                <w:webHidden/>
              </w:rPr>
            </w:r>
            <w:r w:rsidR="00FB1907">
              <w:rPr>
                <w:noProof/>
                <w:webHidden/>
              </w:rPr>
              <w:fldChar w:fldCharType="separate"/>
            </w:r>
            <w:r w:rsidR="004260C4">
              <w:rPr>
                <w:noProof/>
                <w:webHidden/>
              </w:rPr>
              <w:t>64</w:t>
            </w:r>
            <w:r w:rsidR="00FB1907">
              <w:rPr>
                <w:noProof/>
                <w:webHidden/>
              </w:rPr>
              <w:fldChar w:fldCharType="end"/>
            </w:r>
          </w:hyperlink>
        </w:p>
        <w:p w14:paraId="62E49710" w14:textId="77777777" w:rsidR="00FB1907" w:rsidRDefault="002A56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474147074" w:history="1">
            <w:r w:rsidR="00FB1907" w:rsidRPr="00E42146">
              <w:rPr>
                <w:rStyle w:val="Hyperlink"/>
                <w:rFonts w:eastAsiaTheme="majorEastAsia"/>
                <w:noProof/>
              </w:rPr>
              <w:t>Appendix C: Stream Metabolism</w:t>
            </w:r>
            <w:r w:rsidR="00FB1907">
              <w:rPr>
                <w:noProof/>
                <w:webHidden/>
              </w:rPr>
              <w:tab/>
            </w:r>
            <w:r w:rsidR="00FB1907">
              <w:rPr>
                <w:noProof/>
                <w:webHidden/>
              </w:rPr>
              <w:fldChar w:fldCharType="begin"/>
            </w:r>
            <w:r w:rsidR="00FB1907">
              <w:rPr>
                <w:noProof/>
                <w:webHidden/>
              </w:rPr>
              <w:instrText xml:space="preserve"> PAGEREF _Toc474147074 \h </w:instrText>
            </w:r>
            <w:r w:rsidR="00FB1907">
              <w:rPr>
                <w:noProof/>
                <w:webHidden/>
              </w:rPr>
            </w:r>
            <w:r w:rsidR="00FB1907">
              <w:rPr>
                <w:noProof/>
                <w:webHidden/>
              </w:rPr>
              <w:fldChar w:fldCharType="separate"/>
            </w:r>
            <w:r w:rsidR="004260C4">
              <w:rPr>
                <w:noProof/>
                <w:webHidden/>
              </w:rPr>
              <w:t>71</w:t>
            </w:r>
            <w:r w:rsidR="00FB1907">
              <w:rPr>
                <w:noProof/>
                <w:webHidden/>
              </w:rPr>
              <w:fldChar w:fldCharType="end"/>
            </w:r>
          </w:hyperlink>
        </w:p>
        <w:p w14:paraId="76842DFB" w14:textId="77777777" w:rsidR="00FB1907" w:rsidRDefault="002A56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474147075" w:history="1">
            <w:r w:rsidR="00FB1907" w:rsidRPr="00E42146">
              <w:rPr>
                <w:rStyle w:val="Hyperlink"/>
                <w:rFonts w:eastAsiaTheme="majorEastAsia"/>
                <w:noProof/>
              </w:rPr>
              <w:t>Appendix D: Fish (channel)</w:t>
            </w:r>
            <w:r w:rsidR="00FB1907">
              <w:rPr>
                <w:noProof/>
                <w:webHidden/>
              </w:rPr>
              <w:tab/>
            </w:r>
            <w:r w:rsidR="00FB1907">
              <w:rPr>
                <w:noProof/>
                <w:webHidden/>
              </w:rPr>
              <w:fldChar w:fldCharType="begin"/>
            </w:r>
            <w:r w:rsidR="00FB1907">
              <w:rPr>
                <w:noProof/>
                <w:webHidden/>
              </w:rPr>
              <w:instrText xml:space="preserve"> PAGEREF _Toc474147075 \h </w:instrText>
            </w:r>
            <w:r w:rsidR="00FB1907">
              <w:rPr>
                <w:noProof/>
                <w:webHidden/>
              </w:rPr>
            </w:r>
            <w:r w:rsidR="00FB1907">
              <w:rPr>
                <w:noProof/>
                <w:webHidden/>
              </w:rPr>
              <w:fldChar w:fldCharType="separate"/>
            </w:r>
            <w:r w:rsidR="004260C4">
              <w:rPr>
                <w:noProof/>
                <w:webHidden/>
              </w:rPr>
              <w:t>83</w:t>
            </w:r>
            <w:r w:rsidR="00FB1907">
              <w:rPr>
                <w:noProof/>
                <w:webHidden/>
              </w:rPr>
              <w:fldChar w:fldCharType="end"/>
            </w:r>
          </w:hyperlink>
        </w:p>
        <w:p w14:paraId="47E4E8F9" w14:textId="77777777" w:rsidR="00FB1907" w:rsidRDefault="002A56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474147076" w:history="1">
            <w:r w:rsidR="00FB1907" w:rsidRPr="00E42146">
              <w:rPr>
                <w:rStyle w:val="Hyperlink"/>
                <w:rFonts w:eastAsiaTheme="majorEastAsia"/>
                <w:noProof/>
              </w:rPr>
              <w:t>Appendix E: Hydrological Regime</w:t>
            </w:r>
            <w:r w:rsidR="00FB1907">
              <w:rPr>
                <w:noProof/>
                <w:webHidden/>
              </w:rPr>
              <w:tab/>
            </w:r>
            <w:r w:rsidR="00FB1907">
              <w:rPr>
                <w:noProof/>
                <w:webHidden/>
              </w:rPr>
              <w:fldChar w:fldCharType="begin"/>
            </w:r>
            <w:r w:rsidR="00FB1907">
              <w:rPr>
                <w:noProof/>
                <w:webHidden/>
              </w:rPr>
              <w:instrText xml:space="preserve"> PAGEREF _Toc474147076 \h </w:instrText>
            </w:r>
            <w:r w:rsidR="00FB1907">
              <w:rPr>
                <w:noProof/>
                <w:webHidden/>
              </w:rPr>
            </w:r>
            <w:r w:rsidR="00FB1907">
              <w:rPr>
                <w:noProof/>
                <w:webHidden/>
              </w:rPr>
              <w:fldChar w:fldCharType="separate"/>
            </w:r>
            <w:r w:rsidR="004260C4">
              <w:rPr>
                <w:noProof/>
                <w:webHidden/>
              </w:rPr>
              <w:t>94</w:t>
            </w:r>
            <w:r w:rsidR="00FB1907">
              <w:rPr>
                <w:noProof/>
                <w:webHidden/>
              </w:rPr>
              <w:fldChar w:fldCharType="end"/>
            </w:r>
          </w:hyperlink>
        </w:p>
        <w:p w14:paraId="33CA7CC9" w14:textId="77777777" w:rsidR="00FB1907" w:rsidRDefault="002A56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474147077" w:history="1">
            <w:r w:rsidR="00FB1907" w:rsidRPr="00E42146">
              <w:rPr>
                <w:rStyle w:val="Hyperlink"/>
                <w:rFonts w:eastAsiaTheme="majorEastAsia"/>
                <w:noProof/>
              </w:rPr>
              <w:t>Appendix F: Matter Transport</w:t>
            </w:r>
            <w:r w:rsidR="00FB1907">
              <w:rPr>
                <w:noProof/>
                <w:webHidden/>
              </w:rPr>
              <w:tab/>
            </w:r>
            <w:r w:rsidR="00FB1907">
              <w:rPr>
                <w:noProof/>
                <w:webHidden/>
              </w:rPr>
              <w:fldChar w:fldCharType="begin"/>
            </w:r>
            <w:r w:rsidR="00FB1907">
              <w:rPr>
                <w:noProof/>
                <w:webHidden/>
              </w:rPr>
              <w:instrText xml:space="preserve"> PAGEREF _Toc474147077 \h </w:instrText>
            </w:r>
            <w:r w:rsidR="00FB1907">
              <w:rPr>
                <w:noProof/>
                <w:webHidden/>
              </w:rPr>
            </w:r>
            <w:r w:rsidR="00FB1907">
              <w:rPr>
                <w:noProof/>
                <w:webHidden/>
              </w:rPr>
              <w:fldChar w:fldCharType="separate"/>
            </w:r>
            <w:r w:rsidR="004260C4">
              <w:rPr>
                <w:noProof/>
                <w:webHidden/>
              </w:rPr>
              <w:t>107</w:t>
            </w:r>
            <w:r w:rsidR="00FB1907">
              <w:rPr>
                <w:noProof/>
                <w:webHidden/>
              </w:rPr>
              <w:fldChar w:fldCharType="end"/>
            </w:r>
          </w:hyperlink>
        </w:p>
        <w:p w14:paraId="7A220D2C" w14:textId="77777777" w:rsidR="00FB1907" w:rsidRDefault="002A56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474147078" w:history="1">
            <w:r w:rsidR="00FB1907" w:rsidRPr="00E42146">
              <w:rPr>
                <w:rStyle w:val="Hyperlink"/>
                <w:rFonts w:eastAsiaTheme="majorEastAsia"/>
                <w:noProof/>
              </w:rPr>
              <w:t>Appendix G: Microinvertebrates</w:t>
            </w:r>
            <w:r w:rsidR="00FB1907">
              <w:rPr>
                <w:noProof/>
                <w:webHidden/>
              </w:rPr>
              <w:tab/>
            </w:r>
            <w:r w:rsidR="00FB1907">
              <w:rPr>
                <w:noProof/>
                <w:webHidden/>
              </w:rPr>
              <w:fldChar w:fldCharType="begin"/>
            </w:r>
            <w:r w:rsidR="00FB1907">
              <w:rPr>
                <w:noProof/>
                <w:webHidden/>
              </w:rPr>
              <w:instrText xml:space="preserve"> PAGEREF _Toc474147078 \h </w:instrText>
            </w:r>
            <w:r w:rsidR="00FB1907">
              <w:rPr>
                <w:noProof/>
                <w:webHidden/>
              </w:rPr>
            </w:r>
            <w:r w:rsidR="00FB1907">
              <w:rPr>
                <w:noProof/>
                <w:webHidden/>
              </w:rPr>
              <w:fldChar w:fldCharType="separate"/>
            </w:r>
            <w:r w:rsidR="004260C4">
              <w:rPr>
                <w:noProof/>
                <w:webHidden/>
              </w:rPr>
              <w:t>123</w:t>
            </w:r>
            <w:r w:rsidR="00FB1907">
              <w:rPr>
                <w:noProof/>
                <w:webHidden/>
              </w:rPr>
              <w:fldChar w:fldCharType="end"/>
            </w:r>
          </w:hyperlink>
        </w:p>
        <w:p w14:paraId="07604F3E" w14:textId="77777777" w:rsidR="00FB1907" w:rsidRDefault="002A56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474147079" w:history="1">
            <w:r w:rsidR="00FB1907" w:rsidRPr="00E42146">
              <w:rPr>
                <w:rStyle w:val="Hyperlink"/>
                <w:rFonts w:eastAsiaTheme="majorEastAsia"/>
                <w:noProof/>
              </w:rPr>
              <w:t>Appendix H: Fish Spawning and Recruitment</w:t>
            </w:r>
            <w:r w:rsidR="00FB1907">
              <w:rPr>
                <w:noProof/>
                <w:webHidden/>
              </w:rPr>
              <w:tab/>
            </w:r>
            <w:r w:rsidR="00FB1907">
              <w:rPr>
                <w:noProof/>
                <w:webHidden/>
              </w:rPr>
              <w:fldChar w:fldCharType="begin"/>
            </w:r>
            <w:r w:rsidR="00FB1907">
              <w:rPr>
                <w:noProof/>
                <w:webHidden/>
              </w:rPr>
              <w:instrText xml:space="preserve"> PAGEREF _Toc474147079 \h </w:instrText>
            </w:r>
            <w:r w:rsidR="00FB1907">
              <w:rPr>
                <w:noProof/>
                <w:webHidden/>
              </w:rPr>
            </w:r>
            <w:r w:rsidR="00FB1907">
              <w:rPr>
                <w:noProof/>
                <w:webHidden/>
              </w:rPr>
              <w:fldChar w:fldCharType="separate"/>
            </w:r>
            <w:r w:rsidR="004260C4">
              <w:rPr>
                <w:noProof/>
                <w:webHidden/>
              </w:rPr>
              <w:t>149</w:t>
            </w:r>
            <w:r w:rsidR="00FB1907">
              <w:rPr>
                <w:noProof/>
                <w:webHidden/>
              </w:rPr>
              <w:fldChar w:fldCharType="end"/>
            </w:r>
          </w:hyperlink>
        </w:p>
        <w:p w14:paraId="14CCB38D" w14:textId="77777777" w:rsidR="00FB1907" w:rsidRDefault="002A5644">
          <w:pPr>
            <w:pStyle w:val="TOC1"/>
            <w:tabs>
              <w:tab w:val="right" w:leader="dot" w:pos="9010"/>
            </w:tabs>
            <w:rPr>
              <w:rFonts w:asciiTheme="minorHAnsi" w:eastAsiaTheme="minorEastAsia" w:hAnsiTheme="minorHAnsi" w:cstheme="minorBidi"/>
              <w:b w:val="0"/>
              <w:caps w:val="0"/>
              <w:noProof/>
              <w:color w:val="auto"/>
              <w:kern w:val="0"/>
              <w:szCs w:val="22"/>
              <w:lang w:eastAsia="en-AU"/>
            </w:rPr>
          </w:pPr>
          <w:hyperlink w:anchor="_Toc474147080" w:history="1">
            <w:r w:rsidR="00FB1907" w:rsidRPr="00E42146">
              <w:rPr>
                <w:rStyle w:val="Hyperlink"/>
                <w:rFonts w:eastAsiaTheme="majorEastAsia"/>
                <w:noProof/>
              </w:rPr>
              <w:t>Appendix I: DEWNR short-term evaluation questions</w:t>
            </w:r>
            <w:r w:rsidR="00FB1907">
              <w:rPr>
                <w:noProof/>
                <w:webHidden/>
              </w:rPr>
              <w:tab/>
            </w:r>
            <w:r w:rsidR="00FB1907">
              <w:rPr>
                <w:noProof/>
                <w:webHidden/>
              </w:rPr>
              <w:fldChar w:fldCharType="begin"/>
            </w:r>
            <w:r w:rsidR="00FB1907">
              <w:rPr>
                <w:noProof/>
                <w:webHidden/>
              </w:rPr>
              <w:instrText xml:space="preserve"> PAGEREF _Toc474147080 \h </w:instrText>
            </w:r>
            <w:r w:rsidR="00FB1907">
              <w:rPr>
                <w:noProof/>
                <w:webHidden/>
              </w:rPr>
            </w:r>
            <w:r w:rsidR="00FB1907">
              <w:rPr>
                <w:noProof/>
                <w:webHidden/>
              </w:rPr>
              <w:fldChar w:fldCharType="separate"/>
            </w:r>
            <w:r w:rsidR="004260C4">
              <w:rPr>
                <w:noProof/>
                <w:webHidden/>
              </w:rPr>
              <w:t>177</w:t>
            </w:r>
            <w:r w:rsidR="00FB1907">
              <w:rPr>
                <w:noProof/>
                <w:webHidden/>
              </w:rPr>
              <w:fldChar w:fldCharType="end"/>
            </w:r>
          </w:hyperlink>
        </w:p>
        <w:p w14:paraId="101651A9" w14:textId="24CE2D5E" w:rsidR="002667B2" w:rsidRDefault="002667B2">
          <w:r>
            <w:rPr>
              <w:b/>
              <w:bCs/>
              <w:noProof/>
            </w:rPr>
            <w:fldChar w:fldCharType="end"/>
          </w:r>
        </w:p>
      </w:sdtContent>
    </w:sdt>
    <w:p w14:paraId="57F8745F" w14:textId="1C4F8CE0" w:rsidR="006A3F89" w:rsidRPr="0090335C" w:rsidRDefault="006A3F89" w:rsidP="006A3F89">
      <w:pPr>
        <w:rPr>
          <w:rFonts w:cs="Arial"/>
          <w:spacing w:val="40"/>
          <w:sz w:val="32"/>
          <w:szCs w:val="32"/>
          <w:lang w:eastAsia="en-AU"/>
        </w:rPr>
      </w:pPr>
      <w:r w:rsidRPr="0090335C">
        <w:br w:type="page"/>
      </w:r>
    </w:p>
    <w:p w14:paraId="7195571F" w14:textId="77777777" w:rsidR="008E7AE7" w:rsidRPr="00A67C76" w:rsidRDefault="008E7AE7" w:rsidP="00F41737">
      <w:pPr>
        <w:pStyle w:val="H1anotincinTOC"/>
        <w:outlineLvl w:val="0"/>
        <w:rPr>
          <w:color w:val="1F497D" w:themeColor="text2"/>
        </w:rPr>
      </w:pPr>
      <w:bookmarkStart w:id="4" w:name="_Toc441838720"/>
      <w:bookmarkStart w:id="5" w:name="_Toc474147043"/>
      <w:r w:rsidRPr="00A67C76">
        <w:rPr>
          <w:color w:val="1F497D" w:themeColor="text2"/>
        </w:rPr>
        <w:lastRenderedPageBreak/>
        <w:t>List of figures</w:t>
      </w:r>
      <w:bookmarkEnd w:id="4"/>
      <w:bookmarkEnd w:id="5"/>
    </w:p>
    <w:p w14:paraId="38C1207E" w14:textId="77777777" w:rsidR="00FB1907" w:rsidRDefault="00F46C98">
      <w:pPr>
        <w:pStyle w:val="TableofFigures"/>
        <w:rPr>
          <w:rFonts w:asciiTheme="minorHAnsi" w:eastAsiaTheme="minorEastAsia" w:hAnsiTheme="minorHAnsi" w:cstheme="minorBidi"/>
          <w:noProof/>
          <w:color w:val="auto"/>
          <w:szCs w:val="22"/>
        </w:rPr>
      </w:pPr>
      <w:r>
        <w:rPr>
          <w:rStyle w:val="Hyperlink"/>
          <w:noProof/>
          <w:color w:val="auto"/>
          <w:u w:val="none"/>
        </w:rPr>
        <w:fldChar w:fldCharType="begin"/>
      </w:r>
      <w:r>
        <w:rPr>
          <w:rStyle w:val="Hyperlink"/>
          <w:noProof/>
          <w:color w:val="auto"/>
          <w:u w:val="none"/>
        </w:rPr>
        <w:instrText xml:space="preserve"> TOC \h \z \c "Figure" </w:instrText>
      </w:r>
      <w:r>
        <w:rPr>
          <w:rStyle w:val="Hyperlink"/>
          <w:noProof/>
          <w:color w:val="auto"/>
          <w:u w:val="none"/>
        </w:rPr>
        <w:fldChar w:fldCharType="separate"/>
      </w:r>
      <w:hyperlink w:anchor="_Toc474147025" w:history="1">
        <w:r w:rsidR="00FB1907" w:rsidRPr="00B3117A">
          <w:rPr>
            <w:rStyle w:val="Hyperlink"/>
            <w:noProof/>
          </w:rPr>
          <w:t>Figure 1. Map showing the location of the Murray–Darling Basin and the major rivers that comprise the southern Murray-Darling Basin, the numbered Locks and Weirs (up to Lock 26, Torrumbarry), the Darling, Lachlan, Murrumbidgee, Edward–Wakool, Campaspe and Goulburn rivers and Lake Victoria, an off-stream storage used to regulate flows in the lower Murray River.</w:t>
        </w:r>
        <w:r w:rsidR="00FB1907">
          <w:rPr>
            <w:noProof/>
            <w:webHidden/>
          </w:rPr>
          <w:tab/>
        </w:r>
        <w:r w:rsidR="00FB1907">
          <w:rPr>
            <w:noProof/>
            <w:webHidden/>
          </w:rPr>
          <w:fldChar w:fldCharType="begin"/>
        </w:r>
        <w:r w:rsidR="00FB1907">
          <w:rPr>
            <w:noProof/>
            <w:webHidden/>
          </w:rPr>
          <w:instrText xml:space="preserve"> PAGEREF _Toc474147025 \h </w:instrText>
        </w:r>
        <w:r w:rsidR="00FB1907">
          <w:rPr>
            <w:noProof/>
            <w:webHidden/>
          </w:rPr>
        </w:r>
        <w:r w:rsidR="00FB1907">
          <w:rPr>
            <w:noProof/>
            <w:webHidden/>
          </w:rPr>
          <w:fldChar w:fldCharType="separate"/>
        </w:r>
        <w:r w:rsidR="004260C4">
          <w:rPr>
            <w:noProof/>
            <w:webHidden/>
          </w:rPr>
          <w:t>2</w:t>
        </w:r>
        <w:r w:rsidR="00FB1907">
          <w:rPr>
            <w:noProof/>
            <w:webHidden/>
          </w:rPr>
          <w:fldChar w:fldCharType="end"/>
        </w:r>
      </w:hyperlink>
    </w:p>
    <w:p w14:paraId="64084CED" w14:textId="77777777" w:rsidR="00FB1907" w:rsidRDefault="002A5644">
      <w:pPr>
        <w:pStyle w:val="TableofFigures"/>
        <w:rPr>
          <w:rFonts w:asciiTheme="minorHAnsi" w:eastAsiaTheme="minorEastAsia" w:hAnsiTheme="minorHAnsi" w:cstheme="minorBidi"/>
          <w:noProof/>
          <w:color w:val="auto"/>
          <w:szCs w:val="22"/>
        </w:rPr>
      </w:pPr>
      <w:hyperlink w:anchor="_Toc474147026" w:history="1">
        <w:r w:rsidR="00FB1907" w:rsidRPr="00B3117A">
          <w:rPr>
            <w:rStyle w:val="Hyperlink"/>
            <w:noProof/>
          </w:rPr>
          <w:t>Figure 2. Daily flow (ML day</w:t>
        </w:r>
        <w:r w:rsidR="00FB1907" w:rsidRPr="00B3117A">
          <w:rPr>
            <w:rStyle w:val="Hyperlink"/>
            <w:noProof/>
            <w:vertAlign w:val="superscript"/>
          </w:rPr>
          <w:t>-1</w:t>
        </w:r>
        <w:r w:rsidR="00FB1907" w:rsidRPr="00B3117A">
          <w:rPr>
            <w:rStyle w:val="Hyperlink"/>
            <w:noProof/>
          </w:rPr>
          <w:t>) in the LMR at the South Australian border from January 1996 to July 2016. Dotted line represents approximate bankfull flow in the main channel of the LMR.</w:t>
        </w:r>
        <w:r w:rsidR="00FB1907">
          <w:rPr>
            <w:noProof/>
            <w:webHidden/>
          </w:rPr>
          <w:tab/>
        </w:r>
        <w:r w:rsidR="00FB1907">
          <w:rPr>
            <w:noProof/>
            <w:webHidden/>
          </w:rPr>
          <w:fldChar w:fldCharType="begin"/>
        </w:r>
        <w:r w:rsidR="00FB1907">
          <w:rPr>
            <w:noProof/>
            <w:webHidden/>
          </w:rPr>
          <w:instrText xml:space="preserve"> PAGEREF _Toc474147026 \h </w:instrText>
        </w:r>
        <w:r w:rsidR="00FB1907">
          <w:rPr>
            <w:noProof/>
            <w:webHidden/>
          </w:rPr>
        </w:r>
        <w:r w:rsidR="00FB1907">
          <w:rPr>
            <w:noProof/>
            <w:webHidden/>
          </w:rPr>
          <w:fldChar w:fldCharType="separate"/>
        </w:r>
        <w:r w:rsidR="004260C4">
          <w:rPr>
            <w:noProof/>
            <w:webHidden/>
          </w:rPr>
          <w:t>2</w:t>
        </w:r>
        <w:r w:rsidR="00FB1907">
          <w:rPr>
            <w:noProof/>
            <w:webHidden/>
          </w:rPr>
          <w:fldChar w:fldCharType="end"/>
        </w:r>
      </w:hyperlink>
    </w:p>
    <w:p w14:paraId="2D7C010E" w14:textId="77777777" w:rsidR="00FB1907" w:rsidRDefault="002A5644">
      <w:pPr>
        <w:pStyle w:val="TableofFigures"/>
        <w:rPr>
          <w:rFonts w:asciiTheme="minorHAnsi" w:eastAsiaTheme="minorEastAsia" w:hAnsiTheme="minorHAnsi" w:cstheme="minorBidi"/>
          <w:noProof/>
          <w:color w:val="auto"/>
          <w:szCs w:val="22"/>
        </w:rPr>
      </w:pPr>
      <w:hyperlink w:anchor="_Toc474147027" w:history="1">
        <w:r w:rsidR="00FB1907" w:rsidRPr="00B3117A">
          <w:rPr>
            <w:rStyle w:val="Hyperlink"/>
            <w:noProof/>
          </w:rPr>
          <w:t>Figure 3. Flow to South Australia from July 2015 to June 2016 (stacked area chart) compared to modelled flow under natural conditions (black dotted line). CEW = Commonwealth environmental water; other eWater = other eWater such as The Living Murray and Victorian Environmental Water Holder.</w:t>
        </w:r>
        <w:r w:rsidR="00FB1907">
          <w:rPr>
            <w:noProof/>
            <w:webHidden/>
          </w:rPr>
          <w:tab/>
        </w:r>
        <w:r w:rsidR="00FB1907">
          <w:rPr>
            <w:noProof/>
            <w:webHidden/>
          </w:rPr>
          <w:fldChar w:fldCharType="begin"/>
        </w:r>
        <w:r w:rsidR="00FB1907">
          <w:rPr>
            <w:noProof/>
            <w:webHidden/>
          </w:rPr>
          <w:instrText xml:space="preserve"> PAGEREF _Toc474147027 \h </w:instrText>
        </w:r>
        <w:r w:rsidR="00FB1907">
          <w:rPr>
            <w:noProof/>
            <w:webHidden/>
          </w:rPr>
        </w:r>
        <w:r w:rsidR="00FB1907">
          <w:rPr>
            <w:noProof/>
            <w:webHidden/>
          </w:rPr>
          <w:fldChar w:fldCharType="separate"/>
        </w:r>
        <w:r w:rsidR="004260C4">
          <w:rPr>
            <w:noProof/>
            <w:webHidden/>
          </w:rPr>
          <w:t>4</w:t>
        </w:r>
        <w:r w:rsidR="00FB1907">
          <w:rPr>
            <w:noProof/>
            <w:webHidden/>
          </w:rPr>
          <w:fldChar w:fldCharType="end"/>
        </w:r>
      </w:hyperlink>
    </w:p>
    <w:p w14:paraId="09415194" w14:textId="77777777" w:rsidR="00FB1907" w:rsidRDefault="002A5644">
      <w:pPr>
        <w:pStyle w:val="TableofFigures"/>
        <w:rPr>
          <w:rFonts w:asciiTheme="minorHAnsi" w:eastAsiaTheme="minorEastAsia" w:hAnsiTheme="minorHAnsi" w:cstheme="minorBidi"/>
          <w:noProof/>
          <w:color w:val="auto"/>
          <w:szCs w:val="22"/>
        </w:rPr>
      </w:pPr>
      <w:hyperlink w:anchor="_Toc474147028" w:history="1">
        <w:r w:rsidR="00FB1907" w:rsidRPr="00B3117A">
          <w:rPr>
            <w:rStyle w:val="Hyperlink"/>
            <w:noProof/>
          </w:rPr>
          <w:t>Figure 4. Commonwealth environmental water contribution to main watering events in 2015/16. Shading of the blue environmental water area represents the proportion of Commonwealth environmental water. There was not a case in 2015/16 where environmental water was provided without some of that water being Commonwealth environmental water.</w:t>
        </w:r>
        <w:r w:rsidR="00FB1907">
          <w:rPr>
            <w:noProof/>
            <w:webHidden/>
          </w:rPr>
          <w:tab/>
        </w:r>
        <w:r w:rsidR="00FB1907">
          <w:rPr>
            <w:noProof/>
            <w:webHidden/>
          </w:rPr>
          <w:fldChar w:fldCharType="begin"/>
        </w:r>
        <w:r w:rsidR="00FB1907">
          <w:rPr>
            <w:noProof/>
            <w:webHidden/>
          </w:rPr>
          <w:instrText xml:space="preserve"> PAGEREF _Toc474147028 \h </w:instrText>
        </w:r>
        <w:r w:rsidR="00FB1907">
          <w:rPr>
            <w:noProof/>
            <w:webHidden/>
          </w:rPr>
        </w:r>
        <w:r w:rsidR="00FB1907">
          <w:rPr>
            <w:noProof/>
            <w:webHidden/>
          </w:rPr>
          <w:fldChar w:fldCharType="separate"/>
        </w:r>
        <w:r w:rsidR="004260C4">
          <w:rPr>
            <w:noProof/>
            <w:webHidden/>
          </w:rPr>
          <w:t>5</w:t>
        </w:r>
        <w:r w:rsidR="00FB1907">
          <w:rPr>
            <w:noProof/>
            <w:webHidden/>
          </w:rPr>
          <w:fldChar w:fldCharType="end"/>
        </w:r>
      </w:hyperlink>
    </w:p>
    <w:p w14:paraId="29E345ED" w14:textId="77777777" w:rsidR="00FB1907" w:rsidRDefault="002A5644">
      <w:pPr>
        <w:pStyle w:val="TableofFigures"/>
        <w:rPr>
          <w:rFonts w:asciiTheme="minorHAnsi" w:eastAsiaTheme="minorEastAsia" w:hAnsiTheme="minorHAnsi" w:cstheme="minorBidi"/>
          <w:noProof/>
          <w:color w:val="auto"/>
          <w:szCs w:val="22"/>
        </w:rPr>
      </w:pPr>
      <w:hyperlink w:anchor="_Toc474147029" w:history="1">
        <w:r w:rsidR="00FB1907" w:rsidRPr="00B3117A">
          <w:rPr>
            <w:rStyle w:val="Hyperlink"/>
            <w:noProof/>
          </w:rPr>
          <w:t>Figure 5. Water levels (dotted lines) in the Lock 2 (US Lock 2, +6.1 m AHD) and Lock 5 (US Lock 5, +16.3 m AHD) weir pools and Chowilla Anabranch (US Chowilla Regulator, +16.4 m AHD) between August 2015 and February 2016 (DEWNR), demonstrating weir pool raising and Chowilla in-channel rise events in the LMR. Flow (solid line) at the South Australian border (QSA) is overlaid. Numbers corresponding to water levels indicate the: (1) commencement of water level raising, (2) maximum level before the start of the recession and (3) return to normal pool levels at the end of the recession.</w:t>
        </w:r>
        <w:r w:rsidR="00FB1907">
          <w:rPr>
            <w:noProof/>
            <w:webHidden/>
          </w:rPr>
          <w:tab/>
        </w:r>
        <w:r w:rsidR="00FB1907">
          <w:rPr>
            <w:noProof/>
            <w:webHidden/>
          </w:rPr>
          <w:fldChar w:fldCharType="begin"/>
        </w:r>
        <w:r w:rsidR="00FB1907">
          <w:rPr>
            <w:noProof/>
            <w:webHidden/>
          </w:rPr>
          <w:instrText xml:space="preserve"> PAGEREF _Toc474147029 \h </w:instrText>
        </w:r>
        <w:r w:rsidR="00FB1907">
          <w:rPr>
            <w:noProof/>
            <w:webHidden/>
          </w:rPr>
        </w:r>
        <w:r w:rsidR="00FB1907">
          <w:rPr>
            <w:noProof/>
            <w:webHidden/>
          </w:rPr>
          <w:fldChar w:fldCharType="separate"/>
        </w:r>
        <w:r w:rsidR="004260C4">
          <w:rPr>
            <w:noProof/>
            <w:webHidden/>
          </w:rPr>
          <w:t>5</w:t>
        </w:r>
        <w:r w:rsidR="00FB1907">
          <w:rPr>
            <w:noProof/>
            <w:webHidden/>
          </w:rPr>
          <w:fldChar w:fldCharType="end"/>
        </w:r>
      </w:hyperlink>
    </w:p>
    <w:p w14:paraId="0EFE608E" w14:textId="77777777" w:rsidR="00FB1907" w:rsidRDefault="002A5644">
      <w:pPr>
        <w:pStyle w:val="TableofFigures"/>
        <w:rPr>
          <w:rFonts w:asciiTheme="minorHAnsi" w:eastAsiaTheme="minorEastAsia" w:hAnsiTheme="minorHAnsi" w:cstheme="minorBidi"/>
          <w:noProof/>
          <w:color w:val="auto"/>
          <w:szCs w:val="22"/>
        </w:rPr>
      </w:pPr>
      <w:hyperlink w:anchor="_Toc474147030" w:history="1">
        <w:r w:rsidR="00FB1907" w:rsidRPr="00B3117A">
          <w:rPr>
            <w:rStyle w:val="Hyperlink"/>
            <w:noProof/>
          </w:rPr>
          <w:t>Figure 6. Source of all (environmental and consumptive) water delivered to the South Australian border (MDBA). Caveats for estimated water delivery time are mentioned above. Refer to Figure 1 for location of tributaries and rivers, relative to the LMR.</w:t>
        </w:r>
        <w:r w:rsidR="00FB1907">
          <w:rPr>
            <w:noProof/>
            <w:webHidden/>
          </w:rPr>
          <w:tab/>
        </w:r>
        <w:r w:rsidR="00FB1907">
          <w:rPr>
            <w:noProof/>
            <w:webHidden/>
          </w:rPr>
          <w:fldChar w:fldCharType="begin"/>
        </w:r>
        <w:r w:rsidR="00FB1907">
          <w:rPr>
            <w:noProof/>
            <w:webHidden/>
          </w:rPr>
          <w:instrText xml:space="preserve"> PAGEREF _Toc474147030 \h </w:instrText>
        </w:r>
        <w:r w:rsidR="00FB1907">
          <w:rPr>
            <w:noProof/>
            <w:webHidden/>
          </w:rPr>
        </w:r>
        <w:r w:rsidR="00FB1907">
          <w:rPr>
            <w:noProof/>
            <w:webHidden/>
          </w:rPr>
          <w:fldChar w:fldCharType="separate"/>
        </w:r>
        <w:r w:rsidR="004260C4">
          <w:rPr>
            <w:noProof/>
            <w:webHidden/>
          </w:rPr>
          <w:t>6</w:t>
        </w:r>
        <w:r w:rsidR="00FB1907">
          <w:rPr>
            <w:noProof/>
            <w:webHidden/>
          </w:rPr>
          <w:fldChar w:fldCharType="end"/>
        </w:r>
      </w:hyperlink>
    </w:p>
    <w:p w14:paraId="4FCAD7B0" w14:textId="77777777" w:rsidR="00FB1907" w:rsidRDefault="002A5644">
      <w:pPr>
        <w:pStyle w:val="TableofFigures"/>
        <w:rPr>
          <w:rFonts w:asciiTheme="minorHAnsi" w:eastAsiaTheme="minorEastAsia" w:hAnsiTheme="minorHAnsi" w:cstheme="minorBidi"/>
          <w:noProof/>
          <w:color w:val="auto"/>
          <w:szCs w:val="22"/>
        </w:rPr>
      </w:pPr>
      <w:hyperlink w:anchor="_Toc474147031" w:history="1">
        <w:r w:rsidR="00FB1907" w:rsidRPr="00B3117A">
          <w:rPr>
            <w:rStyle w:val="Hyperlink"/>
            <w:noProof/>
          </w:rPr>
          <w:t xml:space="preserve">Figure 7. Map of the LMR Selected Area showing the floodplain (blue), gorge (green) and swamplands (orange) geomorphic zones, and the Lower Lakes, </w:t>
        </w:r>
        <w:r w:rsidR="00FB1907" w:rsidRPr="00B3117A">
          <w:rPr>
            <w:rStyle w:val="Hyperlink"/>
            <w:noProof/>
          </w:rPr>
          <w:lastRenderedPageBreak/>
          <w:t>Coorong and Murray Mouth (yellow). Sampling sites are indicated by coloured circles. Fish Spawning and Recruitment sites represent larval sampling only.</w:t>
        </w:r>
        <w:r w:rsidR="00FB1907">
          <w:rPr>
            <w:noProof/>
            <w:webHidden/>
          </w:rPr>
          <w:tab/>
        </w:r>
        <w:r w:rsidR="00FB1907">
          <w:rPr>
            <w:noProof/>
            <w:webHidden/>
          </w:rPr>
          <w:fldChar w:fldCharType="begin"/>
        </w:r>
        <w:r w:rsidR="00FB1907">
          <w:rPr>
            <w:noProof/>
            <w:webHidden/>
          </w:rPr>
          <w:instrText xml:space="preserve"> PAGEREF _Toc474147031 \h </w:instrText>
        </w:r>
        <w:r w:rsidR="00FB1907">
          <w:rPr>
            <w:noProof/>
            <w:webHidden/>
          </w:rPr>
        </w:r>
        <w:r w:rsidR="00FB1907">
          <w:rPr>
            <w:noProof/>
            <w:webHidden/>
          </w:rPr>
          <w:fldChar w:fldCharType="separate"/>
        </w:r>
        <w:r w:rsidR="004260C4">
          <w:rPr>
            <w:noProof/>
            <w:webHidden/>
          </w:rPr>
          <w:t>8</w:t>
        </w:r>
        <w:r w:rsidR="00FB1907">
          <w:rPr>
            <w:noProof/>
            <w:webHidden/>
          </w:rPr>
          <w:fldChar w:fldCharType="end"/>
        </w:r>
      </w:hyperlink>
    </w:p>
    <w:p w14:paraId="33C16C4E" w14:textId="77777777" w:rsidR="00FB1907" w:rsidRDefault="002A5644">
      <w:pPr>
        <w:pStyle w:val="TableofFigures"/>
        <w:rPr>
          <w:rFonts w:asciiTheme="minorHAnsi" w:eastAsiaTheme="minorEastAsia" w:hAnsiTheme="minorHAnsi" w:cstheme="minorBidi"/>
          <w:noProof/>
          <w:color w:val="auto"/>
          <w:szCs w:val="22"/>
        </w:rPr>
      </w:pPr>
      <w:hyperlink w:anchor="_Toc474147032" w:history="1">
        <w:r w:rsidR="00FB1907" w:rsidRPr="00B3117A">
          <w:rPr>
            <w:rStyle w:val="Hyperlink"/>
            <w:noProof/>
          </w:rPr>
          <w:t>Figure 8. Conceptual diagram of how the main channel of river systems are affected by the key ecosystem driver (flow regime), subject to flow management and climate effects, and how complementary monitoring components (indicators) contribute toward a holistic understanding of ecosystem responses to flow management and ecological benefits in the LMR Selected Area. Magnitude, timing and duration are factors of flow (in black).</w:t>
        </w:r>
        <w:r w:rsidR="00FB1907">
          <w:rPr>
            <w:noProof/>
            <w:webHidden/>
          </w:rPr>
          <w:tab/>
        </w:r>
        <w:r w:rsidR="00FB1907">
          <w:rPr>
            <w:noProof/>
            <w:webHidden/>
          </w:rPr>
          <w:fldChar w:fldCharType="begin"/>
        </w:r>
        <w:r w:rsidR="00FB1907">
          <w:rPr>
            <w:noProof/>
            <w:webHidden/>
          </w:rPr>
          <w:instrText xml:space="preserve"> PAGEREF _Toc474147032 \h </w:instrText>
        </w:r>
        <w:r w:rsidR="00FB1907">
          <w:rPr>
            <w:noProof/>
            <w:webHidden/>
          </w:rPr>
        </w:r>
        <w:r w:rsidR="00FB1907">
          <w:rPr>
            <w:noProof/>
            <w:webHidden/>
          </w:rPr>
          <w:fldChar w:fldCharType="separate"/>
        </w:r>
        <w:r w:rsidR="004260C4">
          <w:rPr>
            <w:noProof/>
            <w:webHidden/>
          </w:rPr>
          <w:t>9</w:t>
        </w:r>
        <w:r w:rsidR="00FB1907">
          <w:rPr>
            <w:noProof/>
            <w:webHidden/>
          </w:rPr>
          <w:fldChar w:fldCharType="end"/>
        </w:r>
      </w:hyperlink>
    </w:p>
    <w:p w14:paraId="1E64BF5C" w14:textId="77777777" w:rsidR="00FB1907" w:rsidRDefault="002A5644">
      <w:pPr>
        <w:pStyle w:val="TableofFigures"/>
        <w:rPr>
          <w:rFonts w:asciiTheme="minorHAnsi" w:eastAsiaTheme="minorEastAsia" w:hAnsiTheme="minorHAnsi" w:cstheme="minorBidi"/>
          <w:noProof/>
          <w:color w:val="auto"/>
          <w:szCs w:val="22"/>
        </w:rPr>
      </w:pPr>
      <w:hyperlink w:anchor="_Toc474147033" w:history="1">
        <w:r w:rsidR="00FB1907" w:rsidRPr="00B3117A">
          <w:rPr>
            <w:rStyle w:val="Hyperlink"/>
            <w:noProof/>
          </w:rPr>
          <w:t>Figure 9. Comparison of time series of rates of gross primary production (GPP), ecosystem respiration (ER) and ecosystem net production (ENP) with water levels in the weir pool upstream of Lock 5 (m AHD).</w:t>
        </w:r>
        <w:r w:rsidR="00FB1907">
          <w:rPr>
            <w:noProof/>
            <w:webHidden/>
          </w:rPr>
          <w:tab/>
        </w:r>
        <w:r w:rsidR="00FB1907">
          <w:rPr>
            <w:noProof/>
            <w:webHidden/>
          </w:rPr>
          <w:fldChar w:fldCharType="begin"/>
        </w:r>
        <w:r w:rsidR="00FB1907">
          <w:rPr>
            <w:noProof/>
            <w:webHidden/>
          </w:rPr>
          <w:instrText xml:space="preserve"> PAGEREF _Toc474147033 \h </w:instrText>
        </w:r>
        <w:r w:rsidR="00FB1907">
          <w:rPr>
            <w:noProof/>
            <w:webHidden/>
          </w:rPr>
        </w:r>
        <w:r w:rsidR="00FB1907">
          <w:rPr>
            <w:noProof/>
            <w:webHidden/>
          </w:rPr>
          <w:fldChar w:fldCharType="separate"/>
        </w:r>
        <w:r w:rsidR="004260C4">
          <w:rPr>
            <w:noProof/>
            <w:webHidden/>
          </w:rPr>
          <w:t>14</w:t>
        </w:r>
        <w:r w:rsidR="00FB1907">
          <w:rPr>
            <w:noProof/>
            <w:webHidden/>
          </w:rPr>
          <w:fldChar w:fldCharType="end"/>
        </w:r>
      </w:hyperlink>
    </w:p>
    <w:p w14:paraId="1A0DE9CA" w14:textId="77777777" w:rsidR="00FB1907" w:rsidRDefault="002A5644">
      <w:pPr>
        <w:pStyle w:val="TableofFigures"/>
        <w:rPr>
          <w:rFonts w:asciiTheme="minorHAnsi" w:eastAsiaTheme="minorEastAsia" w:hAnsiTheme="minorHAnsi" w:cstheme="minorBidi"/>
          <w:noProof/>
          <w:color w:val="auto"/>
          <w:szCs w:val="22"/>
        </w:rPr>
      </w:pPr>
      <w:hyperlink w:anchor="_Toc474147034" w:history="1">
        <w:r w:rsidR="00FB1907" w:rsidRPr="00B3117A">
          <w:rPr>
            <w:rStyle w:val="Hyperlink"/>
            <w:noProof/>
          </w:rPr>
          <w:t xml:space="preserve">Figure 10. Mean catch-per-unit-effort (CPUE) </w:t>
        </w:r>
        <w:r w:rsidR="00FB1907" w:rsidRPr="00B3117A">
          <w:rPr>
            <w:rStyle w:val="Hyperlink"/>
            <w:rFonts w:cstheme="minorHAnsi"/>
            <w:noProof/>
          </w:rPr>
          <w:t>±</w:t>
        </w:r>
        <w:r w:rsidR="00FB1907" w:rsidRPr="00B3117A">
          <w:rPr>
            <w:rStyle w:val="Hyperlink"/>
            <w:noProof/>
          </w:rPr>
          <w:t xml:space="preserve"> standard error of (a) large-bodied fish species captured using electrofishing (individuals per 90 second shot) and (b) small-bodied fish species captured using fine-mesh fyke nets (individuals per net per hour) in the gorge geomorphic zone (10 sites) of the LMR Selected Area during 2014/15 and 2015/16.</w:t>
        </w:r>
        <w:r w:rsidR="00FB1907">
          <w:rPr>
            <w:noProof/>
            <w:webHidden/>
          </w:rPr>
          <w:tab/>
        </w:r>
        <w:r w:rsidR="00FB1907">
          <w:rPr>
            <w:noProof/>
            <w:webHidden/>
          </w:rPr>
          <w:fldChar w:fldCharType="begin"/>
        </w:r>
        <w:r w:rsidR="00FB1907">
          <w:rPr>
            <w:noProof/>
            <w:webHidden/>
          </w:rPr>
          <w:instrText xml:space="preserve"> PAGEREF _Toc474147034 \h </w:instrText>
        </w:r>
        <w:r w:rsidR="00FB1907">
          <w:rPr>
            <w:noProof/>
            <w:webHidden/>
          </w:rPr>
        </w:r>
        <w:r w:rsidR="00FB1907">
          <w:rPr>
            <w:noProof/>
            <w:webHidden/>
          </w:rPr>
          <w:fldChar w:fldCharType="separate"/>
        </w:r>
        <w:r w:rsidR="004260C4">
          <w:rPr>
            <w:noProof/>
            <w:webHidden/>
          </w:rPr>
          <w:t>17</w:t>
        </w:r>
        <w:r w:rsidR="00FB1907">
          <w:rPr>
            <w:noProof/>
            <w:webHidden/>
          </w:rPr>
          <w:fldChar w:fldCharType="end"/>
        </w:r>
      </w:hyperlink>
    </w:p>
    <w:p w14:paraId="22CEBB28" w14:textId="77777777" w:rsidR="00FB1907" w:rsidRDefault="002A5644">
      <w:pPr>
        <w:pStyle w:val="TableofFigures"/>
        <w:rPr>
          <w:rFonts w:asciiTheme="minorHAnsi" w:eastAsiaTheme="minorEastAsia" w:hAnsiTheme="minorHAnsi" w:cstheme="minorBidi"/>
          <w:noProof/>
          <w:color w:val="auto"/>
          <w:szCs w:val="22"/>
        </w:rPr>
      </w:pPr>
      <w:hyperlink w:anchor="_Toc474147035" w:history="1">
        <w:r w:rsidR="00FB1907" w:rsidRPr="00B3117A">
          <w:rPr>
            <w:rStyle w:val="Hyperlink"/>
            <w:noProof/>
          </w:rPr>
          <w:t>Figure 11. Water levels at the upper end of the weir pool for a weir pool in the floodplain zone (Weir Pool 5) and gorge zone (Weir Pool 1) representing observed conditions (With all water), without Commonwealth environmental water (No CEW) and without any environmental water (No eWater) for 2015/16.</w:t>
        </w:r>
        <w:r w:rsidR="00FB1907">
          <w:rPr>
            <w:noProof/>
            <w:webHidden/>
          </w:rPr>
          <w:tab/>
        </w:r>
        <w:r w:rsidR="00FB1907">
          <w:rPr>
            <w:noProof/>
            <w:webHidden/>
          </w:rPr>
          <w:fldChar w:fldCharType="begin"/>
        </w:r>
        <w:r w:rsidR="00FB1907">
          <w:rPr>
            <w:noProof/>
            <w:webHidden/>
          </w:rPr>
          <w:instrText xml:space="preserve"> PAGEREF _Toc474147035 \h </w:instrText>
        </w:r>
        <w:r w:rsidR="00FB1907">
          <w:rPr>
            <w:noProof/>
            <w:webHidden/>
          </w:rPr>
        </w:r>
        <w:r w:rsidR="00FB1907">
          <w:rPr>
            <w:noProof/>
            <w:webHidden/>
          </w:rPr>
          <w:fldChar w:fldCharType="separate"/>
        </w:r>
        <w:r w:rsidR="004260C4">
          <w:rPr>
            <w:noProof/>
            <w:webHidden/>
          </w:rPr>
          <w:t>20</w:t>
        </w:r>
        <w:r w:rsidR="00FB1907">
          <w:rPr>
            <w:noProof/>
            <w:webHidden/>
          </w:rPr>
          <w:fldChar w:fldCharType="end"/>
        </w:r>
      </w:hyperlink>
    </w:p>
    <w:p w14:paraId="6FEEC006" w14:textId="77777777" w:rsidR="00FB1907" w:rsidRDefault="002A5644">
      <w:pPr>
        <w:pStyle w:val="TableofFigures"/>
        <w:rPr>
          <w:rFonts w:asciiTheme="minorHAnsi" w:eastAsiaTheme="minorEastAsia" w:hAnsiTheme="minorHAnsi" w:cstheme="minorBidi"/>
          <w:noProof/>
          <w:color w:val="auto"/>
          <w:szCs w:val="22"/>
        </w:rPr>
      </w:pPr>
      <w:hyperlink w:anchor="_Toc474147036" w:history="1">
        <w:r w:rsidR="00FB1907" w:rsidRPr="00B3117A">
          <w:rPr>
            <w:rStyle w:val="Hyperlink"/>
            <w:noProof/>
          </w:rPr>
          <w:t>Figure 12. Cross section averaged velocities in a weir pool in the floodplain zone (Weir Pool 5) and gorge zone (Weir Pool 1) representing observed conditions (With all water), without Commonwealth environmental water (No CEW) and without any environmental water (No eWater) for 2015/16. The median velocity in the weir pool is represented by the solid line, and the range (as the 10</w:t>
        </w:r>
        <w:r w:rsidR="00FB1907" w:rsidRPr="00B3117A">
          <w:rPr>
            <w:rStyle w:val="Hyperlink"/>
            <w:noProof/>
            <w:vertAlign w:val="superscript"/>
          </w:rPr>
          <w:t>th</w:t>
        </w:r>
        <w:r w:rsidR="00FB1907" w:rsidRPr="00B3117A">
          <w:rPr>
            <w:rStyle w:val="Hyperlink"/>
            <w:noProof/>
          </w:rPr>
          <w:t xml:space="preserve"> and 90</w:t>
        </w:r>
        <w:r w:rsidR="00FB1907" w:rsidRPr="00B3117A">
          <w:rPr>
            <w:rStyle w:val="Hyperlink"/>
            <w:noProof/>
            <w:vertAlign w:val="superscript"/>
          </w:rPr>
          <w:t>th</w:t>
        </w:r>
        <w:r w:rsidR="00FB1907" w:rsidRPr="00B3117A">
          <w:rPr>
            <w:rStyle w:val="Hyperlink"/>
            <w:noProof/>
          </w:rPr>
          <w:t xml:space="preserve"> percentiles) represented by the shaded area.</w:t>
        </w:r>
        <w:r w:rsidR="00FB1907">
          <w:rPr>
            <w:noProof/>
            <w:webHidden/>
          </w:rPr>
          <w:tab/>
        </w:r>
        <w:r w:rsidR="00FB1907">
          <w:rPr>
            <w:noProof/>
            <w:webHidden/>
          </w:rPr>
          <w:fldChar w:fldCharType="begin"/>
        </w:r>
        <w:r w:rsidR="00FB1907">
          <w:rPr>
            <w:noProof/>
            <w:webHidden/>
          </w:rPr>
          <w:instrText xml:space="preserve"> PAGEREF _Toc474147036 \h </w:instrText>
        </w:r>
        <w:r w:rsidR="00FB1907">
          <w:rPr>
            <w:noProof/>
            <w:webHidden/>
          </w:rPr>
        </w:r>
        <w:r w:rsidR="00FB1907">
          <w:rPr>
            <w:noProof/>
            <w:webHidden/>
          </w:rPr>
          <w:fldChar w:fldCharType="separate"/>
        </w:r>
        <w:r w:rsidR="004260C4">
          <w:rPr>
            <w:noProof/>
            <w:webHidden/>
          </w:rPr>
          <w:t>21</w:t>
        </w:r>
        <w:r w:rsidR="00FB1907">
          <w:rPr>
            <w:noProof/>
            <w:webHidden/>
          </w:rPr>
          <w:fldChar w:fldCharType="end"/>
        </w:r>
      </w:hyperlink>
    </w:p>
    <w:p w14:paraId="3549A5DC" w14:textId="77777777" w:rsidR="00FB1907" w:rsidRDefault="002A5644">
      <w:pPr>
        <w:pStyle w:val="TableofFigures"/>
        <w:rPr>
          <w:rFonts w:asciiTheme="minorHAnsi" w:eastAsiaTheme="minorEastAsia" w:hAnsiTheme="minorHAnsi" w:cstheme="minorBidi"/>
          <w:noProof/>
          <w:color w:val="auto"/>
          <w:szCs w:val="22"/>
        </w:rPr>
      </w:pPr>
      <w:hyperlink w:anchor="_Toc474147037" w:history="1">
        <w:r w:rsidR="00FB1907" w:rsidRPr="00B3117A">
          <w:rPr>
            <w:rStyle w:val="Hyperlink"/>
            <w:noProof/>
          </w:rPr>
          <w:t>Figure 13. Modelled cumulative salt exports (net) with and without environmental water delivery. Scenarios include with all water, without Commonwealth environmental water (No CEW) and without any environmental water (No eWater).</w:t>
        </w:r>
        <w:r w:rsidR="00FB1907">
          <w:rPr>
            <w:noProof/>
            <w:webHidden/>
          </w:rPr>
          <w:tab/>
        </w:r>
        <w:r w:rsidR="00FB1907">
          <w:rPr>
            <w:noProof/>
            <w:webHidden/>
          </w:rPr>
          <w:fldChar w:fldCharType="begin"/>
        </w:r>
        <w:r w:rsidR="00FB1907">
          <w:rPr>
            <w:noProof/>
            <w:webHidden/>
          </w:rPr>
          <w:instrText xml:space="preserve"> PAGEREF _Toc474147037 \h </w:instrText>
        </w:r>
        <w:r w:rsidR="00FB1907">
          <w:rPr>
            <w:noProof/>
            <w:webHidden/>
          </w:rPr>
        </w:r>
        <w:r w:rsidR="00FB1907">
          <w:rPr>
            <w:noProof/>
            <w:webHidden/>
          </w:rPr>
          <w:fldChar w:fldCharType="separate"/>
        </w:r>
        <w:r w:rsidR="004260C4">
          <w:rPr>
            <w:noProof/>
            <w:webHidden/>
          </w:rPr>
          <w:t>23</w:t>
        </w:r>
        <w:r w:rsidR="00FB1907">
          <w:rPr>
            <w:noProof/>
            <w:webHidden/>
          </w:rPr>
          <w:fldChar w:fldCharType="end"/>
        </w:r>
      </w:hyperlink>
    </w:p>
    <w:p w14:paraId="656CB02D" w14:textId="77777777" w:rsidR="00FB1907" w:rsidRDefault="002A5644">
      <w:pPr>
        <w:pStyle w:val="TableofFigures"/>
        <w:rPr>
          <w:rFonts w:asciiTheme="minorHAnsi" w:eastAsiaTheme="minorEastAsia" w:hAnsiTheme="minorHAnsi" w:cstheme="minorBidi"/>
          <w:noProof/>
          <w:color w:val="auto"/>
          <w:szCs w:val="22"/>
        </w:rPr>
      </w:pPr>
      <w:hyperlink w:anchor="_Toc474147038" w:history="1">
        <w:r w:rsidR="00FB1907" w:rsidRPr="00B3117A">
          <w:rPr>
            <w:rStyle w:val="Hyperlink"/>
            <w:noProof/>
          </w:rPr>
          <w:t>Figure 14. Mean (±S.E.) (a) density and (b) taxa richness of microinvertebrates collected in the LMR Selected Area at sites below Lock 1 (light bars) and Lock 6 (dark bars) in 2015/16, plotted against discharge (ML day</w:t>
        </w:r>
        <w:r w:rsidR="00FB1907" w:rsidRPr="00B3117A">
          <w:rPr>
            <w:rStyle w:val="Hyperlink"/>
            <w:noProof/>
            <w:vertAlign w:val="superscript"/>
          </w:rPr>
          <w:noBreakHyphen/>
          <w:t>1</w:t>
        </w:r>
        <w:r w:rsidR="00FB1907" w:rsidRPr="00B3117A">
          <w:rPr>
            <w:rStyle w:val="Hyperlink"/>
            <w:noProof/>
          </w:rPr>
          <w:t>) in the LMR at the South Australian border (solid grey line) and water temperature (°C) (dashed black line). Sampling was undertaken approximately fortnightly from 6 October 2015 to 21 January 2016.</w:t>
        </w:r>
        <w:r w:rsidR="00FB1907">
          <w:rPr>
            <w:noProof/>
            <w:webHidden/>
          </w:rPr>
          <w:tab/>
        </w:r>
        <w:r w:rsidR="00FB1907">
          <w:rPr>
            <w:noProof/>
            <w:webHidden/>
          </w:rPr>
          <w:fldChar w:fldCharType="begin"/>
        </w:r>
        <w:r w:rsidR="00FB1907">
          <w:rPr>
            <w:noProof/>
            <w:webHidden/>
          </w:rPr>
          <w:instrText xml:space="preserve"> PAGEREF _Toc474147038 \h </w:instrText>
        </w:r>
        <w:r w:rsidR="00FB1907">
          <w:rPr>
            <w:noProof/>
            <w:webHidden/>
          </w:rPr>
        </w:r>
        <w:r w:rsidR="00FB1907">
          <w:rPr>
            <w:noProof/>
            <w:webHidden/>
          </w:rPr>
          <w:fldChar w:fldCharType="separate"/>
        </w:r>
        <w:r w:rsidR="004260C4">
          <w:rPr>
            <w:noProof/>
            <w:webHidden/>
          </w:rPr>
          <w:t>30</w:t>
        </w:r>
        <w:r w:rsidR="00FB1907">
          <w:rPr>
            <w:noProof/>
            <w:webHidden/>
          </w:rPr>
          <w:fldChar w:fldCharType="end"/>
        </w:r>
      </w:hyperlink>
    </w:p>
    <w:p w14:paraId="15AFA496" w14:textId="77777777" w:rsidR="00FB1907" w:rsidRDefault="002A5644">
      <w:pPr>
        <w:pStyle w:val="TableofFigures"/>
        <w:rPr>
          <w:rFonts w:asciiTheme="minorHAnsi" w:eastAsiaTheme="minorEastAsia" w:hAnsiTheme="minorHAnsi" w:cstheme="minorBidi"/>
          <w:noProof/>
          <w:color w:val="auto"/>
          <w:szCs w:val="22"/>
        </w:rPr>
      </w:pPr>
      <w:hyperlink w:anchor="_Toc474147039" w:history="1">
        <w:r w:rsidR="00FB1907" w:rsidRPr="00B3117A">
          <w:rPr>
            <w:rStyle w:val="Hyperlink"/>
            <w:noProof/>
          </w:rPr>
          <w:t>Figure 15. Larval golden perch (left) and silver perch (right) were sampled as an indicator for spawning, while young-of-year were sampled as an indicator for recruitment.</w:t>
        </w:r>
        <w:r w:rsidR="00FB1907">
          <w:rPr>
            <w:noProof/>
            <w:webHidden/>
          </w:rPr>
          <w:tab/>
        </w:r>
        <w:r w:rsidR="00FB1907">
          <w:rPr>
            <w:noProof/>
            <w:webHidden/>
          </w:rPr>
          <w:fldChar w:fldCharType="begin"/>
        </w:r>
        <w:r w:rsidR="00FB1907">
          <w:rPr>
            <w:noProof/>
            <w:webHidden/>
          </w:rPr>
          <w:instrText xml:space="preserve"> PAGEREF _Toc474147039 \h </w:instrText>
        </w:r>
        <w:r w:rsidR="00FB1907">
          <w:rPr>
            <w:noProof/>
            <w:webHidden/>
          </w:rPr>
        </w:r>
        <w:r w:rsidR="00FB1907">
          <w:rPr>
            <w:noProof/>
            <w:webHidden/>
          </w:rPr>
          <w:fldChar w:fldCharType="separate"/>
        </w:r>
        <w:r w:rsidR="004260C4">
          <w:rPr>
            <w:noProof/>
            <w:webHidden/>
          </w:rPr>
          <w:t>33</w:t>
        </w:r>
        <w:r w:rsidR="00FB1907">
          <w:rPr>
            <w:noProof/>
            <w:webHidden/>
          </w:rPr>
          <w:fldChar w:fldCharType="end"/>
        </w:r>
      </w:hyperlink>
    </w:p>
    <w:p w14:paraId="0E49DA19" w14:textId="77777777" w:rsidR="00FB1907" w:rsidRDefault="002A5644">
      <w:pPr>
        <w:pStyle w:val="TableofFigures"/>
        <w:rPr>
          <w:rFonts w:asciiTheme="minorHAnsi" w:eastAsiaTheme="minorEastAsia" w:hAnsiTheme="minorHAnsi" w:cstheme="minorBidi"/>
          <w:noProof/>
          <w:color w:val="auto"/>
          <w:szCs w:val="22"/>
        </w:rPr>
      </w:pPr>
      <w:hyperlink w:anchor="_Toc474147040" w:history="1">
        <w:r w:rsidR="00FB1907" w:rsidRPr="00B3117A">
          <w:rPr>
            <w:rStyle w:val="Hyperlink"/>
            <w:noProof/>
          </w:rPr>
          <w:t>Figure 16. The changes in flow peaks measured at Euston (blue dotted line), above the Darling River junction, and Lock 10 (red dotted line), above Lake Victoria, to that measured at the South Australian border (black solid line). Differences are attributed primarily to the regulation of the flow into Lake Victoria.</w:t>
        </w:r>
        <w:r w:rsidR="00FB1907">
          <w:rPr>
            <w:noProof/>
            <w:webHidden/>
          </w:rPr>
          <w:tab/>
        </w:r>
        <w:r w:rsidR="00FB1907">
          <w:rPr>
            <w:noProof/>
            <w:webHidden/>
          </w:rPr>
          <w:fldChar w:fldCharType="begin"/>
        </w:r>
        <w:r w:rsidR="00FB1907">
          <w:rPr>
            <w:noProof/>
            <w:webHidden/>
          </w:rPr>
          <w:instrText xml:space="preserve"> PAGEREF _Toc474147040 \h </w:instrText>
        </w:r>
        <w:r w:rsidR="00FB1907">
          <w:rPr>
            <w:noProof/>
            <w:webHidden/>
          </w:rPr>
        </w:r>
        <w:r w:rsidR="00FB1907">
          <w:rPr>
            <w:noProof/>
            <w:webHidden/>
          </w:rPr>
          <w:fldChar w:fldCharType="separate"/>
        </w:r>
        <w:r w:rsidR="004260C4">
          <w:rPr>
            <w:noProof/>
            <w:webHidden/>
          </w:rPr>
          <w:t>40</w:t>
        </w:r>
        <w:r w:rsidR="00FB1907">
          <w:rPr>
            <w:noProof/>
            <w:webHidden/>
          </w:rPr>
          <w:fldChar w:fldCharType="end"/>
        </w:r>
      </w:hyperlink>
    </w:p>
    <w:p w14:paraId="4240AF1F" w14:textId="77777777" w:rsidR="00FB1907" w:rsidRDefault="002A5644">
      <w:pPr>
        <w:pStyle w:val="TableofFigures"/>
        <w:rPr>
          <w:rFonts w:asciiTheme="minorHAnsi" w:eastAsiaTheme="minorEastAsia" w:hAnsiTheme="minorHAnsi" w:cstheme="minorBidi"/>
          <w:noProof/>
          <w:color w:val="auto"/>
          <w:szCs w:val="22"/>
        </w:rPr>
      </w:pPr>
      <w:hyperlink w:anchor="_Toc474147041" w:history="1">
        <w:r w:rsidR="00FB1907" w:rsidRPr="00B3117A">
          <w:rPr>
            <w:rStyle w:val="Hyperlink"/>
            <w:noProof/>
          </w:rPr>
          <w:t>Figure 17. Change in water level and velocity along the weir pool with and without CEW and with and without the weir pool raising (WPR) for Weir Pool 2 on 31/10/15. This day represents the largest difference between the scenarios, with the weir pool at the maximum raising, and the largest volume of CEW delivered at the time of the raising.</w:t>
        </w:r>
        <w:r w:rsidR="00FB1907">
          <w:rPr>
            <w:noProof/>
            <w:webHidden/>
          </w:rPr>
          <w:tab/>
        </w:r>
        <w:r w:rsidR="00FB1907">
          <w:rPr>
            <w:noProof/>
            <w:webHidden/>
          </w:rPr>
          <w:fldChar w:fldCharType="begin"/>
        </w:r>
        <w:r w:rsidR="00FB1907">
          <w:rPr>
            <w:noProof/>
            <w:webHidden/>
          </w:rPr>
          <w:instrText xml:space="preserve"> PAGEREF _Toc474147041 \h </w:instrText>
        </w:r>
        <w:r w:rsidR="00FB1907">
          <w:rPr>
            <w:noProof/>
            <w:webHidden/>
          </w:rPr>
        </w:r>
        <w:r w:rsidR="00FB1907">
          <w:rPr>
            <w:noProof/>
            <w:webHidden/>
          </w:rPr>
          <w:fldChar w:fldCharType="separate"/>
        </w:r>
        <w:r w:rsidR="004260C4">
          <w:rPr>
            <w:noProof/>
            <w:webHidden/>
          </w:rPr>
          <w:t>43</w:t>
        </w:r>
        <w:r w:rsidR="00FB1907">
          <w:rPr>
            <w:noProof/>
            <w:webHidden/>
          </w:rPr>
          <w:fldChar w:fldCharType="end"/>
        </w:r>
      </w:hyperlink>
    </w:p>
    <w:p w14:paraId="228D34DA" w14:textId="2E2F39A6" w:rsidR="00F46C98" w:rsidRDefault="00F46C98" w:rsidP="00F46C98">
      <w:pPr>
        <w:pStyle w:val="TableofFigures"/>
        <w:rPr>
          <w:rFonts w:cs="Arial"/>
          <w:b/>
          <w:bCs/>
          <w:caps/>
          <w:color w:val="1F497D" w:themeColor="text2"/>
          <w:spacing w:val="40"/>
          <w:sz w:val="32"/>
          <w:szCs w:val="32"/>
        </w:rPr>
      </w:pPr>
      <w:r>
        <w:rPr>
          <w:rStyle w:val="Hyperlink"/>
          <w:noProof/>
          <w:color w:val="auto"/>
          <w:u w:val="none"/>
        </w:rPr>
        <w:fldChar w:fldCharType="end"/>
      </w:r>
      <w:bookmarkStart w:id="6" w:name="_Toc441838721"/>
      <w:r>
        <w:rPr>
          <w:color w:val="1F497D" w:themeColor="text2"/>
        </w:rPr>
        <w:br w:type="page"/>
      </w:r>
    </w:p>
    <w:p w14:paraId="6D263B94" w14:textId="74878267" w:rsidR="003270BB" w:rsidRPr="00A67C76" w:rsidRDefault="003270BB" w:rsidP="00F41737">
      <w:pPr>
        <w:pStyle w:val="H1anotincinTOC"/>
        <w:outlineLvl w:val="0"/>
        <w:rPr>
          <w:color w:val="1F497D" w:themeColor="text2"/>
        </w:rPr>
      </w:pPr>
      <w:bookmarkStart w:id="7" w:name="_Toc474147044"/>
      <w:r w:rsidRPr="00A67C76">
        <w:rPr>
          <w:color w:val="1F497D" w:themeColor="text2"/>
        </w:rPr>
        <w:lastRenderedPageBreak/>
        <w:t>List of tables</w:t>
      </w:r>
      <w:bookmarkEnd w:id="6"/>
      <w:bookmarkEnd w:id="7"/>
    </w:p>
    <w:p w14:paraId="2267C846" w14:textId="77777777" w:rsidR="00FB1907" w:rsidRDefault="00F46C98">
      <w:pPr>
        <w:pStyle w:val="TableofFigures"/>
        <w:rPr>
          <w:rFonts w:asciiTheme="minorHAnsi" w:eastAsiaTheme="minorEastAsia" w:hAnsiTheme="minorHAnsi" w:cstheme="minorBidi"/>
          <w:noProof/>
          <w:color w:val="auto"/>
          <w:szCs w:val="22"/>
        </w:rPr>
      </w:pPr>
      <w:r>
        <w:rPr>
          <w:noProof/>
        </w:rPr>
        <w:fldChar w:fldCharType="begin"/>
      </w:r>
      <w:r>
        <w:rPr>
          <w:noProof/>
        </w:rPr>
        <w:instrText xml:space="preserve"> TOC \h \z \c "Table" </w:instrText>
      </w:r>
      <w:r>
        <w:rPr>
          <w:noProof/>
        </w:rPr>
        <w:fldChar w:fldCharType="separate"/>
      </w:r>
      <w:hyperlink w:anchor="_Toc474147019" w:history="1">
        <w:r w:rsidR="00FB1907" w:rsidRPr="0080139B">
          <w:rPr>
            <w:rStyle w:val="Hyperlink"/>
            <w:noProof/>
          </w:rPr>
          <w:t>Table 1. Summary of the key findings from Category 1 and Category 3 indicators relating to the CEWO short-term (one-year) evaluation questions (answers in blue text) associated with environmental water releases to the Lower Murray River (LMR) Selected Area during 2015/16. Key findings for Category 1 Hydrology (channel) are not presented as they did not have specific Selected Area evaluation questions. Objectives and Selected Area-specific hypotheses for each indicator are provided in Appendix A. CEW = Commonwealth environmental water, WPR = weir pool raising.</w:t>
        </w:r>
        <w:r w:rsidR="00FB1907">
          <w:rPr>
            <w:noProof/>
            <w:webHidden/>
          </w:rPr>
          <w:tab/>
        </w:r>
        <w:r w:rsidR="00FB1907">
          <w:rPr>
            <w:noProof/>
            <w:webHidden/>
          </w:rPr>
          <w:fldChar w:fldCharType="begin"/>
        </w:r>
        <w:r w:rsidR="00FB1907">
          <w:rPr>
            <w:noProof/>
            <w:webHidden/>
          </w:rPr>
          <w:instrText xml:space="preserve"> PAGEREF _Toc474147019 \h </w:instrText>
        </w:r>
        <w:r w:rsidR="00FB1907">
          <w:rPr>
            <w:noProof/>
            <w:webHidden/>
          </w:rPr>
        </w:r>
        <w:r w:rsidR="00FB1907">
          <w:rPr>
            <w:noProof/>
            <w:webHidden/>
          </w:rPr>
          <w:fldChar w:fldCharType="separate"/>
        </w:r>
        <w:r w:rsidR="004260C4">
          <w:rPr>
            <w:noProof/>
            <w:webHidden/>
          </w:rPr>
          <w:t>xi</w:t>
        </w:r>
        <w:r w:rsidR="00FB1907">
          <w:rPr>
            <w:noProof/>
            <w:webHidden/>
          </w:rPr>
          <w:fldChar w:fldCharType="end"/>
        </w:r>
      </w:hyperlink>
    </w:p>
    <w:p w14:paraId="027AF695" w14:textId="77777777" w:rsidR="00FB1907" w:rsidRDefault="002A5644">
      <w:pPr>
        <w:pStyle w:val="TableofFigures"/>
        <w:rPr>
          <w:rFonts w:asciiTheme="minorHAnsi" w:eastAsiaTheme="minorEastAsia" w:hAnsiTheme="minorHAnsi" w:cstheme="minorBidi"/>
          <w:noProof/>
          <w:color w:val="auto"/>
          <w:szCs w:val="22"/>
        </w:rPr>
      </w:pPr>
      <w:hyperlink w:anchor="_Toc474147020" w:history="1">
        <w:r w:rsidR="00FB1907" w:rsidRPr="0080139B">
          <w:rPr>
            <w:rStyle w:val="Hyperlink"/>
            <w:noProof/>
          </w:rPr>
          <w:t xml:space="preserve">Table 2. Median concentration of salinity, nutrients and chlorophyll </w:t>
        </w:r>
        <w:r w:rsidR="00FB1907" w:rsidRPr="0080139B">
          <w:rPr>
            <w:rStyle w:val="Hyperlink"/>
            <w:i/>
            <w:noProof/>
          </w:rPr>
          <w:t>a</w:t>
        </w:r>
        <w:r w:rsidR="00FB1907" w:rsidRPr="0080139B">
          <w:rPr>
            <w:rStyle w:val="Hyperlink"/>
            <w:noProof/>
          </w:rPr>
          <w:t xml:space="preserve"> during 2015/16 for the modelled scenarios at three selected sites. Scenarios include with all water, without Commonwealth environmental water (No CEW) and without any environmental water (No eWater). BDL represents model outputs that are below the analytical detection level.</w:t>
        </w:r>
        <w:r w:rsidR="00FB1907">
          <w:rPr>
            <w:noProof/>
            <w:webHidden/>
          </w:rPr>
          <w:tab/>
        </w:r>
        <w:r w:rsidR="00FB1907">
          <w:rPr>
            <w:noProof/>
            <w:webHidden/>
          </w:rPr>
          <w:fldChar w:fldCharType="begin"/>
        </w:r>
        <w:r w:rsidR="00FB1907">
          <w:rPr>
            <w:noProof/>
            <w:webHidden/>
          </w:rPr>
          <w:instrText xml:space="preserve"> PAGEREF _Toc474147020 \h </w:instrText>
        </w:r>
        <w:r w:rsidR="00FB1907">
          <w:rPr>
            <w:noProof/>
            <w:webHidden/>
          </w:rPr>
        </w:r>
        <w:r w:rsidR="00FB1907">
          <w:rPr>
            <w:noProof/>
            <w:webHidden/>
          </w:rPr>
          <w:fldChar w:fldCharType="separate"/>
        </w:r>
        <w:r w:rsidR="004260C4">
          <w:rPr>
            <w:noProof/>
            <w:webHidden/>
          </w:rPr>
          <w:t>26</w:t>
        </w:r>
        <w:r w:rsidR="00FB1907">
          <w:rPr>
            <w:noProof/>
            <w:webHidden/>
          </w:rPr>
          <w:fldChar w:fldCharType="end"/>
        </w:r>
      </w:hyperlink>
    </w:p>
    <w:p w14:paraId="42525ABD" w14:textId="77777777" w:rsidR="00FB1907" w:rsidRDefault="002A5644">
      <w:pPr>
        <w:pStyle w:val="TableofFigures"/>
        <w:rPr>
          <w:rFonts w:asciiTheme="minorHAnsi" w:eastAsiaTheme="minorEastAsia" w:hAnsiTheme="minorHAnsi" w:cstheme="minorBidi"/>
          <w:noProof/>
          <w:color w:val="auto"/>
          <w:szCs w:val="22"/>
        </w:rPr>
      </w:pPr>
      <w:hyperlink w:anchor="_Toc474147021" w:history="1">
        <w:r w:rsidR="00FB1907" w:rsidRPr="0080139B">
          <w:rPr>
            <w:rStyle w:val="Hyperlink"/>
            <w:noProof/>
          </w:rPr>
          <w:t>Table 3. Net cumulative load (tonnes) of salt, nutrients and chlorophyll a during 2015/16 for the modelled scenarios at three selected sites. Scenarios include with all water, without Commonwealth environmental water (No CEW) and without any environmental water (No eWater). Positive value indicates export and negative value indicates import.</w:t>
        </w:r>
        <w:r w:rsidR="00FB1907">
          <w:rPr>
            <w:noProof/>
            <w:webHidden/>
          </w:rPr>
          <w:tab/>
        </w:r>
        <w:r w:rsidR="00FB1907">
          <w:rPr>
            <w:noProof/>
            <w:webHidden/>
          </w:rPr>
          <w:fldChar w:fldCharType="begin"/>
        </w:r>
        <w:r w:rsidR="00FB1907">
          <w:rPr>
            <w:noProof/>
            <w:webHidden/>
          </w:rPr>
          <w:instrText xml:space="preserve"> PAGEREF _Toc474147021 \h </w:instrText>
        </w:r>
        <w:r w:rsidR="00FB1907">
          <w:rPr>
            <w:noProof/>
            <w:webHidden/>
          </w:rPr>
        </w:r>
        <w:r w:rsidR="00FB1907">
          <w:rPr>
            <w:noProof/>
            <w:webHidden/>
          </w:rPr>
          <w:fldChar w:fldCharType="separate"/>
        </w:r>
        <w:r w:rsidR="004260C4">
          <w:rPr>
            <w:noProof/>
            <w:webHidden/>
          </w:rPr>
          <w:t>27</w:t>
        </w:r>
        <w:r w:rsidR="00FB1907">
          <w:rPr>
            <w:noProof/>
            <w:webHidden/>
          </w:rPr>
          <w:fldChar w:fldCharType="end"/>
        </w:r>
      </w:hyperlink>
    </w:p>
    <w:p w14:paraId="6C6FEFBC" w14:textId="77777777" w:rsidR="00FB1907" w:rsidRDefault="002A5644">
      <w:pPr>
        <w:pStyle w:val="TableofFigures"/>
        <w:rPr>
          <w:rFonts w:asciiTheme="minorHAnsi" w:eastAsiaTheme="minorEastAsia" w:hAnsiTheme="minorHAnsi" w:cstheme="minorBidi"/>
          <w:noProof/>
          <w:color w:val="auto"/>
          <w:szCs w:val="22"/>
        </w:rPr>
      </w:pPr>
      <w:hyperlink w:anchor="_Toc474147022" w:history="1">
        <w:r w:rsidR="00FB1907" w:rsidRPr="0080139B">
          <w:rPr>
            <w:rStyle w:val="Hyperlink"/>
            <w:noProof/>
          </w:rPr>
          <w:t xml:space="preserve">Table 4. CEWO short-term (one-year) evaluation questions by Category 1 and 3 indicators. Evaluation questions are sourced or adapted from Gawne </w:t>
        </w:r>
        <w:r w:rsidR="00FB1907" w:rsidRPr="0080139B">
          <w:rPr>
            <w:rStyle w:val="Hyperlink"/>
            <w:i/>
            <w:noProof/>
          </w:rPr>
          <w:t>et al.</w:t>
        </w:r>
        <w:r w:rsidR="00FB1907" w:rsidRPr="0080139B">
          <w:rPr>
            <w:rStyle w:val="Hyperlink"/>
            <w:noProof/>
          </w:rPr>
          <w:t xml:space="preserve"> (2014). Category 1 Hydrology (channel) and Category 1 Fish (channel) did not directly address specific CEWO evaluation questions thus are not presented, but Category 1 Hydrology (channel) provided fundamental information for analysis and evaluation of monitoring outcomes against hydrological conditions and environmental water delivery for all indicators. CEW = Commonwealth environmental water, WPR = weir pool raising.</w:t>
        </w:r>
        <w:r w:rsidR="00FB1907">
          <w:rPr>
            <w:noProof/>
            <w:webHidden/>
          </w:rPr>
          <w:tab/>
        </w:r>
        <w:r w:rsidR="00FB1907">
          <w:rPr>
            <w:noProof/>
            <w:webHidden/>
          </w:rPr>
          <w:fldChar w:fldCharType="begin"/>
        </w:r>
        <w:r w:rsidR="00FB1907">
          <w:rPr>
            <w:noProof/>
            <w:webHidden/>
          </w:rPr>
          <w:instrText xml:space="preserve"> PAGEREF _Toc474147022 \h </w:instrText>
        </w:r>
        <w:r w:rsidR="00FB1907">
          <w:rPr>
            <w:noProof/>
            <w:webHidden/>
          </w:rPr>
        </w:r>
        <w:r w:rsidR="00FB1907">
          <w:rPr>
            <w:noProof/>
            <w:webHidden/>
          </w:rPr>
          <w:fldChar w:fldCharType="separate"/>
        </w:r>
        <w:r w:rsidR="004260C4">
          <w:rPr>
            <w:noProof/>
            <w:webHidden/>
          </w:rPr>
          <w:t>37</w:t>
        </w:r>
        <w:r w:rsidR="00FB1907">
          <w:rPr>
            <w:noProof/>
            <w:webHidden/>
          </w:rPr>
          <w:fldChar w:fldCharType="end"/>
        </w:r>
      </w:hyperlink>
    </w:p>
    <w:p w14:paraId="3239644D" w14:textId="3E71F163" w:rsidR="00F46C98" w:rsidRDefault="00F46C98" w:rsidP="00F46C98">
      <w:pPr>
        <w:pStyle w:val="TableofFigures"/>
        <w:ind w:left="907" w:hanging="907"/>
        <w:rPr>
          <w:rFonts w:asciiTheme="minorHAnsi" w:eastAsiaTheme="minorEastAsia" w:hAnsiTheme="minorHAnsi" w:cstheme="minorBidi"/>
          <w:noProof/>
          <w:color w:val="auto"/>
          <w:szCs w:val="22"/>
        </w:rPr>
      </w:pPr>
      <w:r>
        <w:rPr>
          <w:noProof/>
        </w:rPr>
        <w:fldChar w:fldCharType="end"/>
      </w:r>
    </w:p>
    <w:p w14:paraId="78C0EA87" w14:textId="058505A3" w:rsidR="00A75DAE" w:rsidRDefault="00A75DAE" w:rsidP="00753C94">
      <w:pPr>
        <w:pStyle w:val="TableofFigures"/>
        <w:ind w:left="907" w:hanging="907"/>
        <w:rPr>
          <w:rFonts w:asciiTheme="minorHAnsi" w:eastAsiaTheme="minorEastAsia" w:hAnsiTheme="minorHAnsi" w:cstheme="minorBidi"/>
          <w:noProof/>
          <w:color w:val="auto"/>
          <w:szCs w:val="22"/>
        </w:rPr>
      </w:pPr>
    </w:p>
    <w:p w14:paraId="3CBA6CAC" w14:textId="5A6153A5" w:rsidR="008E7AE7" w:rsidRPr="0072536A" w:rsidRDefault="008E7AE7" w:rsidP="00E20F18">
      <w:pPr>
        <w:ind w:hanging="567"/>
        <w:rPr>
          <w:szCs w:val="22"/>
          <w:lang w:eastAsia="en-AU"/>
        </w:rPr>
      </w:pPr>
    </w:p>
    <w:p w14:paraId="56E7DC53" w14:textId="22941F25" w:rsidR="007933B4" w:rsidRPr="00A67C76" w:rsidRDefault="007933B4" w:rsidP="00E20F18">
      <w:pPr>
        <w:spacing w:before="0" w:after="200"/>
        <w:ind w:hanging="567"/>
        <w:rPr>
          <w:rFonts w:eastAsiaTheme="majorEastAsia" w:cstheme="majorBidi"/>
          <w:b/>
          <w:bCs/>
          <w:caps/>
          <w:color w:val="1F497D" w:themeColor="text2"/>
          <w:sz w:val="32"/>
          <w:szCs w:val="28"/>
        </w:rPr>
      </w:pPr>
      <w:bookmarkStart w:id="8" w:name="_Toc353023387"/>
      <w:bookmarkStart w:id="9" w:name="_Toc353025167"/>
      <w:r w:rsidRPr="0072536A">
        <w:rPr>
          <w:szCs w:val="22"/>
        </w:rPr>
        <w:br w:type="page"/>
      </w:r>
    </w:p>
    <w:p w14:paraId="17FC2DD4" w14:textId="77777777" w:rsidR="00A62C74" w:rsidRPr="00A67C76" w:rsidRDefault="00A62C74" w:rsidP="00F41737">
      <w:pPr>
        <w:pStyle w:val="Heading1"/>
        <w:numPr>
          <w:ilvl w:val="0"/>
          <w:numId w:val="0"/>
        </w:numPr>
        <w:ind w:left="851" w:hanging="851"/>
      </w:pPr>
      <w:bookmarkStart w:id="10" w:name="_Toc441838722"/>
      <w:bookmarkStart w:id="11" w:name="_Toc474147045"/>
      <w:r w:rsidRPr="00A67C76">
        <w:lastRenderedPageBreak/>
        <w:t>Acknowledgements</w:t>
      </w:r>
      <w:bookmarkEnd w:id="10"/>
      <w:bookmarkEnd w:id="11"/>
    </w:p>
    <w:p w14:paraId="03698A57" w14:textId="77777777" w:rsidR="00B72120" w:rsidRDefault="00E603E3" w:rsidP="00C66B4D">
      <w:pPr>
        <w:pStyle w:val="ListBullet"/>
        <w:numPr>
          <w:ilvl w:val="0"/>
          <w:numId w:val="0"/>
        </w:numPr>
        <w:rPr>
          <w:bCs/>
        </w:rPr>
      </w:pPr>
      <w:r w:rsidRPr="00D837DA">
        <w:t>This study was funded by the Commonwealth En</w:t>
      </w:r>
      <w:r w:rsidR="00DC2298" w:rsidRPr="00D837DA">
        <w:t xml:space="preserve">vironmental Water Office </w:t>
      </w:r>
      <w:r w:rsidR="00B03BF1">
        <w:t xml:space="preserve">(CEWO) </w:t>
      </w:r>
      <w:r w:rsidR="00DC2298" w:rsidRPr="00D837DA">
        <w:t>in 201</w:t>
      </w:r>
      <w:r w:rsidR="007B0B0A">
        <w:t>5</w:t>
      </w:r>
      <w:r w:rsidR="00512BBD" w:rsidRPr="00D837DA">
        <w:t>/</w:t>
      </w:r>
      <w:r w:rsidR="00DC2298" w:rsidRPr="00D837DA">
        <w:t>1</w:t>
      </w:r>
      <w:r w:rsidR="007B0B0A">
        <w:t>6</w:t>
      </w:r>
      <w:r w:rsidRPr="00D837DA">
        <w:t xml:space="preserve"> with in kind contributions from </w:t>
      </w:r>
      <w:r w:rsidR="00501521" w:rsidRPr="00D837DA">
        <w:rPr>
          <w:bCs/>
        </w:rPr>
        <w:t xml:space="preserve">South Australian Research and Development Institute (SARDI), </w:t>
      </w:r>
      <w:r w:rsidR="00F06A84" w:rsidRPr="00D837DA">
        <w:t>Commonwealth Scientific and Industrial Research Organisation (CSIRO)</w:t>
      </w:r>
      <w:r w:rsidR="00501521" w:rsidRPr="00D837DA">
        <w:t xml:space="preserve">, </w:t>
      </w:r>
      <w:r w:rsidR="00501521" w:rsidRPr="00D837DA">
        <w:rPr>
          <w:bCs/>
        </w:rPr>
        <w:t xml:space="preserve">South Australian Department of </w:t>
      </w:r>
      <w:r w:rsidR="005A789D" w:rsidRPr="00D837DA">
        <w:rPr>
          <w:bCs/>
        </w:rPr>
        <w:t xml:space="preserve">Environment, Water and Natural Resources (DEWNR) and Environment Protection Authority, South Australia (EPA). </w:t>
      </w:r>
      <w:r w:rsidR="00501521" w:rsidRPr="00D837DA">
        <w:rPr>
          <w:bCs/>
        </w:rPr>
        <w:t xml:space="preserve">SARDI provided project leadership and </w:t>
      </w:r>
      <w:r w:rsidR="00647908" w:rsidRPr="00D837DA">
        <w:rPr>
          <w:bCs/>
        </w:rPr>
        <w:t>undert</w:t>
      </w:r>
      <w:r w:rsidR="00647908">
        <w:rPr>
          <w:bCs/>
        </w:rPr>
        <w:t>ook</w:t>
      </w:r>
      <w:r w:rsidR="00647908" w:rsidRPr="00D837DA">
        <w:rPr>
          <w:bCs/>
        </w:rPr>
        <w:t xml:space="preserve"> </w:t>
      </w:r>
      <w:r w:rsidR="00501521" w:rsidRPr="00D837DA">
        <w:rPr>
          <w:bCs/>
        </w:rPr>
        <w:t xml:space="preserve">the tasks for the indicators of Fish (channel) and </w:t>
      </w:r>
      <w:r w:rsidR="00D4344B">
        <w:rPr>
          <w:bCs/>
        </w:rPr>
        <w:t>Fish Spawning and Recruitment. Other</w:t>
      </w:r>
      <w:r w:rsidR="00501521" w:rsidRPr="00D837DA">
        <w:rPr>
          <w:bCs/>
        </w:rPr>
        <w:t xml:space="preserve"> specific components of this project were sub-contracted to CSIRO (Task: Stream Metabolism); The University of Adelaide (Tasks: Hydrology (channel) and Hydrological Regime); The University of Adelaide and The University of Western Australia (</w:t>
      </w:r>
      <w:r w:rsidR="001474B1">
        <w:rPr>
          <w:bCs/>
        </w:rPr>
        <w:t>Task</w:t>
      </w:r>
      <w:r w:rsidR="00501521" w:rsidRPr="00D837DA">
        <w:rPr>
          <w:bCs/>
        </w:rPr>
        <w:t xml:space="preserve">: Matter Transport); and Australian Limnological Services </w:t>
      </w:r>
      <w:r w:rsidR="001F65AB" w:rsidRPr="00D837DA">
        <w:rPr>
          <w:bCs/>
        </w:rPr>
        <w:t xml:space="preserve">(ALS) </w:t>
      </w:r>
      <w:r w:rsidR="00501521" w:rsidRPr="00D837DA">
        <w:rPr>
          <w:bCs/>
        </w:rPr>
        <w:t>(Wetland Research and Management</w:t>
      </w:r>
      <w:r w:rsidR="001F65AB" w:rsidRPr="00D837DA">
        <w:rPr>
          <w:bCs/>
        </w:rPr>
        <w:t>, WRM</w:t>
      </w:r>
      <w:r w:rsidR="00501521" w:rsidRPr="00D837DA">
        <w:rPr>
          <w:bCs/>
        </w:rPr>
        <w:t>) (</w:t>
      </w:r>
      <w:r w:rsidR="001474B1">
        <w:rPr>
          <w:bCs/>
        </w:rPr>
        <w:t>Task</w:t>
      </w:r>
      <w:r w:rsidR="00501521" w:rsidRPr="00D837DA">
        <w:rPr>
          <w:bCs/>
        </w:rPr>
        <w:t>: Microinvertebrates).</w:t>
      </w:r>
      <w:r w:rsidR="00AD553F">
        <w:rPr>
          <w:bCs/>
        </w:rPr>
        <w:t xml:space="preserve"> </w:t>
      </w:r>
      <w:r w:rsidR="00F06A84">
        <w:rPr>
          <w:bCs/>
        </w:rPr>
        <w:t xml:space="preserve">SA Water, </w:t>
      </w:r>
      <w:r w:rsidR="00AD553F">
        <w:rPr>
          <w:bCs/>
        </w:rPr>
        <w:t xml:space="preserve">DEWNR and EPA provided water quality data for </w:t>
      </w:r>
      <w:r w:rsidR="00CC0A68">
        <w:rPr>
          <w:bCs/>
        </w:rPr>
        <w:t xml:space="preserve">the </w:t>
      </w:r>
      <w:r w:rsidR="001474B1">
        <w:rPr>
          <w:bCs/>
        </w:rPr>
        <w:t>Matter T</w:t>
      </w:r>
      <w:r w:rsidR="00AD553F">
        <w:rPr>
          <w:bCs/>
        </w:rPr>
        <w:t xml:space="preserve">ransport </w:t>
      </w:r>
      <w:r w:rsidR="001474B1">
        <w:rPr>
          <w:bCs/>
        </w:rPr>
        <w:t>task</w:t>
      </w:r>
      <w:r w:rsidR="00AD553F">
        <w:rPr>
          <w:bCs/>
        </w:rPr>
        <w:t>.</w:t>
      </w:r>
      <w:r w:rsidR="00C66B4D">
        <w:rPr>
          <w:bCs/>
        </w:rPr>
        <w:t xml:space="preserve"> </w:t>
      </w:r>
    </w:p>
    <w:p w14:paraId="293E6139" w14:textId="48DE82A8" w:rsidR="00FA172F" w:rsidRPr="00A857C8" w:rsidRDefault="00E603E3" w:rsidP="00C66B4D">
      <w:pPr>
        <w:pStyle w:val="ListBullet"/>
        <w:numPr>
          <w:ilvl w:val="0"/>
          <w:numId w:val="0"/>
        </w:numPr>
      </w:pPr>
      <w:r w:rsidRPr="00A857C8">
        <w:t xml:space="preserve">Special thanks to </w:t>
      </w:r>
      <w:r w:rsidR="00690661" w:rsidRPr="00A857C8">
        <w:t xml:space="preserve">Arron Strawbridge, </w:t>
      </w:r>
      <w:r w:rsidR="00FD4C2F" w:rsidRPr="00A857C8">
        <w:t>David Fleer</w:t>
      </w:r>
      <w:r w:rsidRPr="00A857C8">
        <w:t xml:space="preserve">, </w:t>
      </w:r>
      <w:r w:rsidR="00FD4C2F" w:rsidRPr="00A857C8">
        <w:t>Ian Magraith</w:t>
      </w:r>
      <w:r w:rsidR="00F00001" w:rsidRPr="00A857C8">
        <w:t xml:space="preserve">, </w:t>
      </w:r>
      <w:r w:rsidR="00FA172F" w:rsidRPr="00A857C8">
        <w:t xml:space="preserve">Luciana Bucater, </w:t>
      </w:r>
      <w:r w:rsidR="00F00001" w:rsidRPr="00A857C8">
        <w:t>David Short</w:t>
      </w:r>
      <w:r w:rsidR="000E738E">
        <w:t xml:space="preserve"> and </w:t>
      </w:r>
      <w:r w:rsidR="00A857C8" w:rsidRPr="00A857C8">
        <w:t xml:space="preserve">Neil Wellman </w:t>
      </w:r>
      <w:r w:rsidR="00DC2298" w:rsidRPr="00A857C8">
        <w:t>(SARDI)</w:t>
      </w:r>
      <w:r w:rsidR="00A857C8" w:rsidRPr="00A857C8">
        <w:t xml:space="preserve"> </w:t>
      </w:r>
      <w:r w:rsidRPr="00A857C8">
        <w:t xml:space="preserve">for </w:t>
      </w:r>
      <w:r w:rsidR="00DC2298" w:rsidRPr="00A857C8">
        <w:t xml:space="preserve">providing </w:t>
      </w:r>
      <w:r w:rsidRPr="00A857C8">
        <w:t>technical assista</w:t>
      </w:r>
      <w:r w:rsidR="00DC2298" w:rsidRPr="00A857C8">
        <w:t>nce in the field or laboratory.</w:t>
      </w:r>
      <w:r w:rsidR="00690661" w:rsidRPr="00A857C8">
        <w:t xml:space="preserve"> </w:t>
      </w:r>
      <w:r w:rsidR="00E57D58" w:rsidRPr="00E57D58">
        <w:t xml:space="preserve">We greatly appreciate the assistance provided by the following individuals and organisations in collecting water samples for </w:t>
      </w:r>
      <w:r w:rsidR="00E57D58" w:rsidRPr="00E57D58">
        <w:rPr>
          <w:vertAlign w:val="superscript"/>
        </w:rPr>
        <w:t>87</w:t>
      </w:r>
      <w:r w:rsidR="00E57D58" w:rsidRPr="00E57D58">
        <w:t>Sr/</w:t>
      </w:r>
      <w:r w:rsidR="00E57D58" w:rsidRPr="00E57D58">
        <w:rPr>
          <w:vertAlign w:val="superscript"/>
        </w:rPr>
        <w:t>86</w:t>
      </w:r>
      <w:r w:rsidR="00E57D58" w:rsidRPr="00E57D58">
        <w:t>Sr analysis: Barry Cabot (SA Water, Lock 1), Warren Beer and Tony Waye (SA Water, Lock 6), Andrew Cook (SA Water, Lock 9), Jeff Galasso (Goulburn-Murray Water, Lock 11), Terry Holy (Goulburn-Murray Water, Lock 26) and James Philp (State Water Corporation, NSW, Menindee Lakes). Thanks also to Dave Dawson, Wayne Koster and Zeb Tonkin (The Arthur Rylah Institute for Environmental Research) and Jason Thiem and staff (NSW D</w:t>
      </w:r>
      <w:r w:rsidR="00E57D58">
        <w:t xml:space="preserve">epartment of </w:t>
      </w:r>
      <w:r w:rsidR="00E57D58" w:rsidRPr="00E57D58">
        <w:t>P</w:t>
      </w:r>
      <w:r w:rsidR="00E57D58">
        <w:t xml:space="preserve">rimary </w:t>
      </w:r>
      <w:r w:rsidR="00E57D58" w:rsidRPr="00E57D58">
        <w:t>I</w:t>
      </w:r>
      <w:r w:rsidR="00E57D58">
        <w:t>ndustries</w:t>
      </w:r>
      <w:r w:rsidR="00E57D58" w:rsidRPr="00E57D58">
        <w:t>) for additional water sample collection in the Murray, Goulburn, Murrumbidgee and Edward-Wakool river systems.</w:t>
      </w:r>
      <w:r w:rsidR="00B72120">
        <w:t xml:space="preserve"> </w:t>
      </w:r>
      <w:r w:rsidR="00B72120" w:rsidRPr="00B72120">
        <w:t>Identity</w:t>
      </w:r>
      <w:r w:rsidR="00B72120">
        <w:t xml:space="preserve"> of the microcrustacean </w:t>
      </w:r>
      <w:r w:rsidR="00B72120" w:rsidRPr="00B72120">
        <w:rPr>
          <w:i/>
        </w:rPr>
        <w:t>Daphnia galeata</w:t>
      </w:r>
      <w:r w:rsidR="00B72120">
        <w:t xml:space="preserve"> was verified through</w:t>
      </w:r>
      <w:r w:rsidR="00B72120" w:rsidRPr="00B72120">
        <w:t xml:space="preserve"> DNA </w:t>
      </w:r>
      <w:r w:rsidR="0013353E">
        <w:t>and</w:t>
      </w:r>
      <w:r w:rsidR="00B72120" w:rsidRPr="00B72120">
        <w:t xml:space="preserve"> PCR sequencing by Alexey Kotov, Moscow University</w:t>
      </w:r>
      <w:r w:rsidR="00B72120">
        <w:t xml:space="preserve"> </w:t>
      </w:r>
      <w:r w:rsidR="0013353E">
        <w:t>and</w:t>
      </w:r>
      <w:r w:rsidR="00B72120">
        <w:t xml:space="preserve"> Russian Academy of Sciences.</w:t>
      </w:r>
    </w:p>
    <w:p w14:paraId="2699FC5A" w14:textId="5CC59E74" w:rsidR="002E1727" w:rsidRPr="00C757C7" w:rsidRDefault="00B03BF1" w:rsidP="00C66B4D">
      <w:pPr>
        <w:pStyle w:val="ListBullet"/>
        <w:numPr>
          <w:ilvl w:val="0"/>
          <w:numId w:val="0"/>
        </w:numPr>
        <w:sectPr w:rsidR="002E1727" w:rsidRPr="00C757C7" w:rsidSect="005464C5">
          <w:footerReference w:type="default" r:id="rId43"/>
          <w:pgSz w:w="11900" w:h="16840" w:code="9"/>
          <w:pgMar w:top="1440" w:right="1440" w:bottom="1440" w:left="1440" w:header="709" w:footer="709" w:gutter="0"/>
          <w:pgNumType w:fmt="lowerRoman" w:start="1"/>
          <w:cols w:space="708"/>
          <w:docGrid w:linePitch="360"/>
        </w:sectPr>
      </w:pPr>
      <w:r w:rsidRPr="00482723">
        <w:t>Thanks to Michelle Campbell</w:t>
      </w:r>
      <w:r w:rsidR="00363C11">
        <w:t>,</w:t>
      </w:r>
      <w:r w:rsidRPr="00482723">
        <w:t xml:space="preserve"> Alana Wilkes</w:t>
      </w:r>
      <w:r w:rsidR="00363C11">
        <w:t xml:space="preserve"> and Andrew Lowes</w:t>
      </w:r>
      <w:r w:rsidRPr="00482723">
        <w:t xml:space="preserve"> (CEWO) for providing project management and </w:t>
      </w:r>
      <w:r w:rsidRPr="001D0BC1">
        <w:t xml:space="preserve">support to the Lower Murray River (LMR) Selected Area.  </w:t>
      </w:r>
      <w:r w:rsidR="00482723" w:rsidRPr="001D0BC1">
        <w:t>Andrew Low</w:t>
      </w:r>
      <w:r w:rsidR="00831275" w:rsidRPr="001D0BC1">
        <w:t>e</w:t>
      </w:r>
      <w:r w:rsidR="00482723" w:rsidRPr="001D0BC1">
        <w:t>s and Karen Stuart-Williams (CEWO)</w:t>
      </w:r>
      <w:r w:rsidR="00831275" w:rsidRPr="001D0BC1">
        <w:t xml:space="preserve"> provided MDMS data upload support to the LMR Selected Area. </w:t>
      </w:r>
      <w:r w:rsidR="00482723" w:rsidRPr="001D0BC1">
        <w:t xml:space="preserve"> </w:t>
      </w:r>
      <w:r w:rsidR="00EC2594" w:rsidRPr="00EC2594">
        <w:t>Thanks to Jim Foreman (M</w:t>
      </w:r>
      <w:r w:rsidR="001803AA">
        <w:t>urray–Darling Basin Authority</w:t>
      </w:r>
      <w:r w:rsidR="00782603">
        <w:t>, MDBA</w:t>
      </w:r>
      <w:r w:rsidR="00EC2594" w:rsidRPr="00EC2594">
        <w:t>) for providing detailed flow and environmental flow data, coordinated by Alan</w:t>
      </w:r>
      <w:r w:rsidR="007071BC">
        <w:t>a</w:t>
      </w:r>
      <w:r w:rsidR="00EC2594" w:rsidRPr="00EC2594">
        <w:t xml:space="preserve"> Wilkes (CEWO).</w:t>
      </w:r>
      <w:r w:rsidR="00C66B4D">
        <w:t xml:space="preserve"> </w:t>
      </w:r>
      <w:r w:rsidRPr="001D0BC1">
        <w:t xml:space="preserve">The LMR Selected Area Working Group </w:t>
      </w:r>
      <w:r w:rsidR="00482723" w:rsidRPr="001D0BC1">
        <w:rPr>
          <w:color w:val="auto"/>
          <w:kern w:val="0"/>
        </w:rPr>
        <w:lastRenderedPageBreak/>
        <w:t xml:space="preserve">provided a forum for the exchange of information and intelligence that supported </w:t>
      </w:r>
      <w:r w:rsidR="00BA4AD5">
        <w:rPr>
          <w:color w:val="auto"/>
          <w:kern w:val="0"/>
        </w:rPr>
        <w:t>the implementation of the LTIM p</w:t>
      </w:r>
      <w:r w:rsidR="00482723" w:rsidRPr="001D0BC1">
        <w:rPr>
          <w:color w:val="auto"/>
          <w:kern w:val="0"/>
        </w:rPr>
        <w:t>roject, through effective coordination of environmental watering, and monitoring and evaluation.</w:t>
      </w:r>
      <w:r w:rsidR="00C66B4D">
        <w:rPr>
          <w:color w:val="auto"/>
          <w:kern w:val="0"/>
        </w:rPr>
        <w:t xml:space="preserve"> </w:t>
      </w:r>
      <w:r w:rsidR="00363C11">
        <w:t>Andrew Lowes</w:t>
      </w:r>
      <w:r w:rsidR="002A1614">
        <w:t xml:space="preserve">, Michelle Campbell (CEWO), Jan Whittle, </w:t>
      </w:r>
      <w:r w:rsidR="00363C11">
        <w:t>Karl Hilllyard</w:t>
      </w:r>
      <w:r w:rsidR="002A1614">
        <w:t xml:space="preserve">, </w:t>
      </w:r>
      <w:r w:rsidR="008C43F2">
        <w:t>Tracy Steggles</w:t>
      </w:r>
      <w:r w:rsidR="002A1614">
        <w:t xml:space="preserve"> (DEWNR),</w:t>
      </w:r>
      <w:r w:rsidR="00363C11">
        <w:t xml:space="preserve"> and</w:t>
      </w:r>
      <w:r w:rsidR="002A1614">
        <w:t xml:space="preserve"> Aaron Matsinos </w:t>
      </w:r>
      <w:r w:rsidR="00656282">
        <w:t xml:space="preserve">and John Waterworth </w:t>
      </w:r>
      <w:r w:rsidR="002A1614">
        <w:t xml:space="preserve">(MDBA) provided comments on a draft version of this report. </w:t>
      </w:r>
      <w:r w:rsidR="002A1614" w:rsidRPr="001D0BC1">
        <w:t xml:space="preserve">The authors also </w:t>
      </w:r>
      <w:r w:rsidR="002A1614" w:rsidRPr="00AB1CA3">
        <w:t>thank</w:t>
      </w:r>
      <w:r w:rsidR="002A1614">
        <w:t xml:space="preserve"> </w:t>
      </w:r>
      <w:r w:rsidR="00F00748">
        <w:t>Andrew Lowes</w:t>
      </w:r>
      <w:r w:rsidR="006D64A7">
        <w:t>, Michelle Campbell</w:t>
      </w:r>
      <w:r w:rsidR="00812DD4">
        <w:t xml:space="preserve"> (CEWO)</w:t>
      </w:r>
      <w:r w:rsidR="00DC2298" w:rsidRPr="00AB1CA3">
        <w:t xml:space="preserve"> and </w:t>
      </w:r>
      <w:r w:rsidR="006D64A7">
        <w:t>Jason Nicol (SARDI)</w:t>
      </w:r>
      <w:r w:rsidR="00DC2298" w:rsidRPr="00AB1CA3">
        <w:t xml:space="preserve"> for reviewing this report and providing most welcome and constructive feedback.</w:t>
      </w:r>
      <w:r w:rsidR="005464C5">
        <w:t xml:space="preserve"> </w:t>
      </w:r>
    </w:p>
    <w:p w14:paraId="7C72DD49" w14:textId="77777777" w:rsidR="00A62C74" w:rsidRPr="00C757C7" w:rsidRDefault="00A62C74" w:rsidP="00F41737">
      <w:pPr>
        <w:pStyle w:val="Heading1"/>
        <w:numPr>
          <w:ilvl w:val="0"/>
          <w:numId w:val="0"/>
        </w:numPr>
        <w:ind w:left="851" w:hanging="851"/>
      </w:pPr>
      <w:bookmarkStart w:id="12" w:name="_Toc441838723"/>
      <w:bookmarkStart w:id="13" w:name="_Toc474147046"/>
      <w:r w:rsidRPr="00C757C7">
        <w:lastRenderedPageBreak/>
        <w:t>Executive summary</w:t>
      </w:r>
      <w:bookmarkEnd w:id="12"/>
      <w:bookmarkEnd w:id="13"/>
    </w:p>
    <w:p w14:paraId="5DA03C7E" w14:textId="40DC8086" w:rsidR="00AE7F32" w:rsidRPr="00C757C7" w:rsidRDefault="00812AF3" w:rsidP="00AE7F32">
      <w:r>
        <w:t xml:space="preserve">This </w:t>
      </w:r>
      <w:r w:rsidR="00943DCB">
        <w:t xml:space="preserve">project </w:t>
      </w:r>
      <w:r w:rsidR="00416843">
        <w:t>assesses</w:t>
      </w:r>
      <w:r>
        <w:t xml:space="preserve"> the </w:t>
      </w:r>
      <w:r w:rsidR="00416843" w:rsidRPr="00C757C7">
        <w:t xml:space="preserve">ecological responses to </w:t>
      </w:r>
      <w:r w:rsidR="0082123B" w:rsidRPr="00C757C7">
        <w:t xml:space="preserve">Commonwealth environmental water </w:t>
      </w:r>
      <w:r w:rsidR="00416843" w:rsidRPr="00C757C7">
        <w:t>delivered to the Lower Murray River</w:t>
      </w:r>
      <w:r w:rsidR="00416843">
        <w:t xml:space="preserve"> </w:t>
      </w:r>
      <w:r w:rsidR="005A5A0D">
        <w:t xml:space="preserve">(LMR) </w:t>
      </w:r>
      <w:r w:rsidR="006F358F">
        <w:t xml:space="preserve">Selected Area </w:t>
      </w:r>
      <w:r w:rsidR="00416843">
        <w:t xml:space="preserve">during year </w:t>
      </w:r>
      <w:r w:rsidR="00C429DF">
        <w:t xml:space="preserve">two </w:t>
      </w:r>
      <w:r w:rsidR="00416843">
        <w:t>(201</w:t>
      </w:r>
      <w:r w:rsidR="00C429DF">
        <w:t>5</w:t>
      </w:r>
      <w:r w:rsidR="00512BBD">
        <w:t>/</w:t>
      </w:r>
      <w:r w:rsidR="00416843">
        <w:t>1</w:t>
      </w:r>
      <w:r w:rsidR="00C429DF">
        <w:t>6</w:t>
      </w:r>
      <w:r w:rsidR="00416843">
        <w:t xml:space="preserve">) of the </w:t>
      </w:r>
      <w:r w:rsidR="009E4074">
        <w:t xml:space="preserve">five-year Commonwealth Environmental Water Office </w:t>
      </w:r>
      <w:r w:rsidR="000B1384">
        <w:t xml:space="preserve">(CEWO) </w:t>
      </w:r>
      <w:r w:rsidR="009E4074">
        <w:t>Long-T</w:t>
      </w:r>
      <w:r>
        <w:t xml:space="preserve">erm </w:t>
      </w:r>
      <w:r w:rsidR="009E4074">
        <w:t>I</w:t>
      </w:r>
      <w:r w:rsidR="00416843">
        <w:t xml:space="preserve">ntervention </w:t>
      </w:r>
      <w:r w:rsidR="009E4074">
        <w:t>M</w:t>
      </w:r>
      <w:r w:rsidR="00416843">
        <w:t>onitoring</w:t>
      </w:r>
      <w:r w:rsidR="000B1384">
        <w:t xml:space="preserve"> (LTIM)</w:t>
      </w:r>
      <w:r w:rsidR="00416843">
        <w:t xml:space="preserve"> project</w:t>
      </w:r>
      <w:r w:rsidR="00AE7F32" w:rsidRPr="00C757C7">
        <w:t xml:space="preserve">. In </w:t>
      </w:r>
      <w:r w:rsidR="00333041" w:rsidRPr="00C757C7">
        <w:t>201</w:t>
      </w:r>
      <w:r w:rsidR="00C429DF">
        <w:t>5</w:t>
      </w:r>
      <w:r w:rsidR="00512BBD">
        <w:t>/</w:t>
      </w:r>
      <w:r w:rsidR="00FD328A" w:rsidRPr="001E51DE">
        <w:t>1</w:t>
      </w:r>
      <w:r w:rsidR="00C429DF">
        <w:t>6</w:t>
      </w:r>
      <w:r w:rsidR="00AE7F32" w:rsidRPr="001E51DE">
        <w:t>, ~</w:t>
      </w:r>
      <w:r w:rsidR="00C429DF">
        <w:t>814</w:t>
      </w:r>
      <w:r w:rsidR="00AE7F32" w:rsidRPr="001E51DE">
        <w:t xml:space="preserve"> GL </w:t>
      </w:r>
      <w:r w:rsidR="00353162" w:rsidRPr="001E51DE">
        <w:t>of</w:t>
      </w:r>
      <w:r w:rsidR="00353162" w:rsidRPr="00C757C7">
        <w:t xml:space="preserve"> </w:t>
      </w:r>
      <w:r w:rsidR="00AE7F32" w:rsidRPr="00C757C7">
        <w:t xml:space="preserve">Commonwealth environmental water </w:t>
      </w:r>
      <w:r w:rsidR="00062B90" w:rsidRPr="00C757C7">
        <w:t>w</w:t>
      </w:r>
      <w:r w:rsidR="00062B90">
        <w:t>as</w:t>
      </w:r>
      <w:r w:rsidR="00062B90" w:rsidRPr="00C757C7">
        <w:t xml:space="preserve"> </w:t>
      </w:r>
      <w:r w:rsidR="00AE7F32" w:rsidRPr="00C757C7">
        <w:t>deli</w:t>
      </w:r>
      <w:r w:rsidR="004053CC">
        <w:t>vered to the</w:t>
      </w:r>
      <w:r w:rsidR="00750A24">
        <w:t xml:space="preserve"> South Australian</w:t>
      </w:r>
      <w:r w:rsidR="006408D0">
        <w:t xml:space="preserve"> </w:t>
      </w:r>
      <w:r w:rsidR="007A11EA">
        <w:t>section of the</w:t>
      </w:r>
      <w:r w:rsidR="004053CC">
        <w:t xml:space="preserve"> Murray River</w:t>
      </w:r>
      <w:r w:rsidR="00D958FF">
        <w:t xml:space="preserve">, termed the </w:t>
      </w:r>
      <w:r w:rsidR="008636A3">
        <w:t>LMR.</w:t>
      </w:r>
      <w:r w:rsidR="008636A3" w:rsidRPr="00C757C7">
        <w:t xml:space="preserve"> </w:t>
      </w:r>
      <w:r w:rsidR="008636A3">
        <w:t xml:space="preserve">Flow </w:t>
      </w:r>
      <w:r w:rsidR="00573876">
        <w:t>delivery</w:t>
      </w:r>
      <w:r w:rsidR="00CF18BA" w:rsidRPr="00C757C7">
        <w:t xml:space="preserve"> to </w:t>
      </w:r>
      <w:r w:rsidR="009F5B10">
        <w:t>the LMR</w:t>
      </w:r>
      <w:r w:rsidR="00CF18BA" w:rsidRPr="00C757C7">
        <w:t xml:space="preserve"> </w:t>
      </w:r>
      <w:r w:rsidR="00AE7F32" w:rsidRPr="00C757C7">
        <w:t>w</w:t>
      </w:r>
      <w:r w:rsidR="00573876">
        <w:t xml:space="preserve">as </w:t>
      </w:r>
      <w:r w:rsidR="00AE7F32" w:rsidRPr="00C757C7">
        <w:t xml:space="preserve">coordinated through a series of watering events across the southern connected Basin to achieve </w:t>
      </w:r>
      <w:r w:rsidR="008636A3" w:rsidRPr="00C757C7">
        <w:t>multi-site environmental outc</w:t>
      </w:r>
      <w:r w:rsidR="008636A3">
        <w:t>omes</w:t>
      </w:r>
      <w:r w:rsidR="004354C1">
        <w:t xml:space="preserve">. </w:t>
      </w:r>
      <w:r w:rsidR="00CF18BA">
        <w:t>Environmental watering</w:t>
      </w:r>
      <w:r w:rsidR="00CF18BA" w:rsidRPr="004354C1">
        <w:t xml:space="preserve"> </w:t>
      </w:r>
      <w:r w:rsidR="00CF18BA">
        <w:t>assisted in maintaining</w:t>
      </w:r>
      <w:r w:rsidR="00CF18BA" w:rsidRPr="004354C1">
        <w:t xml:space="preserve"> river flow at </w:t>
      </w:r>
      <w:r w:rsidR="00CF18BA" w:rsidRPr="00C429DF">
        <w:t xml:space="preserve">9,600–11,700 </w:t>
      </w:r>
      <w:r w:rsidR="00CF18BA" w:rsidRPr="004354C1">
        <w:t>ML day</w:t>
      </w:r>
      <w:r w:rsidR="00CF18BA" w:rsidRPr="004354C1">
        <w:rPr>
          <w:vertAlign w:val="superscript"/>
        </w:rPr>
        <w:t>-1</w:t>
      </w:r>
      <w:r w:rsidR="00CF18BA" w:rsidRPr="004354C1">
        <w:t xml:space="preserve"> </w:t>
      </w:r>
      <w:r w:rsidR="00CF18BA">
        <w:t xml:space="preserve">from </w:t>
      </w:r>
      <w:r w:rsidR="00CF18BA" w:rsidRPr="00C429DF">
        <w:t>mid-</w:t>
      </w:r>
      <w:r w:rsidR="00CF18BA">
        <w:t>September to late October 2015,</w:t>
      </w:r>
      <w:r w:rsidR="00CF18BA" w:rsidRPr="00C757C7">
        <w:t xml:space="preserve"> </w:t>
      </w:r>
      <w:r w:rsidR="00CF18BA">
        <w:t>and at ~9,800 ML day</w:t>
      </w:r>
      <w:r w:rsidR="00CF18BA" w:rsidRPr="00D345F6">
        <w:rPr>
          <w:vertAlign w:val="superscript"/>
        </w:rPr>
        <w:t>-1</w:t>
      </w:r>
      <w:r w:rsidR="00CF18BA">
        <w:t xml:space="preserve"> during mid- to late February 2016 </w:t>
      </w:r>
      <w:r w:rsidR="00CF18BA" w:rsidRPr="00C757C7">
        <w:t>in the L</w:t>
      </w:r>
      <w:r w:rsidR="00CF18BA">
        <w:t>MR</w:t>
      </w:r>
      <w:r w:rsidR="00670FEC">
        <w:t xml:space="preserve">. </w:t>
      </w:r>
      <w:r w:rsidR="00A978D9">
        <w:t xml:space="preserve">Commonwealth environmental water also </w:t>
      </w:r>
      <w:r w:rsidR="00D60796">
        <w:t xml:space="preserve">supported </w:t>
      </w:r>
      <w:r w:rsidR="00A978D9">
        <w:t>weir pool raising</w:t>
      </w:r>
      <w:r w:rsidR="00BE681E">
        <w:t xml:space="preserve"> (WPR)</w:t>
      </w:r>
      <w:r w:rsidR="00A978D9">
        <w:t xml:space="preserve"> events in Weir Pools 2 and 5. </w:t>
      </w:r>
      <w:r w:rsidR="00A978D9" w:rsidRPr="00396B66">
        <w:t>Furthermore, e</w:t>
      </w:r>
      <w:r w:rsidR="00670FEC" w:rsidRPr="00396B66">
        <w:t xml:space="preserve">nvironmental watering </w:t>
      </w:r>
      <w:r w:rsidR="00AE7F32" w:rsidRPr="00396B66">
        <w:t xml:space="preserve">supplemented freshwater flows to the </w:t>
      </w:r>
      <w:r w:rsidR="0082123B" w:rsidRPr="00396B66">
        <w:t xml:space="preserve">Lower Lakes and Coorong </w:t>
      </w:r>
      <w:r w:rsidR="00472745" w:rsidRPr="00396B66">
        <w:t>from September 201</w:t>
      </w:r>
      <w:r w:rsidR="00A978D9" w:rsidRPr="00396B66">
        <w:t>5</w:t>
      </w:r>
      <w:r w:rsidR="00670FEC" w:rsidRPr="00396B66">
        <w:t xml:space="preserve">, with Commonwealth environmental water contributing to 100% of barrage releases between </w:t>
      </w:r>
      <w:r w:rsidR="00C43530">
        <w:t xml:space="preserve">September </w:t>
      </w:r>
      <w:r w:rsidR="00670FEC" w:rsidRPr="00396B66">
        <w:t>201</w:t>
      </w:r>
      <w:r w:rsidR="00A978D9" w:rsidRPr="00396B66">
        <w:t>5</w:t>
      </w:r>
      <w:r w:rsidR="00670FEC" w:rsidRPr="00396B66">
        <w:t xml:space="preserve"> and June 201</w:t>
      </w:r>
      <w:r w:rsidR="00A978D9" w:rsidRPr="00396B66">
        <w:t>6</w:t>
      </w:r>
      <w:r w:rsidR="00472745" w:rsidRPr="00396B66">
        <w:t>.</w:t>
      </w:r>
    </w:p>
    <w:p w14:paraId="673D9B17" w14:textId="7865CE6E" w:rsidR="00AE7F32" w:rsidRPr="00C757C7" w:rsidRDefault="009E4074" w:rsidP="00943DCB">
      <w:r>
        <w:t xml:space="preserve">Seven indicators were </w:t>
      </w:r>
      <w:r w:rsidR="00556D3F">
        <w:t>used</w:t>
      </w:r>
      <w:r>
        <w:t xml:space="preserve"> to evaluate the </w:t>
      </w:r>
      <w:r w:rsidR="009F5B10">
        <w:t>ecological response to</w:t>
      </w:r>
      <w:r>
        <w:t xml:space="preserve"> Commonwealth environmental water</w:t>
      </w:r>
      <w:r w:rsidRPr="00C757C7">
        <w:t xml:space="preserve"> </w:t>
      </w:r>
      <w:r>
        <w:t xml:space="preserve">in the main </w:t>
      </w:r>
      <w:r w:rsidR="00CF18BA">
        <w:t xml:space="preserve">river </w:t>
      </w:r>
      <w:r>
        <w:t>channel of the L</w:t>
      </w:r>
      <w:r w:rsidR="005A5A0D">
        <w:t>MR</w:t>
      </w:r>
      <w:r w:rsidRPr="00C757C7">
        <w:t xml:space="preserve"> </w:t>
      </w:r>
      <w:r>
        <w:t>Selected Area.</w:t>
      </w:r>
      <w:r w:rsidR="007D6212">
        <w:t xml:space="preserve"> </w:t>
      </w:r>
      <w:r w:rsidR="00941D8B">
        <w:t>Category 1 indicators aimed to evaluate Basin-scale objectives and outcome</w:t>
      </w:r>
      <w:r w:rsidR="00812DD4">
        <w:t>s</w:t>
      </w:r>
      <w:r w:rsidR="00FC6059">
        <w:t>,</w:t>
      </w:r>
      <w:r w:rsidR="00941D8B">
        <w:t xml:space="preserve"> as well as local (Selected Area) objectives, while Category 3 indicators aimed to address local evaluation </w:t>
      </w:r>
      <w:r w:rsidR="00812DD4">
        <w:t>questions</w:t>
      </w:r>
      <w:r w:rsidR="00941D8B">
        <w:t>.</w:t>
      </w:r>
      <w:r w:rsidR="00941D8B" w:rsidRPr="00C757C7">
        <w:t xml:space="preserve"> </w:t>
      </w:r>
      <w:r w:rsidR="00943DCB">
        <w:t xml:space="preserve">These </w:t>
      </w:r>
      <w:r w:rsidR="00062B90">
        <w:t>indicators were</w:t>
      </w:r>
      <w:r w:rsidR="00943DCB">
        <w:t>:</w:t>
      </w:r>
    </w:p>
    <w:p w14:paraId="4173C215" w14:textId="77777777" w:rsidR="005A789D" w:rsidRDefault="005A789D" w:rsidP="005A789D">
      <w:pPr>
        <w:pStyle w:val="ListParagraph"/>
        <w:numPr>
          <w:ilvl w:val="0"/>
          <w:numId w:val="10"/>
        </w:numPr>
        <w:spacing w:before="0" w:after="0"/>
        <w:contextualSpacing/>
        <w:rPr>
          <w:rFonts w:cs="Arial"/>
          <w:color w:val="auto"/>
          <w:kern w:val="0"/>
          <w:szCs w:val="22"/>
        </w:rPr>
      </w:pPr>
      <w:r>
        <w:rPr>
          <w:rFonts w:cs="Arial"/>
          <w:color w:val="auto"/>
          <w:kern w:val="0"/>
          <w:szCs w:val="22"/>
        </w:rPr>
        <w:t>Hydrology (channel) (Cat</w:t>
      </w:r>
      <w:r w:rsidR="00952BC3">
        <w:rPr>
          <w:rFonts w:cs="Arial"/>
          <w:color w:val="auto"/>
          <w:kern w:val="0"/>
          <w:szCs w:val="22"/>
        </w:rPr>
        <w:t>egory</w:t>
      </w:r>
      <w:r>
        <w:rPr>
          <w:rFonts w:cs="Arial"/>
          <w:color w:val="auto"/>
          <w:kern w:val="0"/>
          <w:szCs w:val="22"/>
        </w:rPr>
        <w:t xml:space="preserve"> 1)</w:t>
      </w:r>
    </w:p>
    <w:p w14:paraId="10E97BB8" w14:textId="77777777" w:rsidR="005A789D" w:rsidRDefault="005A789D" w:rsidP="005A789D">
      <w:pPr>
        <w:pStyle w:val="ListParagraph"/>
        <w:numPr>
          <w:ilvl w:val="0"/>
          <w:numId w:val="10"/>
        </w:numPr>
        <w:spacing w:before="0" w:after="0"/>
        <w:contextualSpacing/>
        <w:rPr>
          <w:rFonts w:cs="Arial"/>
          <w:color w:val="auto"/>
          <w:kern w:val="0"/>
          <w:szCs w:val="22"/>
        </w:rPr>
      </w:pPr>
      <w:r>
        <w:rPr>
          <w:rFonts w:cs="Arial"/>
          <w:color w:val="auto"/>
          <w:kern w:val="0"/>
          <w:szCs w:val="22"/>
        </w:rPr>
        <w:t>Stream Metabolism (Cat</w:t>
      </w:r>
      <w:r w:rsidR="00952BC3">
        <w:rPr>
          <w:rFonts w:cs="Arial"/>
          <w:color w:val="auto"/>
          <w:kern w:val="0"/>
          <w:szCs w:val="22"/>
        </w:rPr>
        <w:t>egory</w:t>
      </w:r>
      <w:r>
        <w:rPr>
          <w:rFonts w:cs="Arial"/>
          <w:color w:val="auto"/>
          <w:kern w:val="0"/>
          <w:szCs w:val="22"/>
        </w:rPr>
        <w:t xml:space="preserve"> 1)</w:t>
      </w:r>
    </w:p>
    <w:p w14:paraId="683BFE62" w14:textId="77777777" w:rsidR="005A789D" w:rsidRDefault="005A789D" w:rsidP="005A789D">
      <w:pPr>
        <w:pStyle w:val="ListParagraph"/>
        <w:numPr>
          <w:ilvl w:val="0"/>
          <w:numId w:val="10"/>
        </w:numPr>
        <w:spacing w:before="0" w:after="0"/>
        <w:contextualSpacing/>
        <w:rPr>
          <w:rFonts w:cs="Arial"/>
          <w:color w:val="auto"/>
          <w:kern w:val="0"/>
          <w:szCs w:val="22"/>
        </w:rPr>
      </w:pPr>
      <w:r>
        <w:rPr>
          <w:rFonts w:cs="Arial"/>
          <w:color w:val="auto"/>
          <w:kern w:val="0"/>
          <w:szCs w:val="22"/>
        </w:rPr>
        <w:t>Fish (channel) (Cat</w:t>
      </w:r>
      <w:r w:rsidR="00952BC3">
        <w:rPr>
          <w:rFonts w:cs="Arial"/>
          <w:color w:val="auto"/>
          <w:kern w:val="0"/>
          <w:szCs w:val="22"/>
        </w:rPr>
        <w:t>egory</w:t>
      </w:r>
      <w:r>
        <w:rPr>
          <w:rFonts w:cs="Arial"/>
          <w:color w:val="auto"/>
          <w:kern w:val="0"/>
          <w:szCs w:val="22"/>
        </w:rPr>
        <w:t xml:space="preserve"> 1)</w:t>
      </w:r>
    </w:p>
    <w:p w14:paraId="609AECD0" w14:textId="77777777" w:rsidR="005A789D" w:rsidRDefault="005A789D" w:rsidP="005A789D">
      <w:pPr>
        <w:pStyle w:val="ListParagraph"/>
        <w:numPr>
          <w:ilvl w:val="0"/>
          <w:numId w:val="10"/>
        </w:numPr>
        <w:spacing w:before="0" w:after="0"/>
        <w:contextualSpacing/>
        <w:rPr>
          <w:rFonts w:cs="Arial"/>
          <w:color w:val="auto"/>
          <w:kern w:val="0"/>
          <w:szCs w:val="22"/>
        </w:rPr>
      </w:pPr>
      <w:r>
        <w:rPr>
          <w:rFonts w:cs="Arial"/>
          <w:color w:val="auto"/>
          <w:kern w:val="0"/>
          <w:szCs w:val="22"/>
        </w:rPr>
        <w:t>Hydrological Regime (Cat</w:t>
      </w:r>
      <w:r w:rsidR="00952BC3">
        <w:rPr>
          <w:rFonts w:cs="Arial"/>
          <w:color w:val="auto"/>
          <w:kern w:val="0"/>
          <w:szCs w:val="22"/>
        </w:rPr>
        <w:t>egory</w:t>
      </w:r>
      <w:r>
        <w:rPr>
          <w:rFonts w:cs="Arial"/>
          <w:color w:val="auto"/>
          <w:kern w:val="0"/>
          <w:szCs w:val="22"/>
        </w:rPr>
        <w:t xml:space="preserve"> 3)</w:t>
      </w:r>
    </w:p>
    <w:p w14:paraId="327BC107" w14:textId="77777777" w:rsidR="005A789D" w:rsidRPr="00C757C7" w:rsidRDefault="005A789D" w:rsidP="005A789D">
      <w:pPr>
        <w:pStyle w:val="ListParagraph"/>
        <w:numPr>
          <w:ilvl w:val="0"/>
          <w:numId w:val="10"/>
        </w:numPr>
        <w:spacing w:before="0" w:after="0"/>
        <w:contextualSpacing/>
        <w:rPr>
          <w:rFonts w:cs="Arial"/>
          <w:color w:val="auto"/>
          <w:kern w:val="0"/>
          <w:szCs w:val="22"/>
        </w:rPr>
      </w:pPr>
      <w:r>
        <w:rPr>
          <w:rFonts w:cs="Arial"/>
          <w:color w:val="auto"/>
          <w:kern w:val="0"/>
          <w:szCs w:val="22"/>
        </w:rPr>
        <w:t>Matter Transport (Cat</w:t>
      </w:r>
      <w:r w:rsidR="00952BC3">
        <w:rPr>
          <w:rFonts w:cs="Arial"/>
          <w:color w:val="auto"/>
          <w:kern w:val="0"/>
          <w:szCs w:val="22"/>
        </w:rPr>
        <w:t>egory</w:t>
      </w:r>
      <w:r>
        <w:rPr>
          <w:rFonts w:cs="Arial"/>
          <w:color w:val="auto"/>
          <w:kern w:val="0"/>
          <w:szCs w:val="22"/>
        </w:rPr>
        <w:t xml:space="preserve"> 3)</w:t>
      </w:r>
    </w:p>
    <w:p w14:paraId="50A8FEBC" w14:textId="77777777" w:rsidR="005A789D" w:rsidRDefault="005A789D" w:rsidP="005A789D">
      <w:pPr>
        <w:pStyle w:val="ListParagraph"/>
        <w:numPr>
          <w:ilvl w:val="0"/>
          <w:numId w:val="10"/>
        </w:numPr>
        <w:spacing w:before="0" w:after="0"/>
        <w:contextualSpacing/>
        <w:rPr>
          <w:rFonts w:cs="Arial"/>
          <w:color w:val="auto"/>
          <w:kern w:val="0"/>
          <w:szCs w:val="22"/>
        </w:rPr>
      </w:pPr>
      <w:r>
        <w:rPr>
          <w:rFonts w:cs="Arial"/>
          <w:color w:val="auto"/>
          <w:kern w:val="0"/>
          <w:szCs w:val="22"/>
        </w:rPr>
        <w:t>Microinvertebrates (Cat</w:t>
      </w:r>
      <w:r w:rsidR="00952BC3">
        <w:rPr>
          <w:rFonts w:cs="Arial"/>
          <w:color w:val="auto"/>
          <w:kern w:val="0"/>
          <w:szCs w:val="22"/>
        </w:rPr>
        <w:t>egory</w:t>
      </w:r>
      <w:r>
        <w:rPr>
          <w:rFonts w:cs="Arial"/>
          <w:color w:val="auto"/>
          <w:kern w:val="0"/>
          <w:szCs w:val="22"/>
        </w:rPr>
        <w:t xml:space="preserve"> 3)</w:t>
      </w:r>
      <w:r w:rsidRPr="00B14E91">
        <w:rPr>
          <w:rFonts w:cs="Arial"/>
          <w:color w:val="auto"/>
          <w:kern w:val="0"/>
          <w:szCs w:val="22"/>
        </w:rPr>
        <w:t xml:space="preserve"> </w:t>
      </w:r>
    </w:p>
    <w:p w14:paraId="7E41604A" w14:textId="77777777" w:rsidR="005A789D" w:rsidRPr="00080205" w:rsidRDefault="005A789D" w:rsidP="005A789D">
      <w:pPr>
        <w:pStyle w:val="ListParagraph"/>
        <w:numPr>
          <w:ilvl w:val="0"/>
          <w:numId w:val="10"/>
        </w:numPr>
        <w:spacing w:before="0" w:after="0"/>
        <w:contextualSpacing/>
        <w:rPr>
          <w:rFonts w:cs="Arial"/>
          <w:color w:val="auto"/>
          <w:kern w:val="0"/>
          <w:szCs w:val="22"/>
        </w:rPr>
      </w:pPr>
      <w:r>
        <w:rPr>
          <w:rFonts w:cs="Arial"/>
          <w:color w:val="auto"/>
          <w:kern w:val="0"/>
          <w:szCs w:val="22"/>
        </w:rPr>
        <w:t>Fish Spawning and Recruitment (Cat</w:t>
      </w:r>
      <w:r w:rsidR="00952BC3">
        <w:rPr>
          <w:rFonts w:cs="Arial"/>
          <w:color w:val="auto"/>
          <w:kern w:val="0"/>
          <w:szCs w:val="22"/>
        </w:rPr>
        <w:t>egory</w:t>
      </w:r>
      <w:r>
        <w:rPr>
          <w:rFonts w:cs="Arial"/>
          <w:color w:val="auto"/>
          <w:kern w:val="0"/>
          <w:szCs w:val="22"/>
        </w:rPr>
        <w:t xml:space="preserve"> 3)</w:t>
      </w:r>
    </w:p>
    <w:p w14:paraId="2D17E999" w14:textId="77777777" w:rsidR="00AE7F32" w:rsidRPr="00C757C7" w:rsidRDefault="00AE7F32" w:rsidP="00AE7F32">
      <w:pPr>
        <w:rPr>
          <w:b/>
          <w:color w:val="1F497D" w:themeColor="text2"/>
        </w:rPr>
      </w:pPr>
      <w:r w:rsidRPr="00C757C7">
        <w:rPr>
          <w:b/>
          <w:color w:val="1F497D" w:themeColor="text2"/>
        </w:rPr>
        <w:t>Key ecological outcomes</w:t>
      </w:r>
    </w:p>
    <w:p w14:paraId="2CFB36B3" w14:textId="10C8DD92" w:rsidR="0089344D" w:rsidRPr="00C757C7" w:rsidRDefault="00942316" w:rsidP="000B1384">
      <w:pPr>
        <w:sectPr w:rsidR="0089344D" w:rsidRPr="00C757C7" w:rsidSect="00315EBC">
          <w:footerReference w:type="default" r:id="rId44"/>
          <w:pgSz w:w="11900" w:h="16840" w:code="9"/>
          <w:pgMar w:top="1440" w:right="1440" w:bottom="1440" w:left="1440" w:header="709" w:footer="709" w:gutter="0"/>
          <w:pgNumType w:fmt="lowerRoman"/>
          <w:cols w:space="708"/>
          <w:docGrid w:linePitch="360"/>
        </w:sectPr>
      </w:pPr>
      <w:r>
        <w:t>Monitoring in 201</w:t>
      </w:r>
      <w:r w:rsidR="00D345F6">
        <w:t>5</w:t>
      </w:r>
      <w:r w:rsidR="00512BBD">
        <w:t>/</w:t>
      </w:r>
      <w:r>
        <w:t>1</w:t>
      </w:r>
      <w:r w:rsidR="00D345F6">
        <w:t>6</w:t>
      </w:r>
      <w:r w:rsidRPr="00942316">
        <w:t xml:space="preserve"> identified a number of ecological responses associated with the delivery of Commonwealth environmental water in the L</w:t>
      </w:r>
      <w:r w:rsidR="00736F05">
        <w:t>MR</w:t>
      </w:r>
      <w:r w:rsidR="00B14E91">
        <w:t>.</w:t>
      </w:r>
      <w:r w:rsidR="0089344D">
        <w:t xml:space="preserve"> </w:t>
      </w:r>
      <w:r w:rsidRPr="00942316">
        <w:t xml:space="preserve">Key </w:t>
      </w:r>
      <w:r w:rsidR="009D45C9">
        <w:t xml:space="preserve">findings, in </w:t>
      </w:r>
      <w:r w:rsidR="00CF011C">
        <w:t xml:space="preserve">relation to </w:t>
      </w:r>
      <w:r w:rsidR="000B1384">
        <w:t xml:space="preserve">CEWO </w:t>
      </w:r>
      <w:r w:rsidR="00CF011C">
        <w:t>short-term evaluation questions,</w:t>
      </w:r>
      <w:r w:rsidRPr="00942316">
        <w:t xml:space="preserve"> are summarised in</w:t>
      </w:r>
      <w:r>
        <w:t xml:space="preserve"> </w:t>
      </w:r>
      <w:r w:rsidR="00394AA8">
        <w:fldChar w:fldCharType="begin"/>
      </w:r>
      <w:r>
        <w:instrText xml:space="preserve"> REF _Ref387929534 \h </w:instrText>
      </w:r>
      <w:r w:rsidR="00394AA8">
        <w:fldChar w:fldCharType="separate"/>
      </w:r>
      <w:r w:rsidR="004260C4" w:rsidRPr="00C757C7">
        <w:t xml:space="preserve">Table </w:t>
      </w:r>
      <w:r w:rsidR="004260C4">
        <w:rPr>
          <w:noProof/>
        </w:rPr>
        <w:t>1</w:t>
      </w:r>
      <w:r w:rsidR="00394AA8">
        <w:fldChar w:fldCharType="end"/>
      </w:r>
      <w:r>
        <w:t>.</w:t>
      </w:r>
      <w:r w:rsidR="00060178">
        <w:t xml:space="preserve"> </w:t>
      </w:r>
      <w:r w:rsidR="009F5B10">
        <w:t>R</w:t>
      </w:r>
      <w:r w:rsidR="008636A3">
        <w:t xml:space="preserve">esults from </w:t>
      </w:r>
      <w:r w:rsidR="009F5B10">
        <w:t xml:space="preserve">the </w:t>
      </w:r>
      <w:r w:rsidR="008636A3">
        <w:lastRenderedPageBreak/>
        <w:t>monitoring and modelling were evaluated and discussed in the context of our contemporary understanding of flow-related ecology in the LMR.</w:t>
      </w:r>
    </w:p>
    <w:p w14:paraId="3C6E446C" w14:textId="08DB9340" w:rsidR="00AE7F32" w:rsidRPr="00C757C7" w:rsidRDefault="004034FF" w:rsidP="00B46038">
      <w:pPr>
        <w:pStyle w:val="Captions"/>
      </w:pPr>
      <w:bookmarkStart w:id="14" w:name="_Ref387929534"/>
      <w:bookmarkStart w:id="15" w:name="_Ref387929410"/>
      <w:bookmarkStart w:id="16" w:name="_Toc442086404"/>
      <w:bookmarkStart w:id="17" w:name="_Toc474147019"/>
      <w:r w:rsidRPr="00C757C7">
        <w:lastRenderedPageBreak/>
        <w:t xml:space="preserve">Table </w:t>
      </w:r>
      <w:r w:rsidR="00394AA8" w:rsidRPr="00C757C7">
        <w:fldChar w:fldCharType="begin"/>
      </w:r>
      <w:r w:rsidR="00621CBB" w:rsidRPr="00C757C7">
        <w:instrText xml:space="preserve"> SEQ Table \* ARABIC </w:instrText>
      </w:r>
      <w:r w:rsidR="00394AA8" w:rsidRPr="00C757C7">
        <w:fldChar w:fldCharType="separate"/>
      </w:r>
      <w:r w:rsidR="004260C4">
        <w:rPr>
          <w:noProof/>
        </w:rPr>
        <w:t>1</w:t>
      </w:r>
      <w:r w:rsidR="00394AA8" w:rsidRPr="00C757C7">
        <w:rPr>
          <w:noProof/>
        </w:rPr>
        <w:fldChar w:fldCharType="end"/>
      </w:r>
      <w:bookmarkEnd w:id="14"/>
      <w:r w:rsidR="00AE7F32" w:rsidRPr="00C757C7">
        <w:t xml:space="preserve">. Summary of </w:t>
      </w:r>
      <w:r w:rsidR="00000809">
        <w:t xml:space="preserve">the </w:t>
      </w:r>
      <w:r w:rsidR="00942316">
        <w:t>key findings</w:t>
      </w:r>
      <w:r w:rsidR="00236FF8" w:rsidRPr="00C757C7">
        <w:t xml:space="preserve"> </w:t>
      </w:r>
      <w:r w:rsidR="00E50DA0">
        <w:t>from Category 1 and Category 3 indicators relating to the CEWO short-term (one</w:t>
      </w:r>
      <w:r w:rsidR="00400B8E">
        <w:t>-</w:t>
      </w:r>
      <w:r w:rsidR="00E50DA0">
        <w:t>year) evaluation questions</w:t>
      </w:r>
      <w:r w:rsidR="007841F1">
        <w:t xml:space="preserve"> (answers in blue text)</w:t>
      </w:r>
      <w:r w:rsidR="00E50DA0">
        <w:t xml:space="preserve"> </w:t>
      </w:r>
      <w:r w:rsidR="00AE7F32" w:rsidRPr="00C757C7">
        <w:t xml:space="preserve">associated with environmental water releases to the </w:t>
      </w:r>
      <w:r w:rsidR="00003A8D" w:rsidRPr="00C757C7">
        <w:t>L</w:t>
      </w:r>
      <w:r w:rsidR="00AE7F32" w:rsidRPr="00C757C7">
        <w:t>ower Murray</w:t>
      </w:r>
      <w:r w:rsidR="00D0423A" w:rsidRPr="00C757C7">
        <w:t xml:space="preserve"> River</w:t>
      </w:r>
      <w:r w:rsidR="0089344D">
        <w:t xml:space="preserve"> </w:t>
      </w:r>
      <w:r w:rsidR="00E60249">
        <w:t xml:space="preserve">(LMR) </w:t>
      </w:r>
      <w:r w:rsidR="0089344D">
        <w:t>Selected Area</w:t>
      </w:r>
      <w:r w:rsidR="00D0423A" w:rsidRPr="00C757C7">
        <w:t xml:space="preserve"> </w:t>
      </w:r>
      <w:r w:rsidR="00AE7F32" w:rsidRPr="00C757C7">
        <w:t xml:space="preserve">during </w:t>
      </w:r>
      <w:r w:rsidR="00333041" w:rsidRPr="00C757C7">
        <w:t>201</w:t>
      </w:r>
      <w:r w:rsidR="00D345F6">
        <w:t>5</w:t>
      </w:r>
      <w:r w:rsidR="00512BBD">
        <w:t>/</w:t>
      </w:r>
      <w:r w:rsidR="00C52FFC">
        <w:t>1</w:t>
      </w:r>
      <w:r w:rsidR="00D345F6">
        <w:t>6</w:t>
      </w:r>
      <w:r w:rsidR="00AE7F32" w:rsidRPr="00C757C7">
        <w:t>.</w:t>
      </w:r>
      <w:bookmarkEnd w:id="15"/>
      <w:r w:rsidR="00E50DA0">
        <w:t xml:space="preserve"> Key findings for Cat</w:t>
      </w:r>
      <w:r w:rsidR="007841F1">
        <w:t>egory</w:t>
      </w:r>
      <w:r w:rsidR="00E50DA0">
        <w:t xml:space="preserve"> 1 Hydrology (channel) are not presented as they did not have specific Selected Area evaluation questions.</w:t>
      </w:r>
      <w:r w:rsidR="00DF01E1">
        <w:t xml:space="preserve"> Objectives and </w:t>
      </w:r>
      <w:r w:rsidR="00DF01E1" w:rsidRPr="00DF01E1">
        <w:t xml:space="preserve">Selected Area-specific </w:t>
      </w:r>
      <w:r w:rsidR="00DF01E1">
        <w:t>hypotheses for each indicator are provided in Appendix</w:t>
      </w:r>
      <w:r w:rsidR="001A3172">
        <w:t xml:space="preserve"> A</w:t>
      </w:r>
      <w:r w:rsidR="00DF01E1">
        <w:t>.</w:t>
      </w:r>
      <w:r w:rsidR="00E50DA0">
        <w:t xml:space="preserve"> </w:t>
      </w:r>
      <w:r w:rsidR="00144B26">
        <w:t>CEW =</w:t>
      </w:r>
      <w:r w:rsidR="007841F1">
        <w:t xml:space="preserve"> Commonwealth environmental water</w:t>
      </w:r>
      <w:bookmarkEnd w:id="16"/>
      <w:r w:rsidR="001E29E0">
        <w:t>, WPR = weir pool raising.</w:t>
      </w:r>
      <w:bookmarkEnd w:id="17"/>
      <w:r w:rsidR="00472745" w:rsidRPr="00C757C7">
        <w:t xml:space="preserve"> </w:t>
      </w:r>
    </w:p>
    <w:tbl>
      <w:tblPr>
        <w:tblpPr w:leftFromText="180" w:rightFromText="180" w:vertAnchor="text" w:horzAnchor="margin" w:tblpY="1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60" w:type="dxa"/>
          <w:bottom w:w="60" w:type="dxa"/>
        </w:tblCellMar>
        <w:tblLook w:val="0000" w:firstRow="0" w:lastRow="0" w:firstColumn="0" w:lastColumn="0" w:noHBand="0" w:noVBand="0"/>
      </w:tblPr>
      <w:tblGrid>
        <w:gridCol w:w="1411"/>
        <w:gridCol w:w="4537"/>
        <w:gridCol w:w="8002"/>
      </w:tblGrid>
      <w:tr w:rsidR="007544D1" w:rsidRPr="00B805F5" w14:paraId="37394614" w14:textId="77777777" w:rsidTr="00E26136">
        <w:trPr>
          <w:cantSplit/>
          <w:trHeight w:val="292"/>
          <w:tblHeader/>
        </w:trPr>
        <w:tc>
          <w:tcPr>
            <w:tcW w:w="506" w:type="pct"/>
          </w:tcPr>
          <w:p w14:paraId="6D43C371" w14:textId="77777777" w:rsidR="007544D1" w:rsidRPr="00472745" w:rsidRDefault="00472745" w:rsidP="007D5010">
            <w:pPr>
              <w:spacing w:before="0" w:after="0" w:line="240" w:lineRule="auto"/>
              <w:contextualSpacing/>
              <w:jc w:val="left"/>
              <w:rPr>
                <w:rFonts w:cs="Arial"/>
                <w:b/>
                <w:sz w:val="19"/>
                <w:szCs w:val="19"/>
              </w:rPr>
            </w:pPr>
            <w:r w:rsidRPr="00472745">
              <w:rPr>
                <w:rFonts w:cs="Arial"/>
                <w:b/>
                <w:sz w:val="19"/>
                <w:szCs w:val="19"/>
              </w:rPr>
              <w:t>INDICATORS</w:t>
            </w:r>
          </w:p>
        </w:tc>
        <w:tc>
          <w:tcPr>
            <w:tcW w:w="1626" w:type="pct"/>
          </w:tcPr>
          <w:p w14:paraId="5BADA895" w14:textId="77777777" w:rsidR="007544D1" w:rsidRPr="00B805F5" w:rsidRDefault="00712BEC" w:rsidP="007D5010">
            <w:pPr>
              <w:spacing w:before="0" w:after="0" w:line="240" w:lineRule="auto"/>
              <w:contextualSpacing/>
              <w:jc w:val="left"/>
              <w:rPr>
                <w:rFonts w:cs="Arial"/>
                <w:b/>
                <w:sz w:val="19"/>
                <w:szCs w:val="19"/>
              </w:rPr>
            </w:pPr>
            <w:r w:rsidRPr="00B805F5">
              <w:rPr>
                <w:rFonts w:cs="Arial"/>
                <w:b/>
                <w:sz w:val="19"/>
                <w:szCs w:val="19"/>
              </w:rPr>
              <w:t>CEWO SHORT-TERM</w:t>
            </w:r>
            <w:r w:rsidR="00DE771F" w:rsidRPr="00B805F5">
              <w:rPr>
                <w:rFonts w:cs="Arial"/>
                <w:b/>
                <w:sz w:val="19"/>
                <w:szCs w:val="19"/>
              </w:rPr>
              <w:t xml:space="preserve"> EVALUATION QUESTIONS </w:t>
            </w:r>
            <w:r w:rsidR="00266582" w:rsidRPr="00B805F5">
              <w:rPr>
                <w:rFonts w:cs="Arial"/>
                <w:b/>
                <w:sz w:val="19"/>
                <w:szCs w:val="19"/>
              </w:rPr>
              <w:t>AND ANSWERS</w:t>
            </w:r>
          </w:p>
        </w:tc>
        <w:tc>
          <w:tcPr>
            <w:tcW w:w="2868" w:type="pct"/>
          </w:tcPr>
          <w:p w14:paraId="30293093" w14:textId="77777777" w:rsidR="007544D1" w:rsidRPr="00B805F5" w:rsidRDefault="007544D1" w:rsidP="007D5010">
            <w:pPr>
              <w:spacing w:before="0" w:after="0" w:line="240" w:lineRule="auto"/>
              <w:contextualSpacing/>
              <w:jc w:val="left"/>
              <w:rPr>
                <w:rFonts w:cs="Arial"/>
                <w:b/>
                <w:sz w:val="19"/>
                <w:szCs w:val="19"/>
              </w:rPr>
            </w:pPr>
            <w:r w:rsidRPr="00B805F5">
              <w:rPr>
                <w:rFonts w:cs="Arial"/>
                <w:b/>
                <w:sz w:val="19"/>
                <w:szCs w:val="19"/>
              </w:rPr>
              <w:t>KEY FINDINGS</w:t>
            </w:r>
          </w:p>
        </w:tc>
      </w:tr>
      <w:tr w:rsidR="007544D1" w:rsidRPr="00494269" w14:paraId="03ABA1C9" w14:textId="77777777" w:rsidTr="00E26136">
        <w:trPr>
          <w:cantSplit/>
          <w:trHeight w:val="292"/>
        </w:trPr>
        <w:tc>
          <w:tcPr>
            <w:tcW w:w="506" w:type="pct"/>
            <w:shd w:val="clear" w:color="auto" w:fill="FFFFFF"/>
          </w:tcPr>
          <w:p w14:paraId="2B423C77" w14:textId="77777777" w:rsidR="007544D1" w:rsidRPr="00494269" w:rsidRDefault="007544D1" w:rsidP="007D5010">
            <w:pPr>
              <w:spacing w:line="276" w:lineRule="auto"/>
              <w:contextualSpacing/>
              <w:jc w:val="left"/>
              <w:rPr>
                <w:rFonts w:cs="Arial"/>
                <w:b/>
                <w:sz w:val="18"/>
                <w:szCs w:val="18"/>
              </w:rPr>
            </w:pPr>
            <w:r w:rsidRPr="00494269">
              <w:rPr>
                <w:rFonts w:cs="Arial"/>
                <w:b/>
                <w:sz w:val="18"/>
                <w:szCs w:val="18"/>
              </w:rPr>
              <w:t>Cat</w:t>
            </w:r>
            <w:r w:rsidR="00E23B44" w:rsidRPr="00494269">
              <w:rPr>
                <w:rFonts w:cs="Arial"/>
                <w:b/>
                <w:sz w:val="18"/>
                <w:szCs w:val="18"/>
              </w:rPr>
              <w:t>egory</w:t>
            </w:r>
            <w:r w:rsidRPr="00494269">
              <w:rPr>
                <w:rFonts w:cs="Arial"/>
                <w:b/>
                <w:sz w:val="18"/>
                <w:szCs w:val="18"/>
              </w:rPr>
              <w:t xml:space="preserve"> 1: Stream Metabolism</w:t>
            </w:r>
          </w:p>
        </w:tc>
        <w:tc>
          <w:tcPr>
            <w:tcW w:w="1626" w:type="pct"/>
            <w:shd w:val="clear" w:color="auto" w:fill="FFFFFF"/>
          </w:tcPr>
          <w:p w14:paraId="57A61CAD" w14:textId="77777777" w:rsidR="00841B70" w:rsidRPr="00494269" w:rsidRDefault="00841B70" w:rsidP="00841B70">
            <w:pPr>
              <w:pStyle w:val="PlainText"/>
              <w:spacing w:line="276" w:lineRule="auto"/>
              <w:jc w:val="left"/>
              <w:rPr>
                <w:rFonts w:ascii="Century Gothic" w:hAnsi="Century Gothic" w:cs="Arial"/>
                <w:sz w:val="18"/>
                <w:szCs w:val="18"/>
              </w:rPr>
            </w:pPr>
            <w:r w:rsidRPr="00494269">
              <w:rPr>
                <w:rFonts w:ascii="Century Gothic" w:hAnsi="Century Gothic" w:cs="Arial"/>
                <w:sz w:val="18"/>
                <w:szCs w:val="18"/>
              </w:rPr>
              <w:t>What did CEW contribute to:</w:t>
            </w:r>
          </w:p>
          <w:p w14:paraId="11EFD029" w14:textId="450417CA" w:rsidR="00841B70" w:rsidRPr="00B119D0" w:rsidRDefault="00841B70" w:rsidP="00B119D0">
            <w:pPr>
              <w:pStyle w:val="PlainText"/>
              <w:numPr>
                <w:ilvl w:val="0"/>
                <w:numId w:val="11"/>
              </w:numPr>
              <w:spacing w:line="276" w:lineRule="auto"/>
              <w:ind w:left="360"/>
              <w:contextualSpacing/>
              <w:jc w:val="left"/>
              <w:rPr>
                <w:rFonts w:ascii="Century Gothic" w:hAnsi="Century Gothic" w:cs="Arial"/>
                <w:sz w:val="18"/>
                <w:szCs w:val="18"/>
              </w:rPr>
            </w:pPr>
            <w:r w:rsidRPr="00B119D0">
              <w:rPr>
                <w:rFonts w:ascii="Century Gothic" w:hAnsi="Century Gothic" w:cs="Arial"/>
                <w:sz w:val="18"/>
                <w:szCs w:val="18"/>
              </w:rPr>
              <w:t>Patterns and rates of primary productivity and decomposition?</w:t>
            </w:r>
          </w:p>
          <w:p w14:paraId="325FD058" w14:textId="5C025D97" w:rsidR="006414C5" w:rsidRDefault="0013353E" w:rsidP="006414C5">
            <w:pPr>
              <w:pStyle w:val="PlainText"/>
              <w:spacing w:line="276" w:lineRule="auto"/>
              <w:ind w:left="360"/>
              <w:contextualSpacing/>
              <w:jc w:val="left"/>
              <w:rPr>
                <w:rFonts w:ascii="Century Gothic" w:hAnsi="Century Gothic" w:cs="Arial"/>
                <w:color w:val="0070C0"/>
                <w:sz w:val="18"/>
                <w:szCs w:val="18"/>
              </w:rPr>
            </w:pPr>
            <w:r>
              <w:rPr>
                <w:rFonts w:ascii="Century Gothic" w:hAnsi="Century Gothic" w:cs="Arial"/>
                <w:color w:val="0070C0"/>
                <w:sz w:val="18"/>
                <w:szCs w:val="18"/>
              </w:rPr>
              <w:t xml:space="preserve">There were </w:t>
            </w:r>
            <w:r w:rsidR="006414C5">
              <w:rPr>
                <w:rFonts w:ascii="Century Gothic" w:hAnsi="Century Gothic" w:cs="Arial"/>
                <w:color w:val="0070C0"/>
                <w:sz w:val="18"/>
                <w:szCs w:val="18"/>
              </w:rPr>
              <w:t xml:space="preserve">enhanced </w:t>
            </w:r>
            <w:r w:rsidR="006414C5" w:rsidRPr="00494269">
              <w:rPr>
                <w:rFonts w:ascii="Century Gothic" w:hAnsi="Century Gothic" w:cs="Arial"/>
                <w:color w:val="0070C0"/>
                <w:sz w:val="18"/>
                <w:szCs w:val="18"/>
              </w:rPr>
              <w:t>gross primary production</w:t>
            </w:r>
            <w:r w:rsidR="006414C5">
              <w:rPr>
                <w:rFonts w:ascii="Century Gothic" w:hAnsi="Century Gothic" w:cs="Arial"/>
                <w:color w:val="0070C0"/>
                <w:sz w:val="18"/>
                <w:szCs w:val="18"/>
              </w:rPr>
              <w:t xml:space="preserve"> and respiration rates</w:t>
            </w:r>
            <w:r w:rsidR="00DD02F9">
              <w:rPr>
                <w:rFonts w:ascii="Century Gothic" w:hAnsi="Century Gothic" w:cs="Arial"/>
                <w:color w:val="0070C0"/>
                <w:sz w:val="18"/>
                <w:szCs w:val="18"/>
              </w:rPr>
              <w:t xml:space="preserve"> associated </w:t>
            </w:r>
            <w:r w:rsidR="000F2E4A">
              <w:rPr>
                <w:rFonts w:ascii="Century Gothic" w:hAnsi="Century Gothic" w:cs="Arial"/>
                <w:color w:val="0070C0"/>
                <w:sz w:val="18"/>
                <w:szCs w:val="18"/>
              </w:rPr>
              <w:t>with</w:t>
            </w:r>
            <w:r w:rsidR="00DD02F9">
              <w:rPr>
                <w:rFonts w:ascii="Century Gothic" w:hAnsi="Century Gothic" w:cs="Arial"/>
                <w:color w:val="0070C0"/>
                <w:sz w:val="18"/>
                <w:szCs w:val="18"/>
              </w:rPr>
              <w:t xml:space="preserve"> WPR in Weir Pool 5 and return flows from Chowilla, both of which were supported by CEW</w:t>
            </w:r>
            <w:r w:rsidR="006414C5" w:rsidRPr="00494269">
              <w:rPr>
                <w:rFonts w:ascii="Century Gothic" w:hAnsi="Century Gothic" w:cs="Arial"/>
                <w:color w:val="0070C0"/>
                <w:sz w:val="18"/>
                <w:szCs w:val="18"/>
              </w:rPr>
              <w:t xml:space="preserve">. </w:t>
            </w:r>
            <w:r w:rsidR="006414C5">
              <w:rPr>
                <w:rFonts w:ascii="Century Gothic" w:hAnsi="Century Gothic" w:cs="Arial"/>
                <w:color w:val="0070C0"/>
                <w:sz w:val="18"/>
                <w:szCs w:val="18"/>
              </w:rPr>
              <w:t>Integrated e</w:t>
            </w:r>
            <w:r w:rsidR="006414C5" w:rsidRPr="00494269">
              <w:rPr>
                <w:rFonts w:ascii="Century Gothic" w:hAnsi="Century Gothic" w:cs="Arial"/>
                <w:color w:val="0070C0"/>
                <w:sz w:val="18"/>
                <w:szCs w:val="18"/>
              </w:rPr>
              <w:t xml:space="preserve">cosystem net production </w:t>
            </w:r>
            <w:r w:rsidR="006414C5">
              <w:rPr>
                <w:rFonts w:ascii="Century Gothic" w:hAnsi="Century Gothic" w:cs="Arial"/>
                <w:color w:val="0070C0"/>
                <w:sz w:val="18"/>
                <w:szCs w:val="18"/>
              </w:rPr>
              <w:t>was</w:t>
            </w:r>
            <w:r w:rsidR="002D154C">
              <w:rPr>
                <w:rFonts w:ascii="Century Gothic" w:hAnsi="Century Gothic" w:cs="Arial"/>
                <w:color w:val="0070C0"/>
                <w:sz w:val="18"/>
                <w:szCs w:val="18"/>
              </w:rPr>
              <w:t xml:space="preserve"> near</w:t>
            </w:r>
            <w:r w:rsidR="006414C5" w:rsidRPr="00494269">
              <w:rPr>
                <w:rFonts w:ascii="Century Gothic" w:hAnsi="Century Gothic" w:cs="Arial"/>
                <w:color w:val="0070C0"/>
                <w:sz w:val="18"/>
                <w:szCs w:val="18"/>
              </w:rPr>
              <w:t xml:space="preserve"> zero</w:t>
            </w:r>
            <w:r w:rsidR="006414C5">
              <w:rPr>
                <w:rFonts w:ascii="Century Gothic" w:hAnsi="Century Gothic" w:cs="Arial"/>
                <w:color w:val="0070C0"/>
                <w:sz w:val="18"/>
                <w:szCs w:val="18"/>
              </w:rPr>
              <w:t>,</w:t>
            </w:r>
            <w:r w:rsidR="006414C5" w:rsidRPr="00494269">
              <w:rPr>
                <w:rFonts w:ascii="Century Gothic" w:hAnsi="Century Gothic" w:cs="Arial"/>
                <w:color w:val="0070C0"/>
                <w:sz w:val="18"/>
                <w:szCs w:val="18"/>
              </w:rPr>
              <w:t xml:space="preserve"> </w:t>
            </w:r>
            <w:r w:rsidR="006414C5">
              <w:rPr>
                <w:rFonts w:ascii="Century Gothic" w:hAnsi="Century Gothic" w:cs="Arial"/>
                <w:color w:val="0070C0"/>
                <w:sz w:val="18"/>
                <w:szCs w:val="18"/>
              </w:rPr>
              <w:t>indicating</w:t>
            </w:r>
            <w:r w:rsidR="006414C5" w:rsidRPr="00494269">
              <w:rPr>
                <w:rFonts w:ascii="Century Gothic" w:hAnsi="Century Gothic" w:cs="Arial"/>
                <w:color w:val="0070C0"/>
                <w:sz w:val="18"/>
                <w:szCs w:val="18"/>
              </w:rPr>
              <w:t xml:space="preserve"> </w:t>
            </w:r>
            <w:r w:rsidR="006414C5">
              <w:rPr>
                <w:rFonts w:ascii="Century Gothic" w:hAnsi="Century Gothic" w:cs="Arial"/>
                <w:color w:val="0070C0"/>
                <w:sz w:val="18"/>
                <w:szCs w:val="18"/>
              </w:rPr>
              <w:t xml:space="preserve">that organic material was derived from aquatic production with little enhancement from external supplies that could have further increased food supplies. </w:t>
            </w:r>
          </w:p>
          <w:p w14:paraId="2EB96AA6" w14:textId="77777777" w:rsidR="00841B70" w:rsidRPr="00494269" w:rsidRDefault="00841B70" w:rsidP="00841B70">
            <w:pPr>
              <w:pStyle w:val="PlainText"/>
              <w:numPr>
                <w:ilvl w:val="0"/>
                <w:numId w:val="11"/>
              </w:numPr>
              <w:spacing w:line="276" w:lineRule="auto"/>
              <w:ind w:left="360"/>
              <w:contextualSpacing/>
              <w:jc w:val="left"/>
              <w:rPr>
                <w:rFonts w:ascii="Century Gothic" w:hAnsi="Century Gothic" w:cs="Arial"/>
                <w:b/>
                <w:sz w:val="18"/>
                <w:szCs w:val="18"/>
              </w:rPr>
            </w:pPr>
            <w:r>
              <w:rPr>
                <w:rFonts w:ascii="Century Gothic" w:hAnsi="Century Gothic" w:cs="Arial"/>
                <w:sz w:val="18"/>
                <w:szCs w:val="18"/>
              </w:rPr>
              <w:t>Di</w:t>
            </w:r>
            <w:r w:rsidRPr="00494269">
              <w:rPr>
                <w:rFonts w:ascii="Century Gothic" w:hAnsi="Century Gothic" w:cs="Arial"/>
                <w:sz w:val="18"/>
                <w:szCs w:val="18"/>
              </w:rPr>
              <w:t>ssolved oxygen levels?</w:t>
            </w:r>
          </w:p>
          <w:p w14:paraId="19D738C1" w14:textId="62630594" w:rsidR="00E4020C" w:rsidRPr="00DA5321" w:rsidRDefault="001A3BBB" w:rsidP="00C364DB">
            <w:pPr>
              <w:pStyle w:val="PlainText"/>
              <w:spacing w:line="276" w:lineRule="auto"/>
              <w:ind w:left="360"/>
              <w:contextualSpacing/>
              <w:jc w:val="left"/>
              <w:rPr>
                <w:rFonts w:ascii="Times New Roman" w:hAnsi="Times New Roman" w:cs="Arial"/>
                <w:b/>
                <w:sz w:val="18"/>
                <w:szCs w:val="18"/>
              </w:rPr>
            </w:pPr>
            <w:r w:rsidRPr="007D5010">
              <w:rPr>
                <w:rFonts w:ascii="Century Gothic" w:hAnsi="Century Gothic" w:cstheme="minorHAnsi"/>
                <w:color w:val="0070C0"/>
                <w:sz w:val="18"/>
                <w:szCs w:val="18"/>
              </w:rPr>
              <w:t xml:space="preserve">Oxygen concentrations </w:t>
            </w:r>
            <w:r>
              <w:rPr>
                <w:rFonts w:ascii="Century Gothic" w:hAnsi="Century Gothic" w:cstheme="minorHAnsi"/>
                <w:color w:val="0070C0"/>
                <w:sz w:val="18"/>
                <w:szCs w:val="18"/>
              </w:rPr>
              <w:t xml:space="preserve">did not </w:t>
            </w:r>
            <w:r w:rsidR="00C364DB">
              <w:rPr>
                <w:rFonts w:ascii="Century Gothic" w:hAnsi="Century Gothic" w:cstheme="minorHAnsi"/>
                <w:color w:val="0070C0"/>
                <w:sz w:val="18"/>
                <w:szCs w:val="18"/>
              </w:rPr>
              <w:t xml:space="preserve">fall </w:t>
            </w:r>
            <w:r>
              <w:rPr>
                <w:rFonts w:ascii="Century Gothic" w:hAnsi="Century Gothic" w:cstheme="minorHAnsi"/>
                <w:color w:val="0070C0"/>
                <w:sz w:val="18"/>
                <w:szCs w:val="18"/>
              </w:rPr>
              <w:t>below</w:t>
            </w:r>
            <w:r w:rsidRPr="007D5010">
              <w:rPr>
                <w:rFonts w:ascii="Century Gothic" w:hAnsi="Century Gothic" w:cstheme="minorHAnsi"/>
                <w:color w:val="0070C0"/>
                <w:sz w:val="18"/>
                <w:szCs w:val="18"/>
              </w:rPr>
              <w:t xml:space="preserve"> acceptable levels </w:t>
            </w:r>
            <w:r w:rsidR="00841B70" w:rsidRPr="007D5010">
              <w:rPr>
                <w:rFonts w:ascii="Century Gothic" w:hAnsi="Century Gothic" w:cstheme="minorHAnsi"/>
                <w:color w:val="0070C0"/>
                <w:sz w:val="18"/>
                <w:szCs w:val="18"/>
              </w:rPr>
              <w:t xml:space="preserve">(&gt;50% saturation). </w:t>
            </w:r>
          </w:p>
        </w:tc>
        <w:tc>
          <w:tcPr>
            <w:tcW w:w="2868" w:type="pct"/>
            <w:shd w:val="clear" w:color="auto" w:fill="FFFFFF"/>
          </w:tcPr>
          <w:p w14:paraId="217F6378" w14:textId="2DE4C9B6" w:rsidR="006414C5" w:rsidRDefault="00DD02F9" w:rsidP="006414C5">
            <w:pPr>
              <w:rPr>
                <w:rFonts w:cs="Arial"/>
                <w:sz w:val="18"/>
                <w:szCs w:val="18"/>
              </w:rPr>
            </w:pPr>
            <w:r>
              <w:rPr>
                <w:rFonts w:cs="Arial"/>
                <w:sz w:val="18"/>
                <w:szCs w:val="18"/>
              </w:rPr>
              <w:t xml:space="preserve">There was </w:t>
            </w:r>
            <w:r w:rsidR="006414C5">
              <w:rPr>
                <w:rFonts w:cs="Arial"/>
                <w:sz w:val="18"/>
                <w:szCs w:val="18"/>
              </w:rPr>
              <w:t xml:space="preserve">enhanced metabolic activity </w:t>
            </w:r>
            <w:r>
              <w:rPr>
                <w:rFonts w:cs="Arial"/>
                <w:sz w:val="18"/>
                <w:szCs w:val="18"/>
              </w:rPr>
              <w:t xml:space="preserve">associated with WPR in Weir Pool 5 and return flows from Chowilla, </w:t>
            </w:r>
            <w:r w:rsidR="006414C5">
              <w:rPr>
                <w:rFonts w:cs="Arial"/>
                <w:sz w:val="18"/>
                <w:szCs w:val="18"/>
              </w:rPr>
              <w:t>with potential benefits for food webs</w:t>
            </w:r>
            <w:r w:rsidR="006414C5" w:rsidRPr="00494269">
              <w:rPr>
                <w:rFonts w:cs="Arial"/>
                <w:sz w:val="18"/>
                <w:szCs w:val="18"/>
              </w:rPr>
              <w:t>.</w:t>
            </w:r>
            <w:r w:rsidR="006414C5">
              <w:rPr>
                <w:rFonts w:cs="Arial"/>
                <w:sz w:val="18"/>
                <w:szCs w:val="18"/>
              </w:rPr>
              <w:t xml:space="preserve"> Integrated ecosystem net production was near to zero, suggesting that the source of organic material was largely aquatic photoautotrophs with little enhancement from external supplies. </w:t>
            </w:r>
          </w:p>
          <w:p w14:paraId="2F17B488" w14:textId="0447886C" w:rsidR="006414C5" w:rsidRDefault="006414C5" w:rsidP="006414C5">
            <w:pPr>
              <w:rPr>
                <w:rFonts w:cs="Arial"/>
                <w:sz w:val="18"/>
                <w:szCs w:val="18"/>
              </w:rPr>
            </w:pPr>
            <w:r>
              <w:rPr>
                <w:rFonts w:cs="Arial"/>
                <w:sz w:val="18"/>
                <w:szCs w:val="18"/>
              </w:rPr>
              <w:t xml:space="preserve">Cycles of metabolic activity at the site below Lock 1 were due to probe </w:t>
            </w:r>
            <w:r w:rsidR="003E0968">
              <w:rPr>
                <w:rFonts w:cs="Arial"/>
                <w:sz w:val="18"/>
                <w:szCs w:val="18"/>
              </w:rPr>
              <w:t xml:space="preserve">error </w:t>
            </w:r>
            <w:r>
              <w:rPr>
                <w:rFonts w:cs="Arial"/>
                <w:sz w:val="18"/>
                <w:szCs w:val="18"/>
              </w:rPr>
              <w:t xml:space="preserve">(biofouling). </w:t>
            </w:r>
          </w:p>
          <w:p w14:paraId="3B759940" w14:textId="77777777" w:rsidR="006414C5" w:rsidRDefault="006414C5" w:rsidP="006414C5">
            <w:pPr>
              <w:jc w:val="left"/>
              <w:rPr>
                <w:rFonts w:cs="Arial"/>
                <w:sz w:val="18"/>
                <w:szCs w:val="18"/>
              </w:rPr>
            </w:pPr>
            <w:r>
              <w:rPr>
                <w:rFonts w:cs="Arial"/>
                <w:sz w:val="18"/>
                <w:szCs w:val="18"/>
              </w:rPr>
              <w:t>Progressive increases in metabolic activity over the whole monitoring season were related to changes in water quality, particularly continuous reductions in turbidity which influences the availability of sunlight in the water column. The reason for the turbidity reduction was not obvious but may be related to the different sources of water being supplied (e.g. Murrumbidgee River or Murray River water), or a shift in relative contributions from run-off and water storages. Further analyses are required of upstream flow deliveries and turbidities to understand the role of water delivery in supporting the improved metabolic conditions.</w:t>
            </w:r>
          </w:p>
          <w:p w14:paraId="39DF5DAE" w14:textId="77777777" w:rsidR="00E10471" w:rsidRDefault="006414C5" w:rsidP="006414C5">
            <w:pPr>
              <w:jc w:val="left"/>
              <w:rPr>
                <w:rFonts w:cs="Arial"/>
                <w:sz w:val="18"/>
                <w:szCs w:val="18"/>
              </w:rPr>
            </w:pPr>
            <w:r>
              <w:rPr>
                <w:rFonts w:cs="Arial"/>
                <w:sz w:val="18"/>
                <w:szCs w:val="18"/>
              </w:rPr>
              <w:t>The quality of the environmental water was sufficient that its contribution to the flow conditions helped retain oxygen concentrations at acceptable levels.</w:t>
            </w:r>
          </w:p>
          <w:p w14:paraId="7F33DCD4" w14:textId="29850FE8" w:rsidR="00E26136" w:rsidRPr="00494269" w:rsidRDefault="00E26136" w:rsidP="006414C5">
            <w:pPr>
              <w:jc w:val="left"/>
              <w:rPr>
                <w:rFonts w:cs="Arial"/>
                <w:sz w:val="18"/>
                <w:szCs w:val="18"/>
              </w:rPr>
            </w:pPr>
          </w:p>
        </w:tc>
      </w:tr>
      <w:tr w:rsidR="00E064C2" w:rsidRPr="00494269" w14:paraId="64AC879B" w14:textId="77777777" w:rsidTr="00E26136">
        <w:trPr>
          <w:cantSplit/>
          <w:trHeight w:val="781"/>
        </w:trPr>
        <w:tc>
          <w:tcPr>
            <w:tcW w:w="506" w:type="pct"/>
            <w:tcBorders>
              <w:bottom w:val="single" w:sz="4" w:space="0" w:color="auto"/>
            </w:tcBorders>
            <w:shd w:val="clear" w:color="auto" w:fill="FFFFFF"/>
          </w:tcPr>
          <w:p w14:paraId="6A6A5DBB" w14:textId="77777777" w:rsidR="00E064C2" w:rsidRPr="00494269" w:rsidRDefault="00EC5986" w:rsidP="007D5010">
            <w:pPr>
              <w:spacing w:line="276" w:lineRule="auto"/>
              <w:contextualSpacing/>
              <w:jc w:val="left"/>
              <w:rPr>
                <w:rFonts w:cs="Arial"/>
                <w:b/>
                <w:sz w:val="18"/>
                <w:szCs w:val="18"/>
              </w:rPr>
            </w:pPr>
            <w:r w:rsidRPr="00494269">
              <w:rPr>
                <w:rFonts w:cs="Arial"/>
                <w:b/>
                <w:sz w:val="18"/>
                <w:szCs w:val="18"/>
              </w:rPr>
              <w:lastRenderedPageBreak/>
              <w:t>Category 1: Fish (channel)</w:t>
            </w:r>
          </w:p>
        </w:tc>
        <w:tc>
          <w:tcPr>
            <w:tcW w:w="1626" w:type="pct"/>
            <w:tcBorders>
              <w:bottom w:val="single" w:sz="4" w:space="0" w:color="auto"/>
            </w:tcBorders>
            <w:shd w:val="clear" w:color="auto" w:fill="FFFFFF"/>
          </w:tcPr>
          <w:p w14:paraId="0D9AB43D" w14:textId="776A6853" w:rsidR="00E064C2" w:rsidRPr="00494269" w:rsidRDefault="009E7831" w:rsidP="007D5010">
            <w:pPr>
              <w:pStyle w:val="PlainText"/>
              <w:spacing w:line="276" w:lineRule="auto"/>
              <w:jc w:val="left"/>
              <w:rPr>
                <w:rFonts w:ascii="Century Gothic" w:hAnsi="Century Gothic" w:cs="Arial"/>
                <w:sz w:val="18"/>
                <w:szCs w:val="18"/>
              </w:rPr>
            </w:pPr>
            <w:r>
              <w:rPr>
                <w:rFonts w:ascii="Century Gothic" w:hAnsi="Century Gothic" w:cs="Arial"/>
                <w:sz w:val="18"/>
                <w:szCs w:val="18"/>
              </w:rPr>
              <w:t>The contribution of CEW to native fish survival and community resilience was evaluated at the Basin-scale level. At the local scale, data from this indicator answered</w:t>
            </w:r>
            <w:r w:rsidR="005E502C">
              <w:rPr>
                <w:rFonts w:ascii="Century Gothic" w:hAnsi="Century Gothic" w:cs="Arial"/>
                <w:sz w:val="18"/>
                <w:szCs w:val="18"/>
              </w:rPr>
              <w:t xml:space="preserve"> </w:t>
            </w:r>
            <w:r w:rsidR="00C364DB">
              <w:rPr>
                <w:rFonts w:ascii="Century Gothic" w:hAnsi="Century Gothic" w:cs="Arial"/>
                <w:sz w:val="18"/>
                <w:szCs w:val="18"/>
              </w:rPr>
              <w:t xml:space="preserve">several </w:t>
            </w:r>
            <w:r w:rsidR="005E502C">
              <w:rPr>
                <w:rFonts w:ascii="Century Gothic" w:hAnsi="Century Gothic" w:cs="Arial"/>
                <w:sz w:val="18"/>
                <w:szCs w:val="18"/>
              </w:rPr>
              <w:t xml:space="preserve">evaluation questions from </w:t>
            </w:r>
            <w:r w:rsidR="0055023A">
              <w:rPr>
                <w:rFonts w:ascii="Century Gothic" w:hAnsi="Century Gothic" w:cs="Arial"/>
                <w:sz w:val="18"/>
                <w:szCs w:val="18"/>
              </w:rPr>
              <w:t>SA</w:t>
            </w:r>
            <w:r w:rsidR="005E502C">
              <w:rPr>
                <w:rFonts w:ascii="Century Gothic" w:hAnsi="Century Gothic" w:cs="Arial"/>
                <w:sz w:val="18"/>
                <w:szCs w:val="18"/>
              </w:rPr>
              <w:t xml:space="preserve">’s Long Term </w:t>
            </w:r>
            <w:r w:rsidR="00A057F0">
              <w:rPr>
                <w:rFonts w:ascii="Century Gothic" w:hAnsi="Century Gothic" w:cs="Arial"/>
                <w:sz w:val="18"/>
                <w:szCs w:val="18"/>
              </w:rPr>
              <w:t xml:space="preserve">Environmental </w:t>
            </w:r>
            <w:r w:rsidR="005E502C">
              <w:rPr>
                <w:rFonts w:ascii="Century Gothic" w:hAnsi="Century Gothic" w:cs="Arial"/>
                <w:sz w:val="18"/>
                <w:szCs w:val="18"/>
              </w:rPr>
              <w:t xml:space="preserve">Watering Plan (Appendix </w:t>
            </w:r>
            <w:r w:rsidR="00A22FED">
              <w:rPr>
                <w:rFonts w:ascii="Century Gothic" w:hAnsi="Century Gothic" w:cs="Arial"/>
                <w:sz w:val="18"/>
                <w:szCs w:val="18"/>
              </w:rPr>
              <w:t>I</w:t>
            </w:r>
            <w:r w:rsidR="005E502C">
              <w:rPr>
                <w:rFonts w:ascii="Century Gothic" w:hAnsi="Century Gothic" w:cs="Arial"/>
                <w:sz w:val="18"/>
                <w:szCs w:val="18"/>
              </w:rPr>
              <w:t>).</w:t>
            </w:r>
          </w:p>
        </w:tc>
        <w:tc>
          <w:tcPr>
            <w:tcW w:w="2868" w:type="pct"/>
            <w:tcBorders>
              <w:bottom w:val="single" w:sz="4" w:space="0" w:color="auto"/>
            </w:tcBorders>
            <w:shd w:val="clear" w:color="auto" w:fill="FFFFFF"/>
          </w:tcPr>
          <w:p w14:paraId="2BC0F62B" w14:textId="48312CAA" w:rsidR="00F35B0B" w:rsidRPr="00F35B0B" w:rsidRDefault="00F35B0B" w:rsidP="007D5010">
            <w:pPr>
              <w:jc w:val="left"/>
              <w:rPr>
                <w:rFonts w:cs="Arial"/>
                <w:sz w:val="18"/>
                <w:szCs w:val="18"/>
              </w:rPr>
            </w:pPr>
            <w:r>
              <w:rPr>
                <w:rFonts w:cs="Arial"/>
                <w:sz w:val="18"/>
                <w:szCs w:val="18"/>
              </w:rPr>
              <w:t>S</w:t>
            </w:r>
            <w:r w:rsidRPr="00F35B0B">
              <w:rPr>
                <w:rFonts w:cs="Arial"/>
                <w:sz w:val="18"/>
                <w:szCs w:val="18"/>
              </w:rPr>
              <w:t xml:space="preserve">mall-bodied fish abundance and diversity remained high in 2015/16, </w:t>
            </w:r>
            <w:r w:rsidR="00527F6C">
              <w:rPr>
                <w:rFonts w:cs="Arial"/>
                <w:sz w:val="18"/>
                <w:szCs w:val="18"/>
              </w:rPr>
              <w:t xml:space="preserve">while there was </w:t>
            </w:r>
            <w:r w:rsidRPr="00F35B0B">
              <w:rPr>
                <w:rFonts w:cs="Arial"/>
                <w:sz w:val="18"/>
                <w:szCs w:val="18"/>
              </w:rPr>
              <w:t xml:space="preserve">an increase in </w:t>
            </w:r>
            <w:r w:rsidR="00527F6C">
              <w:rPr>
                <w:rFonts w:cs="Arial"/>
                <w:sz w:val="18"/>
                <w:szCs w:val="18"/>
              </w:rPr>
              <w:t xml:space="preserve">the abundances of </w:t>
            </w:r>
            <w:r w:rsidRPr="00F35B0B">
              <w:rPr>
                <w:rFonts w:cs="Arial"/>
                <w:sz w:val="18"/>
                <w:szCs w:val="18"/>
              </w:rPr>
              <w:t xml:space="preserve">exotic goldfish and common carp, </w:t>
            </w:r>
            <w:r w:rsidR="00527F6C">
              <w:rPr>
                <w:rFonts w:cs="Arial"/>
                <w:sz w:val="18"/>
                <w:szCs w:val="18"/>
              </w:rPr>
              <w:t xml:space="preserve">and a decrease in </w:t>
            </w:r>
            <w:r w:rsidR="00C364DB">
              <w:rPr>
                <w:rFonts w:cs="Arial"/>
                <w:sz w:val="18"/>
                <w:szCs w:val="18"/>
              </w:rPr>
              <w:t xml:space="preserve">native </w:t>
            </w:r>
            <w:r w:rsidR="00527F6C">
              <w:rPr>
                <w:rFonts w:cs="Arial"/>
                <w:sz w:val="18"/>
                <w:szCs w:val="18"/>
              </w:rPr>
              <w:t>bony herring</w:t>
            </w:r>
            <w:r>
              <w:rPr>
                <w:rFonts w:cs="Arial"/>
                <w:sz w:val="18"/>
                <w:szCs w:val="18"/>
              </w:rPr>
              <w:t>, relative to 2014/15</w:t>
            </w:r>
            <w:r w:rsidRPr="00F35B0B">
              <w:rPr>
                <w:rFonts w:cs="Arial"/>
                <w:sz w:val="18"/>
                <w:szCs w:val="18"/>
              </w:rPr>
              <w:t xml:space="preserve">. </w:t>
            </w:r>
          </w:p>
          <w:p w14:paraId="030151D2" w14:textId="68C7515D" w:rsidR="00E064C2" w:rsidRPr="00F35B0B" w:rsidRDefault="00F35B0B" w:rsidP="007D5010">
            <w:pPr>
              <w:jc w:val="left"/>
              <w:rPr>
                <w:rFonts w:cs="Arial"/>
                <w:sz w:val="18"/>
                <w:szCs w:val="18"/>
              </w:rPr>
            </w:pPr>
            <w:r w:rsidRPr="00F35B0B">
              <w:rPr>
                <w:rFonts w:cs="Arial"/>
                <w:sz w:val="18"/>
                <w:szCs w:val="18"/>
              </w:rPr>
              <w:t>Based on length frequency data, there was no recruitment (to age 0+) of golden perch, silver perch or</w:t>
            </w:r>
            <w:r>
              <w:rPr>
                <w:rFonts w:cs="Arial"/>
                <w:sz w:val="18"/>
                <w:szCs w:val="18"/>
              </w:rPr>
              <w:t xml:space="preserve"> freshwater catfish in 2015/16</w:t>
            </w:r>
            <w:r w:rsidRPr="00F35B0B">
              <w:rPr>
                <w:rFonts w:cs="Arial"/>
                <w:sz w:val="18"/>
                <w:szCs w:val="18"/>
              </w:rPr>
              <w:t xml:space="preserve">. The absence of recruitment of golden perch and silver perch in association with the </w:t>
            </w:r>
            <w:r w:rsidR="00F54716">
              <w:rPr>
                <w:rFonts w:cs="Arial"/>
                <w:sz w:val="18"/>
                <w:szCs w:val="18"/>
              </w:rPr>
              <w:t>2015/16 flow regime</w:t>
            </w:r>
            <w:r w:rsidRPr="00F35B0B">
              <w:rPr>
                <w:rFonts w:cs="Arial"/>
                <w:sz w:val="18"/>
                <w:szCs w:val="18"/>
              </w:rPr>
              <w:t xml:space="preserve"> (i.e. low, stable flows) is consistent with our contemporary understanding of the life histories of these flow-cued spawners. For the second consecuti</w:t>
            </w:r>
            <w:r w:rsidR="00ED2F12">
              <w:rPr>
                <w:rFonts w:cs="Arial"/>
                <w:sz w:val="18"/>
                <w:szCs w:val="18"/>
              </w:rPr>
              <w:t>ve year, small Murray cod (&lt;150 </w:t>
            </w:r>
            <w:r w:rsidRPr="00F35B0B">
              <w:rPr>
                <w:rFonts w:cs="Arial"/>
                <w:sz w:val="18"/>
                <w:szCs w:val="18"/>
              </w:rPr>
              <w:t>mm TL, likely age 0+) were sampled in the LMR Selected</w:t>
            </w:r>
            <w:r w:rsidR="00527F6C">
              <w:rPr>
                <w:rFonts w:cs="Arial"/>
                <w:sz w:val="18"/>
                <w:szCs w:val="18"/>
              </w:rPr>
              <w:t xml:space="preserve"> Area during 2015/16</w:t>
            </w:r>
            <w:r w:rsidRPr="00F35B0B">
              <w:rPr>
                <w:rFonts w:cs="Arial"/>
                <w:sz w:val="18"/>
                <w:szCs w:val="18"/>
              </w:rPr>
              <w:t>, indicating successful recruitment. Furthermore, there was persistence o</w:t>
            </w:r>
            <w:r>
              <w:rPr>
                <w:rFonts w:cs="Arial"/>
                <w:sz w:val="18"/>
                <w:szCs w:val="18"/>
              </w:rPr>
              <w:t xml:space="preserve">f the age 0+ cohort </w:t>
            </w:r>
            <w:r w:rsidRPr="00F35B0B">
              <w:rPr>
                <w:rFonts w:cs="Arial"/>
                <w:sz w:val="18"/>
                <w:szCs w:val="18"/>
              </w:rPr>
              <w:t>from 2014/15 as age 1+ in 2015/16. The mechanisms behind the recruitment of cohorts of Murray cod from 20</w:t>
            </w:r>
            <w:r w:rsidR="00527F6C">
              <w:rPr>
                <w:rFonts w:cs="Arial"/>
                <w:sz w:val="18"/>
                <w:szCs w:val="18"/>
              </w:rPr>
              <w:t>14/15 and 2015/16</w:t>
            </w:r>
            <w:r w:rsidRPr="00F35B0B">
              <w:rPr>
                <w:rFonts w:cs="Arial"/>
                <w:sz w:val="18"/>
                <w:szCs w:val="18"/>
              </w:rPr>
              <w:t xml:space="preserve"> remain unclear.</w:t>
            </w:r>
          </w:p>
        </w:tc>
      </w:tr>
      <w:tr w:rsidR="00A857C8" w:rsidRPr="00494269" w14:paraId="2018F496" w14:textId="77777777" w:rsidTr="00E26136">
        <w:trPr>
          <w:cantSplit/>
          <w:trHeight w:val="624"/>
        </w:trPr>
        <w:tc>
          <w:tcPr>
            <w:tcW w:w="506" w:type="pct"/>
            <w:tcBorders>
              <w:bottom w:val="single" w:sz="4" w:space="0" w:color="auto"/>
            </w:tcBorders>
            <w:shd w:val="clear" w:color="auto" w:fill="FFFFFF"/>
          </w:tcPr>
          <w:p w14:paraId="49DB267E" w14:textId="54622F1C" w:rsidR="00A857C8" w:rsidRPr="00494269" w:rsidRDefault="00A857C8" w:rsidP="007D5010">
            <w:pPr>
              <w:spacing w:line="276" w:lineRule="auto"/>
              <w:contextualSpacing/>
              <w:jc w:val="left"/>
              <w:rPr>
                <w:rFonts w:cs="Arial"/>
                <w:b/>
                <w:sz w:val="18"/>
                <w:szCs w:val="18"/>
              </w:rPr>
            </w:pPr>
            <w:r w:rsidRPr="00494269">
              <w:rPr>
                <w:rFonts w:cs="Arial"/>
                <w:b/>
                <w:sz w:val="18"/>
                <w:szCs w:val="18"/>
              </w:rPr>
              <w:t>Cat</w:t>
            </w:r>
            <w:r w:rsidR="00E23B44" w:rsidRPr="00494269">
              <w:rPr>
                <w:rFonts w:cs="Arial"/>
                <w:b/>
                <w:sz w:val="18"/>
                <w:szCs w:val="18"/>
              </w:rPr>
              <w:t>egory</w:t>
            </w:r>
            <w:r w:rsidR="00DC31B1" w:rsidRPr="00494269">
              <w:rPr>
                <w:rFonts w:cs="Arial"/>
                <w:b/>
                <w:sz w:val="18"/>
                <w:szCs w:val="18"/>
              </w:rPr>
              <w:t xml:space="preserve"> 3:  Hydrological Regime</w:t>
            </w:r>
            <w:r w:rsidR="00CB24DD">
              <w:rPr>
                <w:rFonts w:cs="Arial"/>
                <w:b/>
                <w:sz w:val="18"/>
                <w:szCs w:val="18"/>
              </w:rPr>
              <w:t>*</w:t>
            </w:r>
          </w:p>
        </w:tc>
        <w:tc>
          <w:tcPr>
            <w:tcW w:w="1626" w:type="pct"/>
            <w:tcBorders>
              <w:bottom w:val="single" w:sz="4" w:space="0" w:color="auto"/>
            </w:tcBorders>
            <w:shd w:val="clear" w:color="auto" w:fill="FFFFFF"/>
          </w:tcPr>
          <w:p w14:paraId="776090CD" w14:textId="77777777" w:rsidR="00A857C8" w:rsidRPr="00494269" w:rsidRDefault="00A857C8" w:rsidP="007D5010">
            <w:pPr>
              <w:pStyle w:val="PlainText"/>
              <w:spacing w:line="276" w:lineRule="auto"/>
              <w:jc w:val="left"/>
              <w:rPr>
                <w:rFonts w:ascii="Century Gothic" w:hAnsi="Century Gothic" w:cs="Arial"/>
                <w:sz w:val="18"/>
                <w:szCs w:val="18"/>
              </w:rPr>
            </w:pPr>
            <w:r w:rsidRPr="00494269">
              <w:rPr>
                <w:rFonts w:ascii="Century Gothic" w:hAnsi="Century Gothic" w:cs="Arial"/>
                <w:sz w:val="18"/>
                <w:szCs w:val="18"/>
              </w:rPr>
              <w:t>What did CEW contribute to:</w:t>
            </w:r>
          </w:p>
          <w:p w14:paraId="4EA0114B" w14:textId="240DBE25" w:rsidR="00C94554" w:rsidRPr="00494269" w:rsidRDefault="00527F6C" w:rsidP="007D5010">
            <w:pPr>
              <w:pStyle w:val="PlainText"/>
              <w:numPr>
                <w:ilvl w:val="0"/>
                <w:numId w:val="11"/>
              </w:numPr>
              <w:spacing w:line="276" w:lineRule="auto"/>
              <w:ind w:left="357" w:hanging="357"/>
              <w:contextualSpacing/>
              <w:jc w:val="left"/>
              <w:rPr>
                <w:rFonts w:ascii="Century Gothic" w:hAnsi="Century Gothic" w:cs="Arial"/>
                <w:sz w:val="18"/>
                <w:szCs w:val="18"/>
              </w:rPr>
            </w:pPr>
            <w:r>
              <w:rPr>
                <w:rFonts w:ascii="Century Gothic" w:hAnsi="Century Gothic" w:cs="Arial"/>
                <w:sz w:val="18"/>
                <w:szCs w:val="18"/>
              </w:rPr>
              <w:t>H</w:t>
            </w:r>
            <w:r w:rsidR="00C94554" w:rsidRPr="00494269">
              <w:rPr>
                <w:rFonts w:ascii="Century Gothic" w:hAnsi="Century Gothic" w:cs="Arial"/>
                <w:sz w:val="18"/>
                <w:szCs w:val="18"/>
              </w:rPr>
              <w:t>ydraulic diversity within weir pools?</w:t>
            </w:r>
          </w:p>
          <w:p w14:paraId="6DC437CB" w14:textId="039273F1" w:rsidR="00C94554" w:rsidRPr="00494269" w:rsidRDefault="008636A3" w:rsidP="007D5010">
            <w:pPr>
              <w:pStyle w:val="PlainText"/>
              <w:spacing w:line="276" w:lineRule="auto"/>
              <w:ind w:left="357"/>
              <w:contextualSpacing/>
              <w:jc w:val="left"/>
              <w:rPr>
                <w:rFonts w:ascii="Century Gothic" w:hAnsi="Century Gothic" w:cs="Arial"/>
                <w:color w:val="0070C0"/>
                <w:sz w:val="18"/>
                <w:szCs w:val="18"/>
              </w:rPr>
            </w:pPr>
            <w:r w:rsidRPr="00494269">
              <w:rPr>
                <w:rFonts w:ascii="Century Gothic" w:hAnsi="Century Gothic" w:cs="Arial"/>
                <w:color w:val="0070C0"/>
                <w:sz w:val="18"/>
                <w:szCs w:val="18"/>
              </w:rPr>
              <w:t>Increase</w:t>
            </w:r>
            <w:r>
              <w:rPr>
                <w:rFonts w:ascii="Century Gothic" w:hAnsi="Century Gothic" w:cs="Arial"/>
                <w:color w:val="0070C0"/>
                <w:sz w:val="18"/>
                <w:szCs w:val="18"/>
              </w:rPr>
              <w:t xml:space="preserve"> in weir pool </w:t>
            </w:r>
            <w:r w:rsidRPr="00494269">
              <w:rPr>
                <w:rFonts w:ascii="Century Gothic" w:hAnsi="Century Gothic" w:cs="Arial"/>
                <w:color w:val="0070C0"/>
                <w:sz w:val="18"/>
                <w:szCs w:val="18"/>
              </w:rPr>
              <w:t xml:space="preserve">median </w:t>
            </w:r>
            <w:r>
              <w:rPr>
                <w:rFonts w:ascii="Century Gothic" w:hAnsi="Century Gothic" w:cs="Arial"/>
                <w:color w:val="0070C0"/>
                <w:sz w:val="18"/>
                <w:szCs w:val="18"/>
              </w:rPr>
              <w:t xml:space="preserve">water </w:t>
            </w:r>
            <w:r w:rsidRPr="00494269">
              <w:rPr>
                <w:rFonts w:ascii="Century Gothic" w:hAnsi="Century Gothic" w:cs="Arial"/>
                <w:color w:val="0070C0"/>
                <w:sz w:val="18"/>
                <w:szCs w:val="18"/>
              </w:rPr>
              <w:t>velocit</w:t>
            </w:r>
            <w:r>
              <w:rPr>
                <w:rFonts w:ascii="Century Gothic" w:hAnsi="Century Gothic" w:cs="Arial"/>
                <w:color w:val="0070C0"/>
                <w:sz w:val="18"/>
                <w:szCs w:val="18"/>
              </w:rPr>
              <w:t xml:space="preserve">ies </w:t>
            </w:r>
            <w:r w:rsidR="00AA0FEF">
              <w:rPr>
                <w:rFonts w:ascii="Century Gothic" w:hAnsi="Century Gothic" w:cs="Arial"/>
                <w:color w:val="0070C0"/>
                <w:sz w:val="18"/>
                <w:szCs w:val="18"/>
              </w:rPr>
              <w:t>of ~</w:t>
            </w:r>
            <w:r w:rsidR="00AA0FEF" w:rsidRPr="00494269">
              <w:rPr>
                <w:rFonts w:ascii="Century Gothic" w:hAnsi="Century Gothic" w:cs="Arial"/>
                <w:color w:val="0070C0"/>
                <w:sz w:val="18"/>
                <w:szCs w:val="18"/>
              </w:rPr>
              <w:t>0.</w:t>
            </w:r>
            <w:r w:rsidR="00AA0FEF">
              <w:rPr>
                <w:rFonts w:ascii="Century Gothic" w:hAnsi="Century Gothic" w:cs="Arial"/>
                <w:color w:val="0070C0"/>
                <w:sz w:val="18"/>
                <w:szCs w:val="18"/>
              </w:rPr>
              <w:t>1</w:t>
            </w:r>
            <w:r w:rsidR="00AA0FEF" w:rsidRPr="00494269">
              <w:rPr>
                <w:rFonts w:ascii="Century Gothic" w:hAnsi="Century Gothic" w:cs="Arial"/>
                <w:color w:val="0070C0"/>
                <w:sz w:val="18"/>
                <w:szCs w:val="18"/>
              </w:rPr>
              <w:t> m s</w:t>
            </w:r>
            <w:r w:rsidR="00AA0FEF" w:rsidRPr="00494269">
              <w:rPr>
                <w:rFonts w:ascii="Century Gothic" w:hAnsi="Century Gothic" w:cs="Arial"/>
                <w:color w:val="0070C0"/>
                <w:sz w:val="18"/>
                <w:szCs w:val="18"/>
                <w:vertAlign w:val="superscript"/>
              </w:rPr>
              <w:noBreakHyphen/>
              <w:t>1</w:t>
            </w:r>
            <w:r w:rsidR="00AA0FEF" w:rsidRPr="00494269">
              <w:rPr>
                <w:rFonts w:ascii="Century Gothic" w:hAnsi="Century Gothic" w:cs="Arial"/>
                <w:color w:val="0070C0"/>
                <w:sz w:val="18"/>
                <w:szCs w:val="18"/>
              </w:rPr>
              <w:t xml:space="preserve"> </w:t>
            </w:r>
            <w:r w:rsidR="00AA0FEF">
              <w:rPr>
                <w:rFonts w:ascii="Century Gothic" w:hAnsi="Century Gothic" w:cs="Arial"/>
                <w:color w:val="0070C0"/>
                <w:sz w:val="18"/>
                <w:szCs w:val="18"/>
              </w:rPr>
              <w:t>during winter and spring</w:t>
            </w:r>
            <w:r w:rsidR="00AA0FEF" w:rsidRPr="00494269">
              <w:rPr>
                <w:rFonts w:ascii="Century Gothic" w:hAnsi="Century Gothic" w:cs="Arial"/>
                <w:color w:val="0070C0"/>
                <w:sz w:val="18"/>
                <w:szCs w:val="18"/>
              </w:rPr>
              <w:t xml:space="preserve"> compared to without </w:t>
            </w:r>
            <w:r w:rsidR="00AA0FEF" w:rsidRPr="00CA1E4D">
              <w:rPr>
                <w:rFonts w:ascii="Century Gothic" w:hAnsi="Century Gothic" w:cs="Arial"/>
                <w:color w:val="0070C0"/>
                <w:sz w:val="18"/>
                <w:szCs w:val="18"/>
              </w:rPr>
              <w:t>CEW</w:t>
            </w:r>
            <w:r w:rsidR="00C94554" w:rsidRPr="00CA1E4D">
              <w:rPr>
                <w:rFonts w:ascii="Century Gothic" w:hAnsi="Century Gothic" w:cs="Arial"/>
                <w:color w:val="0070C0"/>
                <w:sz w:val="18"/>
                <w:szCs w:val="18"/>
              </w:rPr>
              <w:t xml:space="preserve">, with some </w:t>
            </w:r>
            <w:r w:rsidR="006875E4" w:rsidRPr="00CA1E4D">
              <w:rPr>
                <w:rFonts w:ascii="Century Gothic" w:hAnsi="Century Gothic" w:cs="Arial"/>
                <w:color w:val="0070C0"/>
                <w:sz w:val="18"/>
                <w:szCs w:val="18"/>
              </w:rPr>
              <w:t xml:space="preserve">cross sections in the weir pool </w:t>
            </w:r>
            <w:r w:rsidR="004D0CFF">
              <w:rPr>
                <w:rFonts w:ascii="Century Gothic" w:hAnsi="Century Gothic" w:cs="Arial"/>
                <w:color w:val="0070C0"/>
                <w:sz w:val="18"/>
                <w:szCs w:val="18"/>
              </w:rPr>
              <w:t xml:space="preserve">ranging </w:t>
            </w:r>
            <w:r w:rsidR="00B50BFE" w:rsidRPr="00CA1E4D">
              <w:rPr>
                <w:rFonts w:ascii="Century Gothic" w:hAnsi="Century Gothic" w:cs="Arial"/>
                <w:color w:val="0070C0"/>
                <w:sz w:val="18"/>
                <w:szCs w:val="18"/>
              </w:rPr>
              <w:t>0.1</w:t>
            </w:r>
            <w:r w:rsidR="001777BD" w:rsidRPr="00CA1E4D">
              <w:rPr>
                <w:rFonts w:ascii="Century Gothic" w:hAnsi="Century Gothic" w:cs="Arial"/>
                <w:color w:val="0070C0"/>
                <w:sz w:val="18"/>
                <w:szCs w:val="18"/>
              </w:rPr>
              <w:t>7</w:t>
            </w:r>
            <w:r w:rsidR="00B50BFE" w:rsidRPr="00CA1E4D">
              <w:rPr>
                <w:rFonts w:ascii="Century Gothic" w:hAnsi="Century Gothic" w:cs="Arial"/>
                <w:color w:val="0070C0"/>
                <w:sz w:val="18"/>
                <w:szCs w:val="18"/>
              </w:rPr>
              <w:t>–0.3 m s</w:t>
            </w:r>
            <w:r w:rsidR="00B50BFE" w:rsidRPr="00CA1E4D">
              <w:rPr>
                <w:rFonts w:ascii="Century Gothic" w:hAnsi="Century Gothic" w:cs="Arial"/>
                <w:color w:val="0070C0"/>
                <w:sz w:val="18"/>
                <w:szCs w:val="18"/>
                <w:vertAlign w:val="superscript"/>
              </w:rPr>
              <w:t>-1</w:t>
            </w:r>
            <w:r w:rsidR="00B50BFE" w:rsidRPr="00CA1E4D">
              <w:rPr>
                <w:rFonts w:ascii="Century Gothic" w:hAnsi="Century Gothic" w:cs="Arial"/>
                <w:color w:val="0070C0"/>
                <w:sz w:val="18"/>
                <w:szCs w:val="18"/>
              </w:rPr>
              <w:t>.</w:t>
            </w:r>
          </w:p>
          <w:p w14:paraId="1B9D66E0" w14:textId="0F538A3F" w:rsidR="00C94554" w:rsidRPr="00494269" w:rsidRDefault="00E33EF3" w:rsidP="007D5010">
            <w:pPr>
              <w:pStyle w:val="PlainText"/>
              <w:numPr>
                <w:ilvl w:val="0"/>
                <w:numId w:val="11"/>
              </w:numPr>
              <w:spacing w:line="276" w:lineRule="auto"/>
              <w:ind w:left="357" w:hanging="357"/>
              <w:contextualSpacing/>
              <w:jc w:val="left"/>
              <w:rPr>
                <w:rFonts w:ascii="Century Gothic" w:hAnsi="Century Gothic" w:cs="Arial"/>
                <w:sz w:val="18"/>
                <w:szCs w:val="18"/>
              </w:rPr>
            </w:pPr>
            <w:r>
              <w:rPr>
                <w:rFonts w:ascii="Century Gothic" w:hAnsi="Century Gothic" w:cs="Arial"/>
                <w:sz w:val="18"/>
                <w:szCs w:val="18"/>
              </w:rPr>
              <w:t>Variability in</w:t>
            </w:r>
            <w:r w:rsidR="00C94554" w:rsidRPr="00494269">
              <w:rPr>
                <w:rFonts w:ascii="Century Gothic" w:hAnsi="Century Gothic" w:cs="Arial"/>
                <w:sz w:val="18"/>
                <w:szCs w:val="18"/>
              </w:rPr>
              <w:t xml:space="preserve"> water levels</w:t>
            </w:r>
            <w:r>
              <w:rPr>
                <w:rFonts w:ascii="Century Gothic" w:hAnsi="Century Gothic" w:cs="Arial"/>
                <w:sz w:val="18"/>
                <w:szCs w:val="18"/>
              </w:rPr>
              <w:t xml:space="preserve"> within weir pools</w:t>
            </w:r>
            <w:r w:rsidR="00C94554" w:rsidRPr="00494269">
              <w:rPr>
                <w:rFonts w:ascii="Century Gothic" w:hAnsi="Century Gothic" w:cs="Arial"/>
                <w:sz w:val="18"/>
                <w:szCs w:val="18"/>
              </w:rPr>
              <w:t>?</w:t>
            </w:r>
            <w:r w:rsidR="00061A11" w:rsidRPr="00494269">
              <w:rPr>
                <w:rFonts w:ascii="Century Gothic" w:hAnsi="Century Gothic" w:cs="Arial"/>
                <w:sz w:val="18"/>
                <w:szCs w:val="18"/>
              </w:rPr>
              <w:t xml:space="preserve"> </w:t>
            </w:r>
          </w:p>
          <w:p w14:paraId="00806A3C" w14:textId="64327340" w:rsidR="00CA0CEC" w:rsidRPr="00494269" w:rsidRDefault="00630733" w:rsidP="007D5010">
            <w:pPr>
              <w:pStyle w:val="PlainText"/>
              <w:spacing w:line="276" w:lineRule="auto"/>
              <w:ind w:left="357"/>
              <w:contextualSpacing/>
              <w:jc w:val="left"/>
              <w:rPr>
                <w:rFonts w:ascii="Century Gothic" w:hAnsi="Century Gothic" w:cs="Arial"/>
                <w:sz w:val="18"/>
                <w:szCs w:val="18"/>
              </w:rPr>
            </w:pPr>
            <w:r w:rsidRPr="00494269">
              <w:rPr>
                <w:rFonts w:ascii="Century Gothic" w:hAnsi="Century Gothic" w:cs="Arial"/>
                <w:color w:val="0070C0"/>
                <w:sz w:val="18"/>
                <w:szCs w:val="18"/>
              </w:rPr>
              <w:t>Increase</w:t>
            </w:r>
            <w:r>
              <w:rPr>
                <w:rFonts w:ascii="Century Gothic" w:hAnsi="Century Gothic" w:cs="Arial"/>
                <w:color w:val="0070C0"/>
                <w:sz w:val="18"/>
                <w:szCs w:val="18"/>
              </w:rPr>
              <w:t>s</w:t>
            </w:r>
            <w:r w:rsidRPr="00494269">
              <w:rPr>
                <w:rFonts w:ascii="Century Gothic" w:hAnsi="Century Gothic" w:cs="Arial"/>
                <w:color w:val="0070C0"/>
                <w:sz w:val="18"/>
                <w:szCs w:val="18"/>
              </w:rPr>
              <w:t xml:space="preserve"> </w:t>
            </w:r>
            <w:r w:rsidR="009F1E43">
              <w:rPr>
                <w:rFonts w:ascii="Century Gothic" w:hAnsi="Century Gothic" w:cs="Arial"/>
                <w:color w:val="0070C0"/>
                <w:sz w:val="18"/>
                <w:szCs w:val="18"/>
              </w:rPr>
              <w:t>i</w:t>
            </w:r>
            <w:r w:rsidR="00C94554" w:rsidRPr="00494269">
              <w:rPr>
                <w:rFonts w:ascii="Century Gothic" w:hAnsi="Century Gothic" w:cs="Arial"/>
                <w:color w:val="0070C0"/>
                <w:sz w:val="18"/>
                <w:szCs w:val="18"/>
              </w:rPr>
              <w:t>n water levels in weir pools of up to 0.</w:t>
            </w:r>
            <w:r w:rsidR="007801B4">
              <w:rPr>
                <w:rFonts w:ascii="Century Gothic" w:hAnsi="Century Gothic" w:cs="Arial"/>
                <w:color w:val="0070C0"/>
                <w:sz w:val="18"/>
                <w:szCs w:val="18"/>
              </w:rPr>
              <w:t>3</w:t>
            </w:r>
            <w:r w:rsidR="00C94554" w:rsidRPr="00494269">
              <w:rPr>
                <w:rFonts w:ascii="Century Gothic" w:hAnsi="Century Gothic" w:cs="Arial"/>
                <w:color w:val="0070C0"/>
                <w:sz w:val="18"/>
                <w:szCs w:val="18"/>
              </w:rPr>
              <w:t> m in the upper reaches</w:t>
            </w:r>
            <w:r w:rsidR="007801B4">
              <w:rPr>
                <w:rFonts w:ascii="Century Gothic" w:hAnsi="Century Gothic" w:cs="Arial"/>
                <w:color w:val="0070C0"/>
                <w:sz w:val="18"/>
                <w:szCs w:val="18"/>
              </w:rPr>
              <w:t xml:space="preserve"> for weir pools without </w:t>
            </w:r>
            <w:r w:rsidR="001E29E0">
              <w:rPr>
                <w:rFonts w:ascii="Century Gothic" w:hAnsi="Century Gothic" w:cs="Arial"/>
                <w:color w:val="0070C0"/>
                <w:sz w:val="18"/>
                <w:szCs w:val="18"/>
              </w:rPr>
              <w:t>WPR</w:t>
            </w:r>
            <w:r w:rsidR="007801B4">
              <w:rPr>
                <w:rFonts w:ascii="Century Gothic" w:hAnsi="Century Gothic" w:cs="Arial"/>
                <w:color w:val="0070C0"/>
                <w:sz w:val="18"/>
                <w:szCs w:val="18"/>
              </w:rPr>
              <w:t>, and up to 0.</w:t>
            </w:r>
            <w:r w:rsidR="00330905">
              <w:rPr>
                <w:rFonts w:ascii="Century Gothic" w:hAnsi="Century Gothic" w:cs="Arial"/>
                <w:color w:val="0070C0"/>
                <w:sz w:val="18"/>
                <w:szCs w:val="18"/>
              </w:rPr>
              <w:t>7</w:t>
            </w:r>
            <w:r w:rsidR="007801B4">
              <w:rPr>
                <w:rFonts w:ascii="Century Gothic" w:hAnsi="Century Gothic" w:cs="Arial"/>
                <w:color w:val="0070C0"/>
                <w:sz w:val="18"/>
                <w:szCs w:val="18"/>
              </w:rPr>
              <w:t xml:space="preserve"> m in weir pools with </w:t>
            </w:r>
            <w:r w:rsidR="001E29E0">
              <w:rPr>
                <w:rFonts w:ascii="Century Gothic" w:hAnsi="Century Gothic" w:cs="Arial"/>
                <w:color w:val="0070C0"/>
                <w:sz w:val="18"/>
                <w:szCs w:val="18"/>
              </w:rPr>
              <w:t>WPR</w:t>
            </w:r>
            <w:r w:rsidR="00C94554" w:rsidRPr="00494269">
              <w:rPr>
                <w:rFonts w:ascii="Century Gothic" w:hAnsi="Century Gothic" w:cs="Arial"/>
                <w:color w:val="0070C0"/>
                <w:sz w:val="18"/>
                <w:szCs w:val="18"/>
              </w:rPr>
              <w:t>.</w:t>
            </w:r>
            <w:r w:rsidR="00061A11" w:rsidRPr="00061A11">
              <w:rPr>
                <w:rFonts w:ascii="Century Gothic" w:hAnsi="Century Gothic" w:cs="Arial"/>
                <w:sz w:val="18"/>
                <w:szCs w:val="18"/>
                <w:vertAlign w:val="superscript"/>
              </w:rPr>
              <w:t>#</w:t>
            </w:r>
            <w:r w:rsidR="00C94554" w:rsidRPr="00494269">
              <w:rPr>
                <w:rFonts w:ascii="Century Gothic" w:hAnsi="Century Gothic" w:cs="Arial"/>
                <w:color w:val="0070C0"/>
                <w:sz w:val="18"/>
                <w:szCs w:val="18"/>
              </w:rPr>
              <w:t xml:space="preserve"> </w:t>
            </w:r>
          </w:p>
        </w:tc>
        <w:tc>
          <w:tcPr>
            <w:tcW w:w="2868" w:type="pct"/>
            <w:tcBorders>
              <w:bottom w:val="single" w:sz="4" w:space="0" w:color="auto"/>
            </w:tcBorders>
            <w:shd w:val="clear" w:color="auto" w:fill="FFFFFF"/>
          </w:tcPr>
          <w:p w14:paraId="720963D5" w14:textId="397AB8E0" w:rsidR="00A7312F" w:rsidRDefault="008636A3" w:rsidP="00A7312F">
            <w:pPr>
              <w:jc w:val="left"/>
              <w:rPr>
                <w:rFonts w:cs="Arial"/>
                <w:sz w:val="18"/>
                <w:szCs w:val="18"/>
              </w:rPr>
            </w:pPr>
            <w:r w:rsidRPr="00494269">
              <w:rPr>
                <w:rFonts w:cs="Arial"/>
                <w:sz w:val="18"/>
                <w:szCs w:val="18"/>
              </w:rPr>
              <w:t>CEW contribute</w:t>
            </w:r>
            <w:r>
              <w:rPr>
                <w:rFonts w:cs="Arial"/>
                <w:sz w:val="18"/>
                <w:szCs w:val="18"/>
              </w:rPr>
              <w:t>d</w:t>
            </w:r>
            <w:r w:rsidRPr="00494269">
              <w:rPr>
                <w:rFonts w:cs="Arial"/>
                <w:sz w:val="18"/>
                <w:szCs w:val="18"/>
              </w:rPr>
              <w:t xml:space="preserve"> to </w:t>
            </w:r>
            <w:r>
              <w:rPr>
                <w:rFonts w:cs="Arial"/>
                <w:sz w:val="18"/>
                <w:szCs w:val="18"/>
              </w:rPr>
              <w:t>an</w:t>
            </w:r>
            <w:r w:rsidRPr="00494269">
              <w:rPr>
                <w:rFonts w:cs="Arial"/>
                <w:sz w:val="18"/>
                <w:szCs w:val="18"/>
              </w:rPr>
              <w:t xml:space="preserve"> increase in median </w:t>
            </w:r>
            <w:r>
              <w:rPr>
                <w:rFonts w:cs="Arial"/>
                <w:sz w:val="18"/>
                <w:szCs w:val="18"/>
              </w:rPr>
              <w:t>water velocities</w:t>
            </w:r>
            <w:r w:rsidRPr="00494269">
              <w:rPr>
                <w:rFonts w:cs="Arial"/>
                <w:sz w:val="18"/>
                <w:szCs w:val="18"/>
              </w:rPr>
              <w:t xml:space="preserve"> </w:t>
            </w:r>
            <w:r>
              <w:rPr>
                <w:rFonts w:cs="Arial"/>
                <w:sz w:val="18"/>
                <w:szCs w:val="18"/>
              </w:rPr>
              <w:t xml:space="preserve">of </w:t>
            </w:r>
            <w:r w:rsidR="00867E41" w:rsidRPr="00494269">
              <w:rPr>
                <w:rFonts w:cs="Arial"/>
                <w:sz w:val="18"/>
                <w:szCs w:val="18"/>
              </w:rPr>
              <w:t>~</w:t>
            </w:r>
            <w:r w:rsidR="00C94554" w:rsidRPr="00494269">
              <w:rPr>
                <w:rFonts w:cs="Arial"/>
                <w:sz w:val="18"/>
                <w:szCs w:val="18"/>
              </w:rPr>
              <w:t>0.1 m s</w:t>
            </w:r>
            <w:r w:rsidR="00C94554" w:rsidRPr="00494269">
              <w:rPr>
                <w:rFonts w:cs="Arial"/>
                <w:sz w:val="18"/>
                <w:szCs w:val="18"/>
                <w:vertAlign w:val="superscript"/>
              </w:rPr>
              <w:t>-1</w:t>
            </w:r>
            <w:r w:rsidR="00867E41">
              <w:rPr>
                <w:rFonts w:cs="Arial"/>
                <w:sz w:val="18"/>
                <w:szCs w:val="18"/>
              </w:rPr>
              <w:t xml:space="preserve"> during winter and spring</w:t>
            </w:r>
            <w:r w:rsidR="00C94554" w:rsidRPr="00494269">
              <w:rPr>
                <w:rFonts w:cs="Arial"/>
                <w:sz w:val="18"/>
                <w:szCs w:val="18"/>
              </w:rPr>
              <w:t>. Velocities for</w:t>
            </w:r>
            <w:r w:rsidR="00C94554" w:rsidRPr="00577DFD">
              <w:rPr>
                <w:rFonts w:cs="Arial"/>
                <w:color w:val="auto"/>
                <w:sz w:val="18"/>
                <w:szCs w:val="18"/>
              </w:rPr>
              <w:t xml:space="preserve"> some cross sections in the L</w:t>
            </w:r>
            <w:r w:rsidR="00AA1801" w:rsidRPr="00577DFD">
              <w:rPr>
                <w:rFonts w:cs="Arial"/>
                <w:color w:val="auto"/>
                <w:sz w:val="18"/>
                <w:szCs w:val="18"/>
              </w:rPr>
              <w:t>MR</w:t>
            </w:r>
            <w:r w:rsidR="00C94554" w:rsidRPr="00577DFD">
              <w:rPr>
                <w:rFonts w:cs="Arial"/>
                <w:color w:val="auto"/>
                <w:sz w:val="18"/>
                <w:szCs w:val="18"/>
              </w:rPr>
              <w:t xml:space="preserve"> </w:t>
            </w:r>
            <w:r w:rsidR="006875E4" w:rsidRPr="00577DFD">
              <w:rPr>
                <w:rFonts w:cs="Arial"/>
                <w:color w:val="auto"/>
                <w:sz w:val="18"/>
                <w:szCs w:val="18"/>
              </w:rPr>
              <w:t xml:space="preserve">increased </w:t>
            </w:r>
            <w:r w:rsidR="00E24095" w:rsidRPr="00577DFD">
              <w:rPr>
                <w:rFonts w:cs="Arial"/>
                <w:color w:val="auto"/>
                <w:sz w:val="18"/>
                <w:szCs w:val="18"/>
              </w:rPr>
              <w:t xml:space="preserve">to </w:t>
            </w:r>
            <w:r w:rsidR="004D0CFF" w:rsidRPr="00577DFD">
              <w:rPr>
                <w:rFonts w:cs="Arial"/>
                <w:color w:val="auto"/>
                <w:sz w:val="18"/>
                <w:szCs w:val="18"/>
              </w:rPr>
              <w:t>0.17–0.3</w:t>
            </w:r>
            <w:r w:rsidR="00577DFD" w:rsidRPr="00577DFD">
              <w:rPr>
                <w:rFonts w:cs="Arial"/>
                <w:color w:val="auto"/>
                <w:sz w:val="18"/>
                <w:szCs w:val="18"/>
              </w:rPr>
              <w:t> </w:t>
            </w:r>
            <w:r w:rsidR="004D0CFF" w:rsidRPr="00577DFD">
              <w:rPr>
                <w:rFonts w:cs="Arial"/>
                <w:color w:val="auto"/>
                <w:sz w:val="18"/>
                <w:szCs w:val="18"/>
              </w:rPr>
              <w:t>m</w:t>
            </w:r>
            <w:r w:rsidR="00577DFD" w:rsidRPr="00577DFD">
              <w:rPr>
                <w:rFonts w:cs="Arial"/>
                <w:color w:val="auto"/>
                <w:sz w:val="18"/>
                <w:szCs w:val="18"/>
              </w:rPr>
              <w:t> </w:t>
            </w:r>
            <w:r w:rsidR="004D0CFF" w:rsidRPr="00577DFD">
              <w:rPr>
                <w:rFonts w:cs="Arial"/>
                <w:color w:val="auto"/>
                <w:sz w:val="18"/>
                <w:szCs w:val="18"/>
              </w:rPr>
              <w:t>s</w:t>
            </w:r>
            <w:r w:rsidR="004D0CFF" w:rsidRPr="00577DFD">
              <w:rPr>
                <w:rFonts w:cs="Arial"/>
                <w:color w:val="auto"/>
                <w:sz w:val="18"/>
                <w:szCs w:val="18"/>
                <w:vertAlign w:val="superscript"/>
              </w:rPr>
              <w:t>-1</w:t>
            </w:r>
            <w:r w:rsidR="006875E4" w:rsidRPr="00577DFD">
              <w:rPr>
                <w:rFonts w:cs="Arial"/>
                <w:color w:val="auto"/>
                <w:sz w:val="18"/>
                <w:szCs w:val="18"/>
              </w:rPr>
              <w:t xml:space="preserve"> due to CEW</w:t>
            </w:r>
            <w:r w:rsidR="00C94554" w:rsidRPr="00577DFD">
              <w:rPr>
                <w:rFonts w:cs="Arial"/>
                <w:color w:val="auto"/>
                <w:sz w:val="18"/>
                <w:szCs w:val="18"/>
              </w:rPr>
              <w:t>.</w:t>
            </w:r>
            <w:r w:rsidR="00CD46AE" w:rsidRPr="00577DFD">
              <w:rPr>
                <w:rFonts w:cs="Arial"/>
                <w:color w:val="auto"/>
                <w:sz w:val="18"/>
                <w:szCs w:val="18"/>
              </w:rPr>
              <w:t xml:space="preserve"> The range </w:t>
            </w:r>
            <w:r w:rsidR="00CD46AE">
              <w:rPr>
                <w:rFonts w:cs="Arial"/>
                <w:sz w:val="18"/>
                <w:szCs w:val="18"/>
              </w:rPr>
              <w:t xml:space="preserve">in velocities within a weir pool </w:t>
            </w:r>
            <w:r w:rsidR="00533CBD">
              <w:rPr>
                <w:rFonts w:cs="Arial"/>
                <w:sz w:val="18"/>
                <w:szCs w:val="18"/>
              </w:rPr>
              <w:t>increase</w:t>
            </w:r>
            <w:r w:rsidR="00A7312F">
              <w:rPr>
                <w:rFonts w:cs="Arial"/>
                <w:sz w:val="18"/>
                <w:szCs w:val="18"/>
              </w:rPr>
              <w:t>d</w:t>
            </w:r>
            <w:r w:rsidR="00CD46AE">
              <w:rPr>
                <w:rFonts w:cs="Arial"/>
                <w:sz w:val="18"/>
                <w:szCs w:val="18"/>
              </w:rPr>
              <w:t xml:space="preserve"> with the CEW contribution, representing an increase in hydraulic diversity.</w:t>
            </w:r>
            <w:r w:rsidR="006E4445">
              <w:rPr>
                <w:rFonts w:cs="Arial"/>
                <w:sz w:val="18"/>
                <w:szCs w:val="18"/>
              </w:rPr>
              <w:t xml:space="preserve"> Restoring flowing habitat</w:t>
            </w:r>
            <w:r w:rsidR="00484C8D">
              <w:rPr>
                <w:rFonts w:cs="Arial"/>
                <w:sz w:val="18"/>
                <w:szCs w:val="18"/>
              </w:rPr>
              <w:t xml:space="preserve"> is </w:t>
            </w:r>
            <w:r w:rsidR="006E4445">
              <w:rPr>
                <w:rFonts w:cs="Arial"/>
                <w:sz w:val="18"/>
                <w:szCs w:val="18"/>
              </w:rPr>
              <w:t>critical</w:t>
            </w:r>
            <w:r w:rsidR="00484C8D">
              <w:rPr>
                <w:rFonts w:cs="Arial"/>
                <w:sz w:val="18"/>
                <w:szCs w:val="18"/>
              </w:rPr>
              <w:t xml:space="preserve"> </w:t>
            </w:r>
            <w:r w:rsidR="00A7312F">
              <w:rPr>
                <w:rFonts w:cs="Arial"/>
                <w:sz w:val="18"/>
                <w:szCs w:val="18"/>
              </w:rPr>
              <w:t xml:space="preserve">for </w:t>
            </w:r>
            <w:r w:rsidR="0019342F">
              <w:rPr>
                <w:rFonts w:cs="Arial"/>
                <w:sz w:val="18"/>
                <w:szCs w:val="18"/>
              </w:rPr>
              <w:t xml:space="preserve">the rehabilitation of riverine biota and ecological processes </w:t>
            </w:r>
            <w:r w:rsidR="00A7312F">
              <w:rPr>
                <w:rFonts w:cs="Arial"/>
                <w:sz w:val="18"/>
                <w:szCs w:val="18"/>
              </w:rPr>
              <w:t xml:space="preserve">in the </w:t>
            </w:r>
            <w:r w:rsidR="001777BD">
              <w:rPr>
                <w:rFonts w:cs="Arial"/>
                <w:sz w:val="18"/>
                <w:szCs w:val="18"/>
              </w:rPr>
              <w:t>lower River Murray</w:t>
            </w:r>
            <w:r w:rsidR="0019342F">
              <w:rPr>
                <w:rFonts w:cs="Arial"/>
                <w:sz w:val="18"/>
                <w:szCs w:val="18"/>
              </w:rPr>
              <w:t>.</w:t>
            </w:r>
            <w:r w:rsidR="00A7312F">
              <w:rPr>
                <w:rFonts w:cs="Arial"/>
                <w:sz w:val="18"/>
                <w:szCs w:val="18"/>
              </w:rPr>
              <w:t xml:space="preserve"> </w:t>
            </w:r>
          </w:p>
          <w:p w14:paraId="703799EC" w14:textId="663B70FD" w:rsidR="00A857C8" w:rsidRPr="00494269" w:rsidRDefault="00A7312F" w:rsidP="005106B5">
            <w:pPr>
              <w:jc w:val="left"/>
              <w:rPr>
                <w:rFonts w:cs="Arial"/>
                <w:sz w:val="18"/>
                <w:szCs w:val="18"/>
              </w:rPr>
            </w:pPr>
            <w:r>
              <w:rPr>
                <w:rFonts w:cs="Arial"/>
                <w:sz w:val="18"/>
                <w:szCs w:val="18"/>
              </w:rPr>
              <w:t>For weir pools without WPR events, the water level was assumed to be the same at the weir (downstream end) with CEW delivery, but CEW i</w:t>
            </w:r>
            <w:r w:rsidRPr="00C73BF9">
              <w:rPr>
                <w:rFonts w:cs="Arial"/>
                <w:sz w:val="18"/>
                <w:szCs w:val="18"/>
              </w:rPr>
              <w:t>ncrease</w:t>
            </w:r>
            <w:r>
              <w:rPr>
                <w:rFonts w:cs="Arial"/>
                <w:sz w:val="18"/>
                <w:szCs w:val="18"/>
              </w:rPr>
              <w:t>d</w:t>
            </w:r>
            <w:r w:rsidRPr="00C73BF9">
              <w:rPr>
                <w:rFonts w:cs="Arial"/>
                <w:sz w:val="18"/>
                <w:szCs w:val="18"/>
              </w:rPr>
              <w:t xml:space="preserve"> water levels up to 0.3 m</w:t>
            </w:r>
            <w:r>
              <w:rPr>
                <w:rFonts w:cs="Arial"/>
                <w:sz w:val="18"/>
                <w:szCs w:val="18"/>
              </w:rPr>
              <w:t xml:space="preserve"> </w:t>
            </w:r>
            <w:r w:rsidRPr="00C73BF9">
              <w:rPr>
                <w:rFonts w:cs="Arial"/>
                <w:sz w:val="18"/>
                <w:szCs w:val="18"/>
              </w:rPr>
              <w:t xml:space="preserve">in the upper reaches </w:t>
            </w:r>
            <w:r>
              <w:rPr>
                <w:rFonts w:cs="Arial"/>
                <w:sz w:val="18"/>
                <w:szCs w:val="18"/>
              </w:rPr>
              <w:t>of these</w:t>
            </w:r>
            <w:r w:rsidRPr="00C73BF9">
              <w:rPr>
                <w:rFonts w:cs="Arial"/>
                <w:sz w:val="18"/>
                <w:szCs w:val="18"/>
              </w:rPr>
              <w:t xml:space="preserve"> weir pools</w:t>
            </w:r>
            <w:r>
              <w:rPr>
                <w:rFonts w:cs="Arial"/>
                <w:sz w:val="18"/>
                <w:szCs w:val="18"/>
              </w:rPr>
              <w:t xml:space="preserve">. For weir pools that </w:t>
            </w:r>
            <w:r w:rsidR="005106B5">
              <w:rPr>
                <w:rFonts w:cs="Arial"/>
                <w:sz w:val="18"/>
                <w:szCs w:val="18"/>
              </w:rPr>
              <w:t>had</w:t>
            </w:r>
            <w:r>
              <w:rPr>
                <w:rFonts w:cs="Arial"/>
                <w:sz w:val="18"/>
                <w:szCs w:val="18"/>
              </w:rPr>
              <w:t xml:space="preserve"> WPR events (Weir Pools 2 and 5)</w:t>
            </w:r>
            <w:r w:rsidRPr="00C73BF9">
              <w:rPr>
                <w:rFonts w:cs="Arial"/>
                <w:sz w:val="18"/>
                <w:szCs w:val="18"/>
              </w:rPr>
              <w:t xml:space="preserve">, </w:t>
            </w:r>
            <w:r>
              <w:rPr>
                <w:rFonts w:cs="Arial"/>
                <w:sz w:val="18"/>
                <w:szCs w:val="18"/>
              </w:rPr>
              <w:t>the ~0.5 m WPR raising at the weir increased</w:t>
            </w:r>
            <w:r w:rsidRPr="00C73BF9">
              <w:rPr>
                <w:rFonts w:cs="Arial"/>
                <w:sz w:val="18"/>
                <w:szCs w:val="18"/>
              </w:rPr>
              <w:t xml:space="preserve"> </w:t>
            </w:r>
            <w:r>
              <w:rPr>
                <w:rFonts w:cs="Arial"/>
                <w:sz w:val="18"/>
                <w:szCs w:val="18"/>
              </w:rPr>
              <w:t xml:space="preserve">water levels </w:t>
            </w:r>
            <w:r w:rsidRPr="00C73BF9">
              <w:rPr>
                <w:rFonts w:cs="Arial"/>
                <w:sz w:val="18"/>
                <w:szCs w:val="18"/>
              </w:rPr>
              <w:t>up to 0.</w:t>
            </w:r>
            <w:r>
              <w:rPr>
                <w:rFonts w:cs="Arial"/>
                <w:sz w:val="18"/>
                <w:szCs w:val="18"/>
              </w:rPr>
              <w:t>7</w:t>
            </w:r>
            <w:r w:rsidRPr="00C73BF9">
              <w:rPr>
                <w:rFonts w:cs="Arial"/>
                <w:sz w:val="18"/>
                <w:szCs w:val="18"/>
              </w:rPr>
              <w:t xml:space="preserve"> m </w:t>
            </w:r>
            <w:r>
              <w:rPr>
                <w:rFonts w:cs="Arial"/>
                <w:sz w:val="18"/>
                <w:szCs w:val="18"/>
              </w:rPr>
              <w:t xml:space="preserve">in the upper reaches of the weir pool due to CEW delivery. </w:t>
            </w:r>
            <w:r w:rsidRPr="00C73BF9">
              <w:rPr>
                <w:rFonts w:cs="Arial"/>
                <w:sz w:val="18"/>
                <w:szCs w:val="18"/>
              </w:rPr>
              <w:t>Periodic increases in water levels could improve the condition of riparian vegetation and increase biofilm diversity.</w:t>
            </w:r>
          </w:p>
        </w:tc>
      </w:tr>
      <w:tr w:rsidR="00A857C8" w:rsidRPr="00494269" w14:paraId="21759ADD" w14:textId="77777777" w:rsidTr="00E26136">
        <w:trPr>
          <w:cantSplit/>
          <w:trHeight w:val="292"/>
        </w:trPr>
        <w:tc>
          <w:tcPr>
            <w:tcW w:w="506" w:type="pct"/>
            <w:shd w:val="clear" w:color="auto" w:fill="FFFFFF"/>
          </w:tcPr>
          <w:p w14:paraId="786BF016" w14:textId="55B6351D" w:rsidR="00A857C8" w:rsidRPr="00494269" w:rsidRDefault="00A857C8" w:rsidP="007D5010">
            <w:pPr>
              <w:spacing w:line="276" w:lineRule="auto"/>
              <w:contextualSpacing/>
              <w:jc w:val="left"/>
              <w:rPr>
                <w:rFonts w:cs="Arial"/>
                <w:b/>
                <w:sz w:val="18"/>
                <w:szCs w:val="18"/>
              </w:rPr>
            </w:pPr>
            <w:r w:rsidRPr="00494269">
              <w:rPr>
                <w:rFonts w:cs="Arial"/>
                <w:b/>
                <w:sz w:val="18"/>
                <w:szCs w:val="18"/>
              </w:rPr>
              <w:lastRenderedPageBreak/>
              <w:t>Cat</w:t>
            </w:r>
            <w:r w:rsidR="00E23B44" w:rsidRPr="00494269">
              <w:rPr>
                <w:rFonts w:cs="Arial"/>
                <w:b/>
                <w:sz w:val="18"/>
                <w:szCs w:val="18"/>
              </w:rPr>
              <w:t>egory</w:t>
            </w:r>
            <w:r w:rsidR="00DC31B1" w:rsidRPr="00494269">
              <w:rPr>
                <w:rFonts w:cs="Arial"/>
                <w:b/>
                <w:sz w:val="18"/>
                <w:szCs w:val="18"/>
              </w:rPr>
              <w:t xml:space="preserve"> 3:  Matter Transport</w:t>
            </w:r>
            <w:r w:rsidR="00CB24DD">
              <w:rPr>
                <w:rFonts w:cs="Arial"/>
                <w:b/>
                <w:sz w:val="18"/>
                <w:szCs w:val="18"/>
              </w:rPr>
              <w:t>*</w:t>
            </w:r>
          </w:p>
        </w:tc>
        <w:tc>
          <w:tcPr>
            <w:tcW w:w="1626" w:type="pct"/>
            <w:shd w:val="clear" w:color="auto" w:fill="FFFFFF"/>
          </w:tcPr>
          <w:p w14:paraId="5FE674C6" w14:textId="77777777" w:rsidR="00A857C8" w:rsidRPr="00494269" w:rsidRDefault="00A857C8" w:rsidP="007D5010">
            <w:pPr>
              <w:pStyle w:val="PlainText"/>
              <w:spacing w:line="276" w:lineRule="auto"/>
              <w:jc w:val="left"/>
              <w:rPr>
                <w:rFonts w:ascii="Century Gothic" w:hAnsi="Century Gothic" w:cs="Arial"/>
                <w:sz w:val="18"/>
                <w:szCs w:val="18"/>
              </w:rPr>
            </w:pPr>
            <w:r w:rsidRPr="00494269">
              <w:rPr>
                <w:rFonts w:ascii="Century Gothic" w:hAnsi="Century Gothic" w:cs="Arial"/>
                <w:sz w:val="18"/>
                <w:szCs w:val="18"/>
              </w:rPr>
              <w:t>What did CEW contribute to:</w:t>
            </w:r>
          </w:p>
          <w:p w14:paraId="668487FC" w14:textId="5D1DF89C" w:rsidR="00A857C8" w:rsidRPr="00494269" w:rsidRDefault="00A857C8" w:rsidP="007D5010">
            <w:pPr>
              <w:pStyle w:val="PlainText"/>
              <w:numPr>
                <w:ilvl w:val="0"/>
                <w:numId w:val="11"/>
              </w:numPr>
              <w:spacing w:line="276" w:lineRule="auto"/>
              <w:ind w:left="357" w:hanging="357"/>
              <w:contextualSpacing/>
              <w:jc w:val="left"/>
              <w:rPr>
                <w:rFonts w:ascii="Century Gothic" w:hAnsi="Century Gothic" w:cs="Arial"/>
                <w:sz w:val="18"/>
                <w:szCs w:val="18"/>
              </w:rPr>
            </w:pPr>
            <w:r w:rsidRPr="00494269">
              <w:rPr>
                <w:rFonts w:ascii="Century Gothic" w:hAnsi="Century Gothic" w:cs="Arial"/>
                <w:sz w:val="18"/>
                <w:szCs w:val="18"/>
              </w:rPr>
              <w:t xml:space="preserve">Salinity </w:t>
            </w:r>
            <w:r w:rsidR="00E33EF3">
              <w:rPr>
                <w:rFonts w:ascii="Century Gothic" w:hAnsi="Century Gothic" w:cs="Arial"/>
                <w:sz w:val="18"/>
                <w:szCs w:val="18"/>
              </w:rPr>
              <w:t>levels and transport</w:t>
            </w:r>
            <w:r w:rsidRPr="00494269">
              <w:rPr>
                <w:rFonts w:ascii="Century Gothic" w:hAnsi="Century Gothic" w:cs="Arial"/>
                <w:sz w:val="18"/>
                <w:szCs w:val="18"/>
              </w:rPr>
              <w:t>?</w:t>
            </w:r>
          </w:p>
          <w:p w14:paraId="424E3755" w14:textId="64DE0278" w:rsidR="00CC5BC4" w:rsidRPr="00CC5BC4" w:rsidRDefault="006546B0" w:rsidP="007D5010">
            <w:pPr>
              <w:pStyle w:val="PlainText"/>
              <w:spacing w:line="276" w:lineRule="auto"/>
              <w:ind w:left="360"/>
              <w:contextualSpacing/>
              <w:jc w:val="left"/>
              <w:rPr>
                <w:rFonts w:ascii="Century Gothic" w:hAnsi="Century Gothic" w:cs="Arial"/>
                <w:color w:val="0070C0"/>
                <w:sz w:val="18"/>
                <w:szCs w:val="18"/>
              </w:rPr>
            </w:pPr>
            <w:r w:rsidRPr="00CC5BC4">
              <w:rPr>
                <w:rFonts w:ascii="Century Gothic" w:hAnsi="Century Gothic" w:cs="Arial"/>
                <w:color w:val="0070C0"/>
                <w:sz w:val="18"/>
                <w:szCs w:val="18"/>
              </w:rPr>
              <w:t xml:space="preserve">Reduced salinity concentrations in the </w:t>
            </w:r>
            <w:r>
              <w:rPr>
                <w:rFonts w:ascii="Century Gothic" w:hAnsi="Century Gothic" w:cs="Arial"/>
                <w:color w:val="0070C0"/>
                <w:sz w:val="18"/>
                <w:szCs w:val="18"/>
              </w:rPr>
              <w:t>Murray</w:t>
            </w:r>
            <w:r w:rsidR="00ED191B">
              <w:rPr>
                <w:rFonts w:ascii="Century Gothic" w:hAnsi="Century Gothic" w:cs="Arial"/>
                <w:color w:val="0070C0"/>
                <w:sz w:val="18"/>
                <w:szCs w:val="18"/>
              </w:rPr>
              <w:t xml:space="preserve"> River Channel, Lower Lakes and, </w:t>
            </w:r>
            <w:r>
              <w:rPr>
                <w:rFonts w:ascii="Century Gothic" w:hAnsi="Century Gothic" w:cs="Arial"/>
                <w:color w:val="0070C0"/>
                <w:sz w:val="18"/>
                <w:szCs w:val="18"/>
              </w:rPr>
              <w:t>in</w:t>
            </w:r>
            <w:r w:rsidR="00ED191B">
              <w:rPr>
                <w:rFonts w:ascii="Century Gothic" w:hAnsi="Century Gothic" w:cs="Arial"/>
                <w:color w:val="0070C0"/>
                <w:sz w:val="18"/>
                <w:szCs w:val="18"/>
              </w:rPr>
              <w:t xml:space="preserve"> particular,</w:t>
            </w:r>
            <w:r>
              <w:rPr>
                <w:rFonts w:ascii="Century Gothic" w:hAnsi="Century Gothic" w:cs="Arial"/>
                <w:color w:val="0070C0"/>
                <w:sz w:val="18"/>
                <w:szCs w:val="18"/>
              </w:rPr>
              <w:t xml:space="preserve"> </w:t>
            </w:r>
            <w:r w:rsidR="00ED191B">
              <w:rPr>
                <w:rFonts w:ascii="Century Gothic" w:hAnsi="Century Gothic" w:cs="Arial"/>
                <w:color w:val="0070C0"/>
                <w:sz w:val="18"/>
                <w:szCs w:val="18"/>
              </w:rPr>
              <w:t xml:space="preserve">the </w:t>
            </w:r>
            <w:r w:rsidR="00ED191B" w:rsidRPr="00CC5BC4">
              <w:rPr>
                <w:rFonts w:ascii="Century Gothic" w:hAnsi="Century Gothic" w:cs="Arial"/>
                <w:color w:val="0070C0"/>
                <w:sz w:val="18"/>
                <w:szCs w:val="18"/>
              </w:rPr>
              <w:t>Murray</w:t>
            </w:r>
            <w:r w:rsidR="00CC5BC4" w:rsidRPr="00CC5BC4">
              <w:rPr>
                <w:rFonts w:ascii="Century Gothic" w:hAnsi="Century Gothic" w:cs="Arial"/>
                <w:color w:val="0070C0"/>
                <w:sz w:val="18"/>
                <w:szCs w:val="18"/>
              </w:rPr>
              <w:t xml:space="preserve"> Mouth. </w:t>
            </w:r>
          </w:p>
          <w:p w14:paraId="30954971" w14:textId="5EAD989E" w:rsidR="00CC5BC4" w:rsidRPr="00CC5BC4" w:rsidRDefault="00CC5BC4" w:rsidP="007D5010">
            <w:pPr>
              <w:pStyle w:val="PlainText"/>
              <w:spacing w:line="276" w:lineRule="auto"/>
              <w:ind w:left="360"/>
              <w:contextualSpacing/>
              <w:jc w:val="left"/>
              <w:rPr>
                <w:rFonts w:ascii="Century Gothic" w:hAnsi="Century Gothic"/>
                <w:color w:val="4F81BD" w:themeColor="accent1"/>
                <w:sz w:val="18"/>
                <w:szCs w:val="18"/>
              </w:rPr>
            </w:pPr>
            <w:r w:rsidRPr="00CC5BC4">
              <w:rPr>
                <w:rFonts w:ascii="Century Gothic" w:hAnsi="Century Gothic" w:cs="Arial"/>
                <w:color w:val="0070C0"/>
                <w:sz w:val="18"/>
                <w:szCs w:val="18"/>
              </w:rPr>
              <w:t>Increased export of salt from the Murray River Channel and Lower Lakes, and decreased net import of salt to the Coorong</w:t>
            </w:r>
            <w:r>
              <w:rPr>
                <w:rFonts w:ascii="Century Gothic" w:hAnsi="Century Gothic" w:cs="Arial"/>
                <w:color w:val="0070C0"/>
                <w:sz w:val="18"/>
                <w:szCs w:val="18"/>
              </w:rPr>
              <w:t>.</w:t>
            </w:r>
          </w:p>
          <w:p w14:paraId="1E76B4B3" w14:textId="032EA56C" w:rsidR="00E33EF3" w:rsidRPr="00494269" w:rsidRDefault="00607854" w:rsidP="007D5010">
            <w:pPr>
              <w:pStyle w:val="PlainText"/>
              <w:numPr>
                <w:ilvl w:val="0"/>
                <w:numId w:val="11"/>
              </w:numPr>
              <w:spacing w:line="276" w:lineRule="auto"/>
              <w:ind w:left="357" w:hanging="357"/>
              <w:contextualSpacing/>
              <w:jc w:val="left"/>
              <w:rPr>
                <w:rFonts w:ascii="Century Gothic" w:hAnsi="Century Gothic" w:cs="Arial"/>
                <w:sz w:val="18"/>
                <w:szCs w:val="18"/>
              </w:rPr>
            </w:pPr>
            <w:r>
              <w:rPr>
                <w:rFonts w:ascii="Century Gothic" w:hAnsi="Century Gothic" w:cs="Arial"/>
                <w:sz w:val="18"/>
                <w:szCs w:val="18"/>
              </w:rPr>
              <w:t>Nutrient concentrations and transport</w:t>
            </w:r>
            <w:r w:rsidR="00E33EF3" w:rsidRPr="00494269">
              <w:rPr>
                <w:rFonts w:ascii="Century Gothic" w:hAnsi="Century Gothic" w:cs="Arial"/>
                <w:sz w:val="18"/>
                <w:szCs w:val="18"/>
              </w:rPr>
              <w:t>?</w:t>
            </w:r>
          </w:p>
          <w:p w14:paraId="716543A3" w14:textId="3523C394" w:rsidR="00F32976" w:rsidRPr="00CC5BC4" w:rsidRDefault="00F32976" w:rsidP="00F32976">
            <w:pPr>
              <w:pStyle w:val="PlainText"/>
              <w:spacing w:line="276" w:lineRule="auto"/>
              <w:ind w:left="360"/>
              <w:contextualSpacing/>
              <w:jc w:val="left"/>
              <w:rPr>
                <w:rFonts w:ascii="Century Gothic" w:hAnsi="Century Gothic"/>
                <w:color w:val="4F81BD" w:themeColor="accent1"/>
                <w:sz w:val="18"/>
                <w:szCs w:val="18"/>
              </w:rPr>
            </w:pPr>
            <w:r>
              <w:rPr>
                <w:rFonts w:ascii="Century Gothic" w:hAnsi="Century Gothic" w:cs="Arial"/>
                <w:color w:val="0070C0"/>
                <w:sz w:val="18"/>
                <w:szCs w:val="18"/>
              </w:rPr>
              <w:t>Minor differences in the concentrations of nutrients, but i</w:t>
            </w:r>
            <w:r w:rsidRPr="00494269">
              <w:rPr>
                <w:rFonts w:ascii="Century Gothic" w:hAnsi="Century Gothic" w:cs="Arial"/>
                <w:color w:val="0070C0"/>
                <w:sz w:val="18"/>
                <w:szCs w:val="18"/>
              </w:rPr>
              <w:t xml:space="preserve">ncreased transport of </w:t>
            </w:r>
            <w:r>
              <w:rPr>
                <w:rFonts w:ascii="Century Gothic" w:hAnsi="Century Gothic" w:cs="Arial"/>
                <w:color w:val="0070C0"/>
                <w:sz w:val="18"/>
                <w:szCs w:val="18"/>
              </w:rPr>
              <w:t xml:space="preserve">all studied </w:t>
            </w:r>
            <w:r w:rsidRPr="00494269">
              <w:rPr>
                <w:rFonts w:ascii="Century Gothic" w:hAnsi="Century Gothic" w:cs="Arial"/>
                <w:color w:val="0070C0"/>
                <w:sz w:val="18"/>
                <w:szCs w:val="18"/>
              </w:rPr>
              <w:t>nutrients</w:t>
            </w:r>
            <w:r>
              <w:rPr>
                <w:rFonts w:ascii="Century Gothic" w:hAnsi="Century Gothic" w:cs="Arial"/>
                <w:color w:val="0070C0"/>
                <w:sz w:val="18"/>
                <w:szCs w:val="18"/>
              </w:rPr>
              <w:t>.</w:t>
            </w:r>
          </w:p>
          <w:p w14:paraId="715A8DF6" w14:textId="77777777" w:rsidR="00D52D8F" w:rsidRPr="00494269" w:rsidRDefault="00D52D8F" w:rsidP="007D5010">
            <w:pPr>
              <w:pStyle w:val="PlainText"/>
              <w:numPr>
                <w:ilvl w:val="0"/>
                <w:numId w:val="11"/>
              </w:numPr>
              <w:spacing w:line="276" w:lineRule="auto"/>
              <w:ind w:left="357" w:hanging="357"/>
              <w:contextualSpacing/>
              <w:jc w:val="left"/>
              <w:rPr>
                <w:rFonts w:ascii="Century Gothic" w:hAnsi="Century Gothic" w:cs="Arial"/>
                <w:sz w:val="18"/>
                <w:szCs w:val="18"/>
              </w:rPr>
            </w:pPr>
            <w:r>
              <w:rPr>
                <w:rFonts w:ascii="Century Gothic" w:hAnsi="Century Gothic" w:cs="Arial"/>
                <w:sz w:val="18"/>
                <w:szCs w:val="18"/>
              </w:rPr>
              <w:t>Concentrations and transport of phytoplankton</w:t>
            </w:r>
            <w:r w:rsidRPr="00494269">
              <w:rPr>
                <w:rFonts w:ascii="Century Gothic" w:hAnsi="Century Gothic" w:cs="Arial"/>
                <w:sz w:val="18"/>
                <w:szCs w:val="18"/>
              </w:rPr>
              <w:t>?</w:t>
            </w:r>
          </w:p>
          <w:p w14:paraId="6E14E9D1" w14:textId="006221F6" w:rsidR="00D52D8F" w:rsidRPr="00494269" w:rsidRDefault="00300A43" w:rsidP="007D5010">
            <w:pPr>
              <w:pStyle w:val="PlainText"/>
              <w:spacing w:line="276" w:lineRule="auto"/>
              <w:ind w:left="360"/>
              <w:contextualSpacing/>
              <w:jc w:val="left"/>
              <w:rPr>
                <w:rFonts w:ascii="Century Gothic" w:hAnsi="Century Gothic"/>
                <w:color w:val="4F81BD" w:themeColor="accent1"/>
                <w:sz w:val="18"/>
                <w:szCs w:val="18"/>
              </w:rPr>
            </w:pPr>
            <w:r>
              <w:rPr>
                <w:rFonts w:ascii="Century Gothic" w:hAnsi="Century Gothic" w:cs="Arial"/>
                <w:color w:val="0070C0"/>
                <w:sz w:val="18"/>
                <w:szCs w:val="18"/>
              </w:rPr>
              <w:t>Whilst there was no apparent effect on phytoplankton concentrations</w:t>
            </w:r>
            <w:r w:rsidR="00ED191B">
              <w:rPr>
                <w:rFonts w:ascii="Century Gothic" w:hAnsi="Century Gothic" w:cs="Arial"/>
                <w:color w:val="0070C0"/>
                <w:sz w:val="18"/>
                <w:szCs w:val="18"/>
              </w:rPr>
              <w:t>,</w:t>
            </w:r>
            <w:r>
              <w:rPr>
                <w:rFonts w:ascii="Century Gothic" w:hAnsi="Century Gothic" w:cs="Arial"/>
                <w:color w:val="0070C0"/>
                <w:sz w:val="18"/>
                <w:szCs w:val="18"/>
              </w:rPr>
              <w:t xml:space="preserve"> there was an i</w:t>
            </w:r>
            <w:r w:rsidRPr="00494269">
              <w:rPr>
                <w:rFonts w:ascii="Century Gothic" w:hAnsi="Century Gothic" w:cs="Arial"/>
                <w:color w:val="0070C0"/>
                <w:sz w:val="18"/>
                <w:szCs w:val="18"/>
              </w:rPr>
              <w:t>ncreased transport of phytoplankton</w:t>
            </w:r>
            <w:r>
              <w:rPr>
                <w:rFonts w:ascii="Century Gothic" w:hAnsi="Century Gothic" w:cs="Arial"/>
                <w:color w:val="0070C0"/>
                <w:sz w:val="18"/>
                <w:szCs w:val="18"/>
              </w:rPr>
              <w:t xml:space="preserve"> through the system</w:t>
            </w:r>
            <w:r w:rsidR="00D52D8F" w:rsidRPr="00494269">
              <w:rPr>
                <w:rFonts w:ascii="Century Gothic" w:hAnsi="Century Gothic" w:cs="Arial"/>
                <w:color w:val="0070C0"/>
                <w:sz w:val="18"/>
                <w:szCs w:val="18"/>
              </w:rPr>
              <w:t>.</w:t>
            </w:r>
          </w:p>
          <w:p w14:paraId="0FBF3460" w14:textId="77777777" w:rsidR="00300A43" w:rsidRPr="00494269" w:rsidRDefault="00300A43" w:rsidP="007D5010">
            <w:pPr>
              <w:pStyle w:val="PlainText"/>
              <w:numPr>
                <w:ilvl w:val="0"/>
                <w:numId w:val="11"/>
              </w:numPr>
              <w:spacing w:line="276" w:lineRule="auto"/>
              <w:ind w:left="357" w:hanging="357"/>
              <w:contextualSpacing/>
              <w:jc w:val="left"/>
              <w:rPr>
                <w:rFonts w:ascii="Century Gothic" w:hAnsi="Century Gothic" w:cs="Arial"/>
                <w:sz w:val="18"/>
                <w:szCs w:val="18"/>
              </w:rPr>
            </w:pPr>
            <w:r>
              <w:rPr>
                <w:rFonts w:ascii="Century Gothic" w:hAnsi="Century Gothic" w:cs="Arial"/>
                <w:sz w:val="18"/>
                <w:szCs w:val="18"/>
              </w:rPr>
              <w:t>Water quality to support aquatic biota and normal biogeochemical processes</w:t>
            </w:r>
            <w:r w:rsidRPr="00494269">
              <w:rPr>
                <w:rFonts w:ascii="Century Gothic" w:hAnsi="Century Gothic" w:cs="Arial"/>
                <w:sz w:val="18"/>
                <w:szCs w:val="18"/>
              </w:rPr>
              <w:t>?</w:t>
            </w:r>
          </w:p>
          <w:p w14:paraId="124B7F57" w14:textId="4E002926" w:rsidR="00F32976" w:rsidRPr="00CC5BC4" w:rsidRDefault="00F32976" w:rsidP="00F32976">
            <w:pPr>
              <w:pStyle w:val="PlainText"/>
              <w:spacing w:line="276" w:lineRule="auto"/>
              <w:ind w:left="360"/>
              <w:contextualSpacing/>
              <w:jc w:val="left"/>
              <w:rPr>
                <w:rFonts w:ascii="Century Gothic" w:hAnsi="Century Gothic"/>
                <w:color w:val="4F81BD" w:themeColor="accent1"/>
                <w:sz w:val="18"/>
                <w:szCs w:val="18"/>
              </w:rPr>
            </w:pPr>
            <w:r w:rsidRPr="00CC5BC4">
              <w:rPr>
                <w:rFonts w:ascii="Century Gothic" w:hAnsi="Century Gothic" w:cs="Arial"/>
                <w:color w:val="0070C0"/>
                <w:sz w:val="18"/>
                <w:szCs w:val="18"/>
              </w:rPr>
              <w:t xml:space="preserve">Reduced salinity concentrations in the </w:t>
            </w:r>
            <w:r>
              <w:rPr>
                <w:rFonts w:ascii="Century Gothic" w:hAnsi="Century Gothic" w:cs="Arial"/>
                <w:color w:val="0070C0"/>
                <w:sz w:val="18"/>
                <w:szCs w:val="18"/>
              </w:rPr>
              <w:t xml:space="preserve">Lower Lakes and </w:t>
            </w:r>
            <w:r w:rsidRPr="00CC5BC4">
              <w:rPr>
                <w:rFonts w:ascii="Century Gothic" w:hAnsi="Century Gothic" w:cs="Arial"/>
                <w:color w:val="0070C0"/>
                <w:sz w:val="18"/>
                <w:szCs w:val="18"/>
              </w:rPr>
              <w:t>Murray Mouth</w:t>
            </w:r>
            <w:r w:rsidR="00AB4693">
              <w:rPr>
                <w:rFonts w:ascii="Century Gothic" w:hAnsi="Century Gothic" w:cs="Arial"/>
                <w:color w:val="0070C0"/>
                <w:sz w:val="18"/>
                <w:szCs w:val="18"/>
              </w:rPr>
              <w:t xml:space="preserve"> may have </w:t>
            </w:r>
            <w:r>
              <w:rPr>
                <w:rFonts w:ascii="Century Gothic" w:hAnsi="Century Gothic" w:cs="Arial"/>
                <w:color w:val="0070C0"/>
                <w:sz w:val="18"/>
                <w:szCs w:val="18"/>
              </w:rPr>
              <w:t xml:space="preserve">improved habitat for </w:t>
            </w:r>
            <w:r w:rsidR="00DD02F9">
              <w:rPr>
                <w:rFonts w:ascii="Century Gothic" w:hAnsi="Century Gothic" w:cs="Arial"/>
                <w:color w:val="0070C0"/>
                <w:sz w:val="18"/>
                <w:szCs w:val="18"/>
              </w:rPr>
              <w:t xml:space="preserve">freshwater and </w:t>
            </w:r>
            <w:r>
              <w:rPr>
                <w:rFonts w:ascii="Century Gothic" w:hAnsi="Century Gothic" w:cs="Arial"/>
                <w:color w:val="0070C0"/>
                <w:sz w:val="18"/>
                <w:szCs w:val="18"/>
              </w:rPr>
              <w:t>estuarine biota in the region.</w:t>
            </w:r>
          </w:p>
          <w:p w14:paraId="0B614E75" w14:textId="17D116FA" w:rsidR="00607854" w:rsidRPr="00494269" w:rsidRDefault="00607854" w:rsidP="007D5010">
            <w:pPr>
              <w:pStyle w:val="PlainText"/>
              <w:numPr>
                <w:ilvl w:val="0"/>
                <w:numId w:val="11"/>
              </w:numPr>
              <w:spacing w:line="276" w:lineRule="auto"/>
              <w:ind w:left="357" w:hanging="357"/>
              <w:contextualSpacing/>
              <w:jc w:val="left"/>
              <w:rPr>
                <w:rFonts w:ascii="Century Gothic" w:hAnsi="Century Gothic" w:cs="Arial"/>
                <w:sz w:val="18"/>
                <w:szCs w:val="18"/>
              </w:rPr>
            </w:pPr>
            <w:r>
              <w:rPr>
                <w:rFonts w:ascii="Century Gothic" w:hAnsi="Century Gothic" w:cs="Arial"/>
                <w:sz w:val="18"/>
                <w:szCs w:val="18"/>
              </w:rPr>
              <w:t>Ecosystem function</w:t>
            </w:r>
            <w:r w:rsidRPr="00494269">
              <w:rPr>
                <w:rFonts w:ascii="Century Gothic" w:hAnsi="Century Gothic" w:cs="Arial"/>
                <w:sz w:val="18"/>
                <w:szCs w:val="18"/>
              </w:rPr>
              <w:t>?</w:t>
            </w:r>
          </w:p>
          <w:p w14:paraId="2F0B94FA" w14:textId="2FCEB237" w:rsidR="00607854" w:rsidRPr="00CC5BC4" w:rsidRDefault="00F32976" w:rsidP="007D5010">
            <w:pPr>
              <w:pStyle w:val="PlainText"/>
              <w:spacing w:line="276" w:lineRule="auto"/>
              <w:ind w:left="360"/>
              <w:contextualSpacing/>
              <w:jc w:val="left"/>
              <w:rPr>
                <w:rFonts w:ascii="Century Gothic" w:hAnsi="Century Gothic"/>
                <w:color w:val="4F81BD" w:themeColor="accent1"/>
                <w:sz w:val="18"/>
                <w:szCs w:val="18"/>
              </w:rPr>
            </w:pPr>
            <w:r>
              <w:rPr>
                <w:rFonts w:ascii="Century Gothic" w:hAnsi="Century Gothic" w:cs="Arial"/>
                <w:color w:val="0070C0"/>
                <w:sz w:val="18"/>
                <w:szCs w:val="18"/>
              </w:rPr>
              <w:t xml:space="preserve">Increased exchange of nutrients and phytoplankton between critical habitats of the Lower Murray would may have supported </w:t>
            </w:r>
            <w:r w:rsidRPr="00494269">
              <w:rPr>
                <w:rFonts w:ascii="Century Gothic" w:hAnsi="Century Gothic" w:cs="Arial"/>
                <w:color w:val="0070C0"/>
                <w:sz w:val="18"/>
                <w:szCs w:val="18"/>
              </w:rPr>
              <w:t xml:space="preserve">primary and secondary productivity in the </w:t>
            </w:r>
            <w:r>
              <w:rPr>
                <w:rFonts w:ascii="Century Gothic" w:hAnsi="Century Gothic" w:cs="Arial"/>
                <w:color w:val="0070C0"/>
                <w:sz w:val="18"/>
                <w:szCs w:val="18"/>
              </w:rPr>
              <w:t>region and in doing so supported food webs of the LMR, Lower Lakes and Coorong.</w:t>
            </w:r>
          </w:p>
          <w:p w14:paraId="133179D7" w14:textId="1A3A8A3B" w:rsidR="00A857C8" w:rsidRPr="00494269" w:rsidRDefault="00A857C8" w:rsidP="007D5010">
            <w:pPr>
              <w:pStyle w:val="PlainText"/>
              <w:spacing w:line="276" w:lineRule="auto"/>
              <w:ind w:left="360"/>
              <w:contextualSpacing/>
              <w:jc w:val="left"/>
              <w:rPr>
                <w:rFonts w:ascii="Century Gothic" w:hAnsi="Century Gothic" w:cs="Arial"/>
                <w:b/>
                <w:sz w:val="18"/>
                <w:szCs w:val="18"/>
              </w:rPr>
            </w:pPr>
          </w:p>
        </w:tc>
        <w:tc>
          <w:tcPr>
            <w:tcW w:w="2868" w:type="pct"/>
            <w:shd w:val="clear" w:color="auto" w:fill="FFFFFF"/>
          </w:tcPr>
          <w:p w14:paraId="6C1BEC1E" w14:textId="44C4D0C5" w:rsidR="005A789D" w:rsidRPr="00494269" w:rsidRDefault="005A789D" w:rsidP="007D5010">
            <w:pPr>
              <w:jc w:val="left"/>
              <w:rPr>
                <w:sz w:val="18"/>
                <w:szCs w:val="18"/>
              </w:rPr>
            </w:pPr>
            <w:r w:rsidRPr="00494269">
              <w:rPr>
                <w:sz w:val="18"/>
                <w:szCs w:val="18"/>
              </w:rPr>
              <w:t>The modelling suggests that e</w:t>
            </w:r>
            <w:r w:rsidR="00DC31DF">
              <w:rPr>
                <w:sz w:val="18"/>
                <w:szCs w:val="18"/>
              </w:rPr>
              <w:t>nvironmental w</w:t>
            </w:r>
            <w:r w:rsidR="00336B0F" w:rsidRPr="00494269">
              <w:rPr>
                <w:sz w:val="18"/>
                <w:szCs w:val="18"/>
              </w:rPr>
              <w:t>ater</w:t>
            </w:r>
            <w:r w:rsidRPr="00494269">
              <w:rPr>
                <w:sz w:val="18"/>
                <w:szCs w:val="18"/>
              </w:rPr>
              <w:t xml:space="preserve"> impacted </w:t>
            </w:r>
            <w:r w:rsidR="00DC31DF">
              <w:rPr>
                <w:sz w:val="18"/>
                <w:szCs w:val="18"/>
              </w:rPr>
              <w:t xml:space="preserve">positively </w:t>
            </w:r>
            <w:r w:rsidRPr="00494269">
              <w:rPr>
                <w:sz w:val="18"/>
                <w:szCs w:val="18"/>
              </w:rPr>
              <w:t xml:space="preserve">on the concentrations of </w:t>
            </w:r>
            <w:r w:rsidR="003A25C0">
              <w:rPr>
                <w:sz w:val="18"/>
                <w:szCs w:val="18"/>
              </w:rPr>
              <w:t xml:space="preserve">dissolved and particulate </w:t>
            </w:r>
            <w:r w:rsidRPr="00494269">
              <w:rPr>
                <w:sz w:val="18"/>
                <w:szCs w:val="18"/>
              </w:rPr>
              <w:t>matter. This was observed through:</w:t>
            </w:r>
          </w:p>
          <w:p w14:paraId="063E31E3" w14:textId="17A87612" w:rsidR="00121F16" w:rsidRPr="00494269" w:rsidRDefault="00F06A84" w:rsidP="007D5010">
            <w:pPr>
              <w:pStyle w:val="ListParagraph"/>
              <w:numPr>
                <w:ilvl w:val="0"/>
                <w:numId w:val="22"/>
              </w:numPr>
              <w:ind w:left="360"/>
              <w:jc w:val="left"/>
              <w:rPr>
                <w:sz w:val="18"/>
                <w:szCs w:val="18"/>
              </w:rPr>
            </w:pPr>
            <w:r>
              <w:rPr>
                <w:sz w:val="18"/>
                <w:szCs w:val="18"/>
              </w:rPr>
              <w:t>Minor reduction in salinity in the Murray River Channel and Lower Lakes and a</w:t>
            </w:r>
            <w:r w:rsidRPr="00494269">
              <w:rPr>
                <w:sz w:val="18"/>
                <w:szCs w:val="18"/>
              </w:rPr>
              <w:t xml:space="preserve"> </w:t>
            </w:r>
            <w:r>
              <w:rPr>
                <w:sz w:val="18"/>
                <w:szCs w:val="18"/>
              </w:rPr>
              <w:t xml:space="preserve">significant </w:t>
            </w:r>
            <w:r w:rsidRPr="00494269">
              <w:rPr>
                <w:sz w:val="18"/>
                <w:szCs w:val="18"/>
              </w:rPr>
              <w:t xml:space="preserve">reduction in salinity </w:t>
            </w:r>
            <w:r>
              <w:rPr>
                <w:sz w:val="18"/>
                <w:szCs w:val="18"/>
              </w:rPr>
              <w:t xml:space="preserve">levels </w:t>
            </w:r>
            <w:r w:rsidRPr="00494269">
              <w:rPr>
                <w:sz w:val="18"/>
                <w:szCs w:val="18"/>
              </w:rPr>
              <w:t>in the Murray Mouth, with median salinities of 2</w:t>
            </w:r>
            <w:r>
              <w:rPr>
                <w:sz w:val="18"/>
                <w:szCs w:val="18"/>
              </w:rPr>
              <w:t>7</w:t>
            </w:r>
            <w:r w:rsidRPr="00494269">
              <w:rPr>
                <w:sz w:val="18"/>
                <w:szCs w:val="18"/>
              </w:rPr>
              <w:t>.7</w:t>
            </w:r>
            <w:r>
              <w:rPr>
                <w:sz w:val="18"/>
                <w:szCs w:val="18"/>
              </w:rPr>
              <w:t>3</w:t>
            </w:r>
            <w:r w:rsidRPr="00494269">
              <w:rPr>
                <w:sz w:val="18"/>
                <w:szCs w:val="18"/>
              </w:rPr>
              <w:t xml:space="preserve"> PSU with all water compared to 3</w:t>
            </w:r>
            <w:r>
              <w:rPr>
                <w:sz w:val="18"/>
                <w:szCs w:val="18"/>
              </w:rPr>
              <w:t>5.23</w:t>
            </w:r>
            <w:r w:rsidRPr="00494269">
              <w:rPr>
                <w:sz w:val="18"/>
                <w:szCs w:val="18"/>
              </w:rPr>
              <w:t xml:space="preserve"> PSU without CEW.</w:t>
            </w:r>
          </w:p>
          <w:p w14:paraId="34C4CD9E" w14:textId="4B355E58" w:rsidR="00F32976" w:rsidRPr="00494269" w:rsidRDefault="00F32976" w:rsidP="00F32976">
            <w:pPr>
              <w:pStyle w:val="ListParagraph"/>
              <w:numPr>
                <w:ilvl w:val="0"/>
                <w:numId w:val="22"/>
              </w:numPr>
              <w:ind w:left="360"/>
              <w:jc w:val="left"/>
              <w:rPr>
                <w:sz w:val="18"/>
                <w:szCs w:val="18"/>
              </w:rPr>
            </w:pPr>
            <w:r>
              <w:rPr>
                <w:sz w:val="18"/>
                <w:szCs w:val="18"/>
              </w:rPr>
              <w:t>M</w:t>
            </w:r>
            <w:r w:rsidRPr="00494269">
              <w:rPr>
                <w:sz w:val="18"/>
                <w:szCs w:val="18"/>
              </w:rPr>
              <w:t xml:space="preserve">inor differences in the nutrient concentrations, with the most apparent differences being higher </w:t>
            </w:r>
            <w:r>
              <w:rPr>
                <w:sz w:val="18"/>
                <w:szCs w:val="18"/>
              </w:rPr>
              <w:t xml:space="preserve">silica in the Lower Lakes </w:t>
            </w:r>
            <w:r w:rsidRPr="00494269">
              <w:rPr>
                <w:sz w:val="18"/>
                <w:szCs w:val="18"/>
              </w:rPr>
              <w:t>with CEW.</w:t>
            </w:r>
          </w:p>
          <w:p w14:paraId="4CE445BC" w14:textId="48191FA8" w:rsidR="00121F16" w:rsidRPr="00494269" w:rsidRDefault="00121F16" w:rsidP="007D5010">
            <w:pPr>
              <w:jc w:val="left"/>
              <w:rPr>
                <w:sz w:val="18"/>
                <w:szCs w:val="18"/>
              </w:rPr>
            </w:pPr>
            <w:r w:rsidRPr="00494269">
              <w:rPr>
                <w:sz w:val="18"/>
                <w:szCs w:val="18"/>
              </w:rPr>
              <w:t>The modelling suggests that e</w:t>
            </w:r>
            <w:r w:rsidR="00DC31DF">
              <w:rPr>
                <w:sz w:val="18"/>
                <w:szCs w:val="18"/>
              </w:rPr>
              <w:t>nvironmental w</w:t>
            </w:r>
            <w:r w:rsidR="00336B0F" w:rsidRPr="00494269">
              <w:rPr>
                <w:sz w:val="18"/>
                <w:szCs w:val="18"/>
              </w:rPr>
              <w:t>ater</w:t>
            </w:r>
            <w:r w:rsidRPr="00494269">
              <w:rPr>
                <w:sz w:val="18"/>
                <w:szCs w:val="18"/>
              </w:rPr>
              <w:t xml:space="preserve"> increased the export of dissolved and particulate matter. This was observed through:</w:t>
            </w:r>
          </w:p>
          <w:p w14:paraId="6C542A2A" w14:textId="5DA06C69" w:rsidR="00121F16" w:rsidRPr="00494269" w:rsidRDefault="00371B41" w:rsidP="007D5010">
            <w:pPr>
              <w:pStyle w:val="ListParagraph"/>
              <w:numPr>
                <w:ilvl w:val="0"/>
                <w:numId w:val="24"/>
              </w:numPr>
              <w:ind w:left="300"/>
              <w:jc w:val="left"/>
              <w:rPr>
                <w:sz w:val="18"/>
                <w:szCs w:val="18"/>
              </w:rPr>
            </w:pPr>
            <w:r w:rsidRPr="00494269">
              <w:rPr>
                <w:sz w:val="18"/>
                <w:szCs w:val="18"/>
              </w:rPr>
              <w:t>I</w:t>
            </w:r>
            <w:r w:rsidR="00121F16" w:rsidRPr="00494269">
              <w:rPr>
                <w:sz w:val="18"/>
                <w:szCs w:val="18"/>
              </w:rPr>
              <w:t>ncreased salt exports from the Murray River Channel</w:t>
            </w:r>
            <w:r w:rsidR="00A570C1">
              <w:rPr>
                <w:sz w:val="18"/>
                <w:szCs w:val="18"/>
              </w:rPr>
              <w:t xml:space="preserve"> and</w:t>
            </w:r>
            <w:r w:rsidR="00121F16" w:rsidRPr="00494269">
              <w:rPr>
                <w:sz w:val="18"/>
                <w:szCs w:val="18"/>
              </w:rPr>
              <w:t xml:space="preserve"> Lower Lakes</w:t>
            </w:r>
            <w:r w:rsidR="00A570C1">
              <w:rPr>
                <w:sz w:val="18"/>
                <w:szCs w:val="18"/>
              </w:rPr>
              <w:t>,</w:t>
            </w:r>
            <w:r w:rsidR="00121F16" w:rsidRPr="00494269">
              <w:rPr>
                <w:sz w:val="18"/>
                <w:szCs w:val="18"/>
              </w:rPr>
              <w:t xml:space="preserve"> and </w:t>
            </w:r>
            <w:r w:rsidR="00A570C1">
              <w:rPr>
                <w:sz w:val="18"/>
                <w:szCs w:val="18"/>
              </w:rPr>
              <w:t>decr</w:t>
            </w:r>
            <w:r w:rsidR="00D52D8F">
              <w:rPr>
                <w:sz w:val="18"/>
                <w:szCs w:val="18"/>
              </w:rPr>
              <w:t>eased net import of salt to the</w:t>
            </w:r>
            <w:r w:rsidR="00D52D8F" w:rsidRPr="00494269">
              <w:rPr>
                <w:sz w:val="18"/>
                <w:szCs w:val="18"/>
              </w:rPr>
              <w:t xml:space="preserve"> Coorong</w:t>
            </w:r>
            <w:r w:rsidR="00D52D8F">
              <w:rPr>
                <w:sz w:val="18"/>
                <w:szCs w:val="18"/>
              </w:rPr>
              <w:t xml:space="preserve">. </w:t>
            </w:r>
            <w:r w:rsidR="00D52D8F" w:rsidRPr="00494269">
              <w:rPr>
                <w:sz w:val="18"/>
                <w:szCs w:val="18"/>
              </w:rPr>
              <w:t>CEW</w:t>
            </w:r>
            <w:r w:rsidR="00D52D8F">
              <w:rPr>
                <w:sz w:val="18"/>
                <w:szCs w:val="18"/>
              </w:rPr>
              <w:t xml:space="preserve"> contributed to 41</w:t>
            </w:r>
            <w:r w:rsidR="00D52D8F" w:rsidRPr="00494269">
              <w:rPr>
                <w:sz w:val="18"/>
                <w:szCs w:val="18"/>
              </w:rPr>
              <w:t xml:space="preserve">% and </w:t>
            </w:r>
            <w:r w:rsidR="00D52D8F">
              <w:rPr>
                <w:sz w:val="18"/>
                <w:szCs w:val="18"/>
              </w:rPr>
              <w:t>87</w:t>
            </w:r>
            <w:r w:rsidR="00D52D8F" w:rsidRPr="00494269">
              <w:rPr>
                <w:sz w:val="18"/>
                <w:szCs w:val="18"/>
              </w:rPr>
              <w:t xml:space="preserve">% of the total modelled export </w:t>
            </w:r>
            <w:r w:rsidR="00D52D8F">
              <w:rPr>
                <w:sz w:val="18"/>
                <w:szCs w:val="18"/>
              </w:rPr>
              <w:t xml:space="preserve">of salt </w:t>
            </w:r>
            <w:r w:rsidR="00D52D8F" w:rsidRPr="00494269">
              <w:rPr>
                <w:sz w:val="18"/>
                <w:szCs w:val="18"/>
              </w:rPr>
              <w:t xml:space="preserve">from the Murray River Channel and Lower Lakes, respectively. There was a net modelled import of salt to the Coorong of </w:t>
            </w:r>
            <w:r w:rsidR="00D52D8F">
              <w:rPr>
                <w:sz w:val="18"/>
                <w:szCs w:val="18"/>
              </w:rPr>
              <w:t xml:space="preserve">1,850,028 </w:t>
            </w:r>
            <w:r w:rsidR="00D52D8F" w:rsidRPr="00494269">
              <w:rPr>
                <w:sz w:val="18"/>
                <w:szCs w:val="18"/>
              </w:rPr>
              <w:t>tonnes with all water</w:t>
            </w:r>
            <w:r w:rsidR="00D52D8F" w:rsidRPr="00494269" w:rsidDel="00E23B44">
              <w:rPr>
                <w:sz w:val="18"/>
                <w:szCs w:val="18"/>
              </w:rPr>
              <w:t xml:space="preserve"> </w:t>
            </w:r>
            <w:r w:rsidR="00D52D8F" w:rsidRPr="00494269">
              <w:rPr>
                <w:sz w:val="18"/>
                <w:szCs w:val="18"/>
              </w:rPr>
              <w:t>during 201</w:t>
            </w:r>
            <w:r w:rsidR="00D52D8F">
              <w:rPr>
                <w:sz w:val="18"/>
                <w:szCs w:val="18"/>
              </w:rPr>
              <w:t>5</w:t>
            </w:r>
            <w:r w:rsidR="00D52D8F" w:rsidRPr="00494269">
              <w:rPr>
                <w:sz w:val="18"/>
                <w:szCs w:val="18"/>
              </w:rPr>
              <w:t>/1</w:t>
            </w:r>
            <w:r w:rsidR="00D52D8F">
              <w:rPr>
                <w:sz w:val="18"/>
                <w:szCs w:val="18"/>
              </w:rPr>
              <w:t xml:space="preserve">6, but the modelling suggests that </w:t>
            </w:r>
            <w:r w:rsidR="00D52D8F" w:rsidRPr="00494269">
              <w:rPr>
                <w:sz w:val="18"/>
                <w:szCs w:val="18"/>
              </w:rPr>
              <w:t>without CEW</w:t>
            </w:r>
            <w:r w:rsidR="00D52D8F" w:rsidRPr="00494269" w:rsidDel="00766199">
              <w:rPr>
                <w:sz w:val="18"/>
                <w:szCs w:val="18"/>
              </w:rPr>
              <w:t xml:space="preserve"> </w:t>
            </w:r>
            <w:r w:rsidR="00D52D8F" w:rsidRPr="00494269">
              <w:rPr>
                <w:sz w:val="18"/>
                <w:szCs w:val="18"/>
              </w:rPr>
              <w:t xml:space="preserve">this would have </w:t>
            </w:r>
            <w:r w:rsidR="00D52D8F">
              <w:rPr>
                <w:sz w:val="18"/>
                <w:szCs w:val="18"/>
              </w:rPr>
              <w:t>been</w:t>
            </w:r>
            <w:r w:rsidR="00D52D8F" w:rsidRPr="00494269">
              <w:rPr>
                <w:sz w:val="18"/>
                <w:szCs w:val="18"/>
              </w:rPr>
              <w:t xml:space="preserve"> </w:t>
            </w:r>
            <w:r w:rsidR="00D52D8F">
              <w:rPr>
                <w:sz w:val="18"/>
                <w:szCs w:val="18"/>
              </w:rPr>
              <w:t>6,441,297</w:t>
            </w:r>
            <w:r w:rsidR="00D52D8F" w:rsidRPr="00494269">
              <w:rPr>
                <w:sz w:val="18"/>
                <w:szCs w:val="18"/>
              </w:rPr>
              <w:t xml:space="preserve"> </w:t>
            </w:r>
            <w:r w:rsidR="00121F16" w:rsidRPr="00494269">
              <w:rPr>
                <w:sz w:val="18"/>
                <w:szCs w:val="18"/>
              </w:rPr>
              <w:t>tonnes.</w:t>
            </w:r>
          </w:p>
          <w:p w14:paraId="4F14EF07" w14:textId="597129BD" w:rsidR="00F32976" w:rsidRPr="00494269" w:rsidRDefault="00F32976" w:rsidP="00F32976">
            <w:pPr>
              <w:pStyle w:val="ListParagraph"/>
              <w:numPr>
                <w:ilvl w:val="0"/>
                <w:numId w:val="24"/>
              </w:numPr>
              <w:ind w:left="300"/>
              <w:jc w:val="left"/>
              <w:rPr>
                <w:sz w:val="18"/>
                <w:szCs w:val="18"/>
              </w:rPr>
            </w:pPr>
            <w:r w:rsidRPr="00494269">
              <w:rPr>
                <w:sz w:val="18"/>
                <w:szCs w:val="18"/>
              </w:rPr>
              <w:t>Increased exports of nutrients from the Murray River Channel, Lower Lakes and Murray Mouth. The most apparent differences in exports associated with e</w:t>
            </w:r>
            <w:r>
              <w:rPr>
                <w:sz w:val="18"/>
                <w:szCs w:val="18"/>
              </w:rPr>
              <w:t>nvironmental w</w:t>
            </w:r>
            <w:r w:rsidRPr="00494269">
              <w:rPr>
                <w:sz w:val="18"/>
                <w:szCs w:val="18"/>
              </w:rPr>
              <w:t xml:space="preserve">ater were for silica, with CEW </w:t>
            </w:r>
            <w:r>
              <w:rPr>
                <w:sz w:val="18"/>
                <w:szCs w:val="18"/>
              </w:rPr>
              <w:t>contributing 41</w:t>
            </w:r>
            <w:r w:rsidRPr="00494269">
              <w:rPr>
                <w:sz w:val="18"/>
                <w:szCs w:val="18"/>
              </w:rPr>
              <w:t>%</w:t>
            </w:r>
            <w:r>
              <w:rPr>
                <w:sz w:val="18"/>
                <w:szCs w:val="18"/>
              </w:rPr>
              <w:t xml:space="preserve"> and</w:t>
            </w:r>
            <w:r w:rsidRPr="00494269">
              <w:rPr>
                <w:sz w:val="18"/>
                <w:szCs w:val="18"/>
              </w:rPr>
              <w:t xml:space="preserve"> </w:t>
            </w:r>
            <w:r>
              <w:rPr>
                <w:sz w:val="18"/>
                <w:szCs w:val="18"/>
              </w:rPr>
              <w:t>95</w:t>
            </w:r>
            <w:r w:rsidRPr="00494269">
              <w:rPr>
                <w:sz w:val="18"/>
                <w:szCs w:val="18"/>
              </w:rPr>
              <w:t>% of the total silica exports from the Murray River Channel</w:t>
            </w:r>
            <w:r>
              <w:rPr>
                <w:sz w:val="18"/>
                <w:szCs w:val="18"/>
              </w:rPr>
              <w:t xml:space="preserve"> and </w:t>
            </w:r>
            <w:r w:rsidRPr="00494269">
              <w:rPr>
                <w:sz w:val="18"/>
                <w:szCs w:val="18"/>
              </w:rPr>
              <w:t>Lower</w:t>
            </w:r>
            <w:r>
              <w:rPr>
                <w:sz w:val="18"/>
                <w:szCs w:val="18"/>
              </w:rPr>
              <w:t xml:space="preserve"> Lakes</w:t>
            </w:r>
            <w:r w:rsidRPr="00494269">
              <w:rPr>
                <w:sz w:val="18"/>
                <w:szCs w:val="18"/>
              </w:rPr>
              <w:t xml:space="preserve">, respectively. </w:t>
            </w:r>
            <w:r>
              <w:rPr>
                <w:sz w:val="18"/>
                <w:szCs w:val="18"/>
              </w:rPr>
              <w:t xml:space="preserve">Whilst 395 tonnes of silica was exported from the Lower Lakes to the Coorong with all water, without CEW there was only 20 tonnes of silica exported. </w:t>
            </w:r>
            <w:r w:rsidRPr="00494269">
              <w:rPr>
                <w:sz w:val="18"/>
                <w:szCs w:val="18"/>
              </w:rPr>
              <w:t xml:space="preserve">Silica is a particularly important nutrient for supporting the growth of diatoms, a phytoplankton group that is generally considered to be of high nutritional quality in coastal and riverine </w:t>
            </w:r>
            <w:r>
              <w:rPr>
                <w:sz w:val="18"/>
                <w:szCs w:val="18"/>
              </w:rPr>
              <w:t>eco</w:t>
            </w:r>
            <w:r w:rsidRPr="00494269">
              <w:rPr>
                <w:sz w:val="18"/>
                <w:szCs w:val="18"/>
              </w:rPr>
              <w:t xml:space="preserve">systems. As such, the </w:t>
            </w:r>
            <w:r w:rsidRPr="00494269">
              <w:rPr>
                <w:sz w:val="18"/>
                <w:szCs w:val="18"/>
              </w:rPr>
              <w:lastRenderedPageBreak/>
              <w:t xml:space="preserve">increased export of silica associated with CEW </w:t>
            </w:r>
            <w:r>
              <w:rPr>
                <w:sz w:val="18"/>
                <w:szCs w:val="18"/>
              </w:rPr>
              <w:t>may have</w:t>
            </w:r>
            <w:r w:rsidRPr="00494269">
              <w:rPr>
                <w:sz w:val="18"/>
                <w:szCs w:val="18"/>
              </w:rPr>
              <w:t xml:space="preserve"> support</w:t>
            </w:r>
            <w:r>
              <w:rPr>
                <w:sz w:val="18"/>
                <w:szCs w:val="18"/>
              </w:rPr>
              <w:t>ed</w:t>
            </w:r>
            <w:r w:rsidRPr="00494269">
              <w:rPr>
                <w:sz w:val="18"/>
                <w:szCs w:val="18"/>
              </w:rPr>
              <w:t xml:space="preserve"> increased secondary productivity in the </w:t>
            </w:r>
            <w:r>
              <w:rPr>
                <w:sz w:val="18"/>
                <w:szCs w:val="18"/>
              </w:rPr>
              <w:t xml:space="preserve">Murray River Channel, Lower Lakes and </w:t>
            </w:r>
            <w:r w:rsidRPr="00494269">
              <w:rPr>
                <w:sz w:val="18"/>
                <w:szCs w:val="18"/>
              </w:rPr>
              <w:t xml:space="preserve">Coorong. </w:t>
            </w:r>
          </w:p>
          <w:p w14:paraId="54E99E95" w14:textId="655B1458" w:rsidR="00A857C8" w:rsidRPr="00494269" w:rsidRDefault="00F32976" w:rsidP="00F32976">
            <w:pPr>
              <w:pStyle w:val="ListParagraph"/>
              <w:numPr>
                <w:ilvl w:val="0"/>
                <w:numId w:val="23"/>
              </w:numPr>
              <w:ind w:left="300"/>
              <w:jc w:val="left"/>
              <w:rPr>
                <w:sz w:val="18"/>
                <w:szCs w:val="18"/>
              </w:rPr>
            </w:pPr>
            <w:r w:rsidRPr="00494269">
              <w:rPr>
                <w:sz w:val="18"/>
                <w:szCs w:val="18"/>
              </w:rPr>
              <w:t xml:space="preserve">Increased exports of phytoplankton biomass from the Murray River Channel, Lower Lakes and Murray Mouth. This </w:t>
            </w:r>
            <w:r>
              <w:rPr>
                <w:sz w:val="18"/>
                <w:szCs w:val="18"/>
              </w:rPr>
              <w:t>may have</w:t>
            </w:r>
            <w:r w:rsidRPr="00494269">
              <w:rPr>
                <w:sz w:val="18"/>
                <w:szCs w:val="18"/>
              </w:rPr>
              <w:t xml:space="preserve"> provide</w:t>
            </w:r>
            <w:r>
              <w:rPr>
                <w:sz w:val="18"/>
                <w:szCs w:val="18"/>
              </w:rPr>
              <w:t>d</w:t>
            </w:r>
            <w:r w:rsidRPr="00494269">
              <w:rPr>
                <w:sz w:val="18"/>
                <w:szCs w:val="18"/>
              </w:rPr>
              <w:t xml:space="preserve"> benefits for the Lower Lakes, Coorong and near-shore environment by providing energy to support secondary productivity, as phytoplankton are consumed by higher trophic organisms (e.g. zooplankton).</w:t>
            </w:r>
          </w:p>
        </w:tc>
      </w:tr>
      <w:tr w:rsidR="00E60249" w:rsidRPr="00494269" w14:paraId="0EE0FDAE" w14:textId="77777777" w:rsidTr="00E26136">
        <w:trPr>
          <w:cantSplit/>
          <w:trHeight w:val="1490"/>
        </w:trPr>
        <w:tc>
          <w:tcPr>
            <w:tcW w:w="506" w:type="pct"/>
            <w:shd w:val="clear" w:color="auto" w:fill="FFFFFF"/>
          </w:tcPr>
          <w:p w14:paraId="37C2D6DE" w14:textId="77777777" w:rsidR="00E60249" w:rsidRPr="00494269" w:rsidRDefault="00E60249" w:rsidP="007D5010">
            <w:pPr>
              <w:spacing w:line="276" w:lineRule="auto"/>
              <w:contextualSpacing/>
              <w:jc w:val="left"/>
              <w:rPr>
                <w:rFonts w:cs="Arial"/>
                <w:b/>
                <w:sz w:val="18"/>
                <w:szCs w:val="18"/>
              </w:rPr>
            </w:pPr>
            <w:r w:rsidRPr="00494269">
              <w:rPr>
                <w:rFonts w:cs="Arial"/>
                <w:b/>
                <w:sz w:val="18"/>
                <w:szCs w:val="18"/>
              </w:rPr>
              <w:lastRenderedPageBreak/>
              <w:t>Category 3:  Micro</w:t>
            </w:r>
            <w:r w:rsidR="00CD55D4">
              <w:rPr>
                <w:rFonts w:cs="Arial"/>
                <w:b/>
                <w:sz w:val="18"/>
                <w:szCs w:val="18"/>
              </w:rPr>
              <w:t>-</w:t>
            </w:r>
            <w:r w:rsidRPr="00494269">
              <w:rPr>
                <w:rFonts w:cs="Arial"/>
                <w:b/>
                <w:sz w:val="18"/>
                <w:szCs w:val="18"/>
              </w:rPr>
              <w:t>invertebrates</w:t>
            </w:r>
          </w:p>
        </w:tc>
        <w:tc>
          <w:tcPr>
            <w:tcW w:w="1626" w:type="pct"/>
            <w:shd w:val="clear" w:color="auto" w:fill="FFFFFF"/>
          </w:tcPr>
          <w:p w14:paraId="48B9E089" w14:textId="6A457692" w:rsidR="00E60249" w:rsidRPr="00E53390" w:rsidRDefault="00E60249" w:rsidP="007D5010">
            <w:pPr>
              <w:pStyle w:val="PlainText"/>
              <w:spacing w:line="276" w:lineRule="auto"/>
              <w:jc w:val="left"/>
              <w:rPr>
                <w:rFonts w:ascii="Century Gothic" w:hAnsi="Century Gothic" w:cs="Arial"/>
                <w:sz w:val="18"/>
                <w:szCs w:val="18"/>
              </w:rPr>
            </w:pPr>
            <w:r w:rsidRPr="00E53390">
              <w:rPr>
                <w:rFonts w:ascii="Century Gothic" w:hAnsi="Century Gothic" w:cs="Arial"/>
                <w:sz w:val="18"/>
                <w:szCs w:val="18"/>
              </w:rPr>
              <w:t>What did CEW contribute:</w:t>
            </w:r>
          </w:p>
          <w:p w14:paraId="1DE7B21A" w14:textId="0FAE1A75" w:rsidR="00E60249" w:rsidRPr="00E53390" w:rsidRDefault="00607854" w:rsidP="007D5010">
            <w:pPr>
              <w:pStyle w:val="PlainText"/>
              <w:numPr>
                <w:ilvl w:val="0"/>
                <w:numId w:val="11"/>
              </w:numPr>
              <w:spacing w:line="276" w:lineRule="auto"/>
              <w:ind w:left="357" w:hanging="357"/>
              <w:contextualSpacing/>
              <w:jc w:val="left"/>
              <w:rPr>
                <w:rFonts w:ascii="Century Gothic" w:hAnsi="Century Gothic" w:cs="Arial"/>
                <w:sz w:val="18"/>
                <w:szCs w:val="18"/>
              </w:rPr>
            </w:pPr>
            <w:r w:rsidRPr="00E53390">
              <w:rPr>
                <w:rFonts w:ascii="Century Gothic" w:hAnsi="Century Gothic" w:cs="Arial"/>
                <w:sz w:val="18"/>
                <w:szCs w:val="18"/>
              </w:rPr>
              <w:t>To m</w:t>
            </w:r>
            <w:r w:rsidR="00E60249" w:rsidRPr="00E53390">
              <w:rPr>
                <w:rFonts w:ascii="Century Gothic" w:hAnsi="Century Gothic" w:cs="Arial"/>
                <w:sz w:val="18"/>
                <w:szCs w:val="18"/>
              </w:rPr>
              <w:t>icroinvertebrate diversity?</w:t>
            </w:r>
          </w:p>
          <w:p w14:paraId="3CA5F8CA" w14:textId="22B0A429" w:rsidR="00E53390" w:rsidRDefault="00F0043A" w:rsidP="007D5010">
            <w:pPr>
              <w:pStyle w:val="PlainText"/>
              <w:spacing w:line="276" w:lineRule="auto"/>
              <w:ind w:left="357"/>
              <w:contextualSpacing/>
              <w:jc w:val="left"/>
              <w:rPr>
                <w:rFonts w:ascii="Century Gothic" w:hAnsi="Century Gothic" w:cs="Arial"/>
                <w:color w:val="0070C0"/>
                <w:sz w:val="18"/>
                <w:szCs w:val="18"/>
              </w:rPr>
            </w:pPr>
            <w:r>
              <w:rPr>
                <w:rFonts w:ascii="Century Gothic" w:hAnsi="Century Gothic" w:cs="Arial"/>
                <w:color w:val="0070C0"/>
                <w:sz w:val="18"/>
                <w:szCs w:val="18"/>
              </w:rPr>
              <w:t>Peaks in</w:t>
            </w:r>
            <w:r w:rsidR="00E226B8">
              <w:rPr>
                <w:rFonts w:ascii="Century Gothic" w:hAnsi="Century Gothic" w:cs="Arial"/>
                <w:color w:val="0070C0"/>
                <w:sz w:val="18"/>
                <w:szCs w:val="18"/>
              </w:rPr>
              <w:t xml:space="preserve"> microinvertebrate diversity</w:t>
            </w:r>
            <w:r>
              <w:rPr>
                <w:rFonts w:ascii="Century Gothic" w:hAnsi="Century Gothic" w:cs="Arial"/>
                <w:color w:val="0070C0"/>
                <w:sz w:val="18"/>
                <w:szCs w:val="18"/>
              </w:rPr>
              <w:t xml:space="preserve"> </w:t>
            </w:r>
            <w:r w:rsidR="00335B22">
              <w:rPr>
                <w:rFonts w:ascii="Century Gothic" w:hAnsi="Century Gothic" w:cs="Arial"/>
                <w:color w:val="0070C0"/>
                <w:sz w:val="18"/>
                <w:szCs w:val="18"/>
              </w:rPr>
              <w:t>below</w:t>
            </w:r>
            <w:r>
              <w:rPr>
                <w:rFonts w:ascii="Century Gothic" w:hAnsi="Century Gothic" w:cs="Arial"/>
                <w:color w:val="0070C0"/>
                <w:sz w:val="18"/>
                <w:szCs w:val="18"/>
              </w:rPr>
              <w:t xml:space="preserve"> Lock 6 and Lock 1 aligned with peaks in river discharge and CEW delivery</w:t>
            </w:r>
            <w:r w:rsidR="00E226B8">
              <w:rPr>
                <w:rFonts w:ascii="Century Gothic" w:hAnsi="Century Gothic" w:cs="Arial"/>
                <w:color w:val="0070C0"/>
                <w:sz w:val="18"/>
                <w:szCs w:val="18"/>
              </w:rPr>
              <w:t>. Most</w:t>
            </w:r>
            <w:r w:rsidR="00E53390" w:rsidRPr="00E53390">
              <w:rPr>
                <w:rFonts w:ascii="Century Gothic" w:hAnsi="Century Gothic" w:cs="Arial"/>
                <w:color w:val="0070C0"/>
                <w:sz w:val="18"/>
                <w:szCs w:val="18"/>
              </w:rPr>
              <w:t xml:space="preserve"> </w:t>
            </w:r>
            <w:r w:rsidR="00E226B8">
              <w:rPr>
                <w:rFonts w:ascii="Century Gothic" w:hAnsi="Century Gothic" w:cs="Arial"/>
                <w:color w:val="0070C0"/>
                <w:sz w:val="18"/>
                <w:szCs w:val="18"/>
              </w:rPr>
              <w:t xml:space="preserve">in-channel </w:t>
            </w:r>
            <w:r w:rsidR="00E53390" w:rsidRPr="00E53390">
              <w:rPr>
                <w:rFonts w:ascii="Century Gothic" w:hAnsi="Century Gothic" w:cs="Arial"/>
                <w:color w:val="0070C0"/>
                <w:sz w:val="18"/>
                <w:szCs w:val="18"/>
              </w:rPr>
              <w:t>taxa were not true potamoplankton</w:t>
            </w:r>
            <w:r w:rsidR="001A1BFA">
              <w:rPr>
                <w:rFonts w:ascii="Century Gothic" w:hAnsi="Century Gothic" w:cs="Arial"/>
                <w:color w:val="0070C0"/>
                <w:sz w:val="18"/>
                <w:szCs w:val="18"/>
              </w:rPr>
              <w:t xml:space="preserve"> (plankton of flowing waters)</w:t>
            </w:r>
            <w:r w:rsidR="00E53390" w:rsidRPr="00E53390">
              <w:rPr>
                <w:rFonts w:ascii="Century Gothic" w:hAnsi="Century Gothic" w:cs="Arial"/>
                <w:color w:val="0070C0"/>
                <w:sz w:val="18"/>
                <w:szCs w:val="18"/>
              </w:rPr>
              <w:t xml:space="preserve">, but </w:t>
            </w:r>
            <w:r w:rsidR="00E226B8">
              <w:rPr>
                <w:rFonts w:ascii="Century Gothic" w:hAnsi="Century Gothic" w:cs="Arial"/>
                <w:color w:val="0070C0"/>
                <w:sz w:val="18"/>
                <w:szCs w:val="18"/>
              </w:rPr>
              <w:t>transported</w:t>
            </w:r>
            <w:r w:rsidR="00E226B8" w:rsidRPr="00E53390">
              <w:rPr>
                <w:rFonts w:ascii="Century Gothic" w:hAnsi="Century Gothic" w:cs="Arial"/>
                <w:color w:val="0070C0"/>
                <w:sz w:val="18"/>
                <w:szCs w:val="18"/>
              </w:rPr>
              <w:t xml:space="preserve"> </w:t>
            </w:r>
            <w:r w:rsidR="00E53390" w:rsidRPr="00E53390">
              <w:rPr>
                <w:rFonts w:ascii="Century Gothic" w:hAnsi="Century Gothic" w:cs="Arial"/>
                <w:color w:val="0070C0"/>
                <w:sz w:val="18"/>
                <w:szCs w:val="18"/>
              </w:rPr>
              <w:t>taxa from floodplain or riparian sources</w:t>
            </w:r>
            <w:r w:rsidR="00FF5893">
              <w:rPr>
                <w:rFonts w:ascii="Century Gothic" w:hAnsi="Century Gothic" w:cs="Arial"/>
                <w:color w:val="0070C0"/>
                <w:sz w:val="18"/>
                <w:szCs w:val="18"/>
              </w:rPr>
              <w:t xml:space="preserve"> (e.g. Chowilla)</w:t>
            </w:r>
            <w:r w:rsidR="002221CB">
              <w:rPr>
                <w:rFonts w:ascii="Century Gothic" w:hAnsi="Century Gothic" w:cs="Arial"/>
                <w:color w:val="0070C0"/>
                <w:sz w:val="18"/>
                <w:szCs w:val="18"/>
              </w:rPr>
              <w:t>.</w:t>
            </w:r>
          </w:p>
          <w:p w14:paraId="4A1078DD" w14:textId="3031E0E7" w:rsidR="00607854" w:rsidRPr="00E53390" w:rsidRDefault="00607854" w:rsidP="007D5010">
            <w:pPr>
              <w:pStyle w:val="PlainText"/>
              <w:numPr>
                <w:ilvl w:val="0"/>
                <w:numId w:val="11"/>
              </w:numPr>
              <w:spacing w:line="276" w:lineRule="auto"/>
              <w:ind w:left="357" w:hanging="357"/>
              <w:contextualSpacing/>
              <w:jc w:val="left"/>
              <w:rPr>
                <w:rFonts w:ascii="Century Gothic" w:hAnsi="Century Gothic" w:cs="Arial"/>
                <w:sz w:val="18"/>
                <w:szCs w:val="18"/>
              </w:rPr>
            </w:pPr>
            <w:r w:rsidRPr="00E53390">
              <w:rPr>
                <w:rFonts w:ascii="Century Gothic" w:hAnsi="Century Gothic" w:cs="Arial"/>
                <w:sz w:val="18"/>
                <w:szCs w:val="18"/>
              </w:rPr>
              <w:t>Via upstream connectivity to microinvertebrate communities of the LMR Selected Area?</w:t>
            </w:r>
          </w:p>
          <w:p w14:paraId="25600FBD" w14:textId="71001216" w:rsidR="00C04BD6" w:rsidRPr="00FF5893" w:rsidRDefault="00FF5893" w:rsidP="00FF5893">
            <w:pPr>
              <w:pStyle w:val="PlainText"/>
              <w:spacing w:line="276" w:lineRule="auto"/>
              <w:ind w:left="360"/>
              <w:contextualSpacing/>
              <w:jc w:val="left"/>
              <w:rPr>
                <w:rFonts w:ascii="Century Gothic" w:hAnsi="Century Gothic" w:cs="Arial"/>
                <w:color w:val="0070C0"/>
                <w:sz w:val="18"/>
                <w:szCs w:val="18"/>
              </w:rPr>
            </w:pPr>
            <w:r>
              <w:rPr>
                <w:rFonts w:ascii="Century Gothic" w:hAnsi="Century Gothic" w:cs="Arial"/>
                <w:color w:val="0070C0"/>
                <w:sz w:val="18"/>
                <w:szCs w:val="18"/>
              </w:rPr>
              <w:t>Many (</w:t>
            </w:r>
            <w:r w:rsidRPr="00E53390">
              <w:rPr>
                <w:rFonts w:ascii="Century Gothic" w:hAnsi="Century Gothic" w:cs="Arial"/>
                <w:color w:val="0070C0"/>
                <w:sz w:val="18"/>
                <w:szCs w:val="18"/>
              </w:rPr>
              <w:t>25%</w:t>
            </w:r>
            <w:r>
              <w:rPr>
                <w:rFonts w:ascii="Century Gothic" w:hAnsi="Century Gothic" w:cs="Arial"/>
                <w:color w:val="0070C0"/>
                <w:sz w:val="18"/>
                <w:szCs w:val="18"/>
              </w:rPr>
              <w:t>)</w:t>
            </w:r>
            <w:r w:rsidRPr="00E53390">
              <w:rPr>
                <w:rFonts w:ascii="Century Gothic" w:hAnsi="Century Gothic" w:cs="Arial"/>
                <w:color w:val="0070C0"/>
                <w:sz w:val="18"/>
                <w:szCs w:val="18"/>
              </w:rPr>
              <w:t xml:space="preserve"> microinvertebrates </w:t>
            </w:r>
            <w:r>
              <w:rPr>
                <w:rFonts w:ascii="Century Gothic" w:hAnsi="Century Gothic" w:cs="Arial"/>
                <w:color w:val="0070C0"/>
                <w:sz w:val="18"/>
                <w:szCs w:val="18"/>
              </w:rPr>
              <w:t>from</w:t>
            </w:r>
            <w:r w:rsidRPr="00E53390">
              <w:rPr>
                <w:rFonts w:ascii="Century Gothic" w:hAnsi="Century Gothic" w:cs="Arial"/>
                <w:color w:val="0070C0"/>
                <w:sz w:val="18"/>
                <w:szCs w:val="18"/>
              </w:rPr>
              <w:t xml:space="preserve"> 2015/16 were not recorded during 2014/15. Some will have originated from littoral margins </w:t>
            </w:r>
            <w:r>
              <w:rPr>
                <w:rFonts w:ascii="Century Gothic" w:hAnsi="Century Gothic" w:cs="Arial"/>
                <w:color w:val="0070C0"/>
                <w:sz w:val="18"/>
                <w:szCs w:val="18"/>
              </w:rPr>
              <w:t>in the LMR (e.g. WPR or Chowilla return flows)</w:t>
            </w:r>
            <w:r w:rsidRPr="00E53390">
              <w:rPr>
                <w:rFonts w:ascii="Century Gothic" w:hAnsi="Century Gothic" w:cs="Arial"/>
                <w:color w:val="0070C0"/>
                <w:sz w:val="18"/>
                <w:szCs w:val="18"/>
              </w:rPr>
              <w:t xml:space="preserve">, but some likely originated </w:t>
            </w:r>
            <w:r>
              <w:rPr>
                <w:rFonts w:ascii="Century Gothic" w:hAnsi="Century Gothic" w:cs="Arial"/>
                <w:color w:val="0070C0"/>
                <w:sz w:val="18"/>
                <w:szCs w:val="18"/>
              </w:rPr>
              <w:t>from</w:t>
            </w:r>
            <w:r w:rsidR="00AB18AB">
              <w:rPr>
                <w:rFonts w:ascii="Century Gothic" w:hAnsi="Century Gothic" w:cs="Arial"/>
                <w:color w:val="0070C0"/>
                <w:sz w:val="18"/>
                <w:szCs w:val="18"/>
              </w:rPr>
              <w:t xml:space="preserve"> further</w:t>
            </w:r>
            <w:r>
              <w:rPr>
                <w:rFonts w:ascii="Century Gothic" w:hAnsi="Century Gothic" w:cs="Arial"/>
                <w:color w:val="0070C0"/>
                <w:sz w:val="18"/>
                <w:szCs w:val="18"/>
              </w:rPr>
              <w:t xml:space="preserve"> </w:t>
            </w:r>
            <w:r w:rsidRPr="00E53390">
              <w:rPr>
                <w:rFonts w:ascii="Century Gothic" w:hAnsi="Century Gothic" w:cs="Arial"/>
                <w:color w:val="0070C0"/>
                <w:sz w:val="18"/>
                <w:szCs w:val="18"/>
              </w:rPr>
              <w:t>upstream, including novel taxa for the continent or for the LMR.</w:t>
            </w:r>
          </w:p>
          <w:p w14:paraId="270BE53E" w14:textId="76B0BD68" w:rsidR="00607854" w:rsidRPr="00E53390" w:rsidRDefault="00607854" w:rsidP="007D5010">
            <w:pPr>
              <w:pStyle w:val="PlainText"/>
              <w:numPr>
                <w:ilvl w:val="0"/>
                <w:numId w:val="11"/>
              </w:numPr>
              <w:spacing w:line="276" w:lineRule="auto"/>
              <w:ind w:left="357" w:hanging="357"/>
              <w:contextualSpacing/>
              <w:jc w:val="left"/>
              <w:rPr>
                <w:rFonts w:ascii="Century Gothic" w:hAnsi="Century Gothic" w:cs="Arial"/>
                <w:sz w:val="18"/>
                <w:szCs w:val="18"/>
              </w:rPr>
            </w:pPr>
            <w:r w:rsidRPr="00E53390">
              <w:rPr>
                <w:rFonts w:ascii="Century Gothic" w:hAnsi="Century Gothic" w:cs="Arial"/>
                <w:sz w:val="18"/>
                <w:szCs w:val="18"/>
              </w:rPr>
              <w:t>The timing and presence of key species in relation to the diet of large-bodied native fish larvae?</w:t>
            </w:r>
          </w:p>
          <w:p w14:paraId="52666549" w14:textId="77777777" w:rsidR="006868EB" w:rsidRPr="006868EB" w:rsidRDefault="006868EB" w:rsidP="00C32435">
            <w:pPr>
              <w:pStyle w:val="PlainText"/>
              <w:spacing w:line="276" w:lineRule="auto"/>
              <w:ind w:left="357"/>
              <w:contextualSpacing/>
              <w:jc w:val="left"/>
              <w:rPr>
                <w:rFonts w:ascii="Century Gothic" w:hAnsi="Century Gothic" w:cs="Arial"/>
                <w:sz w:val="18"/>
                <w:szCs w:val="18"/>
              </w:rPr>
            </w:pPr>
            <w:r>
              <w:rPr>
                <w:rFonts w:ascii="Century Gothic" w:hAnsi="Century Gothic" w:cs="Arial"/>
                <w:color w:val="0070C0"/>
                <w:sz w:val="18"/>
                <w:szCs w:val="18"/>
              </w:rPr>
              <w:lastRenderedPageBreak/>
              <w:t>Relationship between timing of ambient (present in the environment) microinvertebrates, driven by CEW, and their presence in fish diet could not be determined.</w:t>
            </w:r>
          </w:p>
          <w:p w14:paraId="2ADB8E88" w14:textId="3D489595" w:rsidR="00607854" w:rsidRPr="00E53390" w:rsidRDefault="00607854" w:rsidP="007D5010">
            <w:pPr>
              <w:pStyle w:val="PlainText"/>
              <w:numPr>
                <w:ilvl w:val="0"/>
                <w:numId w:val="11"/>
              </w:numPr>
              <w:spacing w:line="276" w:lineRule="auto"/>
              <w:ind w:left="357" w:hanging="357"/>
              <w:contextualSpacing/>
              <w:jc w:val="left"/>
              <w:rPr>
                <w:rFonts w:ascii="Century Gothic" w:hAnsi="Century Gothic" w:cs="Arial"/>
                <w:sz w:val="18"/>
                <w:szCs w:val="18"/>
              </w:rPr>
            </w:pPr>
            <w:r w:rsidRPr="00E53390">
              <w:rPr>
                <w:rFonts w:ascii="Century Gothic" w:hAnsi="Century Gothic" w:cs="Arial"/>
                <w:sz w:val="18"/>
                <w:szCs w:val="18"/>
              </w:rPr>
              <w:t>To microinvertebrate abundance?</w:t>
            </w:r>
          </w:p>
          <w:p w14:paraId="5CA84A1D" w14:textId="1B897BF5" w:rsidR="00607854" w:rsidRPr="00607854" w:rsidRDefault="006868EB" w:rsidP="005568AA">
            <w:pPr>
              <w:pStyle w:val="PlainText"/>
              <w:spacing w:line="276" w:lineRule="auto"/>
              <w:ind w:left="360"/>
              <w:contextualSpacing/>
              <w:jc w:val="left"/>
              <w:rPr>
                <w:rFonts w:ascii="Century Gothic" w:hAnsi="Century Gothic"/>
                <w:color w:val="4F81BD" w:themeColor="accent1"/>
                <w:sz w:val="18"/>
                <w:szCs w:val="18"/>
              </w:rPr>
            </w:pPr>
            <w:r w:rsidRPr="00E53390">
              <w:rPr>
                <w:rFonts w:ascii="Century Gothic" w:hAnsi="Century Gothic" w:cs="Arial"/>
                <w:color w:val="0070C0"/>
                <w:sz w:val="18"/>
                <w:szCs w:val="18"/>
              </w:rPr>
              <w:t>Flow</w:t>
            </w:r>
            <w:r>
              <w:rPr>
                <w:rFonts w:ascii="Century Gothic" w:hAnsi="Century Gothic" w:cs="Arial"/>
                <w:color w:val="0070C0"/>
                <w:sz w:val="18"/>
                <w:szCs w:val="18"/>
              </w:rPr>
              <w:t>, which CEW contributed to,</w:t>
            </w:r>
            <w:r w:rsidRPr="00E53390">
              <w:rPr>
                <w:rFonts w:ascii="Century Gothic" w:hAnsi="Century Gothic" w:cs="Arial"/>
                <w:color w:val="0070C0"/>
                <w:sz w:val="18"/>
                <w:szCs w:val="18"/>
              </w:rPr>
              <w:t xml:space="preserve"> was a driver of density through October</w:t>
            </w:r>
            <w:r>
              <w:rPr>
                <w:rFonts w:ascii="Century Gothic" w:hAnsi="Century Gothic" w:cs="Arial"/>
                <w:color w:val="0070C0"/>
                <w:sz w:val="18"/>
                <w:szCs w:val="18"/>
              </w:rPr>
              <w:t xml:space="preserve"> 2015</w:t>
            </w:r>
            <w:r w:rsidRPr="00E53390">
              <w:rPr>
                <w:rFonts w:ascii="Century Gothic" w:hAnsi="Century Gothic" w:cs="Arial"/>
                <w:color w:val="0070C0"/>
                <w:sz w:val="18"/>
                <w:szCs w:val="18"/>
              </w:rPr>
              <w:t>, particularly at L</w:t>
            </w:r>
            <w:r>
              <w:rPr>
                <w:rFonts w:ascii="Century Gothic" w:hAnsi="Century Gothic" w:cs="Arial"/>
                <w:color w:val="0070C0"/>
                <w:sz w:val="18"/>
                <w:szCs w:val="18"/>
              </w:rPr>
              <w:t>oc</w:t>
            </w:r>
            <w:r w:rsidRPr="00E53390">
              <w:rPr>
                <w:rFonts w:ascii="Century Gothic" w:hAnsi="Century Gothic" w:cs="Arial"/>
                <w:color w:val="0070C0"/>
                <w:sz w:val="18"/>
                <w:szCs w:val="18"/>
              </w:rPr>
              <w:t>k</w:t>
            </w:r>
            <w:r>
              <w:rPr>
                <w:rFonts w:ascii="Century Gothic" w:hAnsi="Century Gothic" w:cs="Arial"/>
                <w:color w:val="0070C0"/>
                <w:sz w:val="18"/>
                <w:szCs w:val="18"/>
              </w:rPr>
              <w:t> </w:t>
            </w:r>
            <w:r w:rsidRPr="00E53390">
              <w:rPr>
                <w:rFonts w:ascii="Century Gothic" w:hAnsi="Century Gothic" w:cs="Arial"/>
                <w:color w:val="0070C0"/>
                <w:sz w:val="18"/>
                <w:szCs w:val="18"/>
              </w:rPr>
              <w:t xml:space="preserve">1. With reduced flows </w:t>
            </w:r>
            <w:r>
              <w:rPr>
                <w:rFonts w:ascii="Century Gothic" w:hAnsi="Century Gothic" w:cs="Arial"/>
                <w:color w:val="0070C0"/>
                <w:sz w:val="18"/>
                <w:szCs w:val="18"/>
              </w:rPr>
              <w:t xml:space="preserve">and a recession of water levels, </w:t>
            </w:r>
            <w:r w:rsidRPr="00E53390">
              <w:rPr>
                <w:rFonts w:ascii="Century Gothic" w:hAnsi="Century Gothic" w:cs="Arial"/>
                <w:color w:val="0070C0"/>
                <w:sz w:val="18"/>
                <w:szCs w:val="18"/>
              </w:rPr>
              <w:t>there was</w:t>
            </w:r>
            <w:r>
              <w:rPr>
                <w:rFonts w:ascii="Century Gothic" w:hAnsi="Century Gothic" w:cs="Arial"/>
                <w:color w:val="0070C0"/>
                <w:sz w:val="18"/>
                <w:szCs w:val="18"/>
              </w:rPr>
              <w:t xml:space="preserve"> a proportional</w:t>
            </w:r>
            <w:r w:rsidRPr="00E53390">
              <w:rPr>
                <w:rFonts w:ascii="Century Gothic" w:hAnsi="Century Gothic" w:cs="Arial"/>
                <w:color w:val="0070C0"/>
                <w:sz w:val="18"/>
                <w:szCs w:val="18"/>
              </w:rPr>
              <w:t xml:space="preserve"> drop in abundance, followed by a steady increase of warm-water taxa through summer</w:t>
            </w:r>
            <w:r>
              <w:rPr>
                <w:rFonts w:ascii="Century Gothic" w:hAnsi="Century Gothic" w:cs="Arial"/>
                <w:color w:val="0070C0"/>
                <w:sz w:val="18"/>
                <w:szCs w:val="18"/>
              </w:rPr>
              <w:t>.</w:t>
            </w:r>
          </w:p>
        </w:tc>
        <w:tc>
          <w:tcPr>
            <w:tcW w:w="2868" w:type="pct"/>
            <w:shd w:val="clear" w:color="auto" w:fill="FFFFFF"/>
          </w:tcPr>
          <w:p w14:paraId="60B360A3" w14:textId="2C260028" w:rsidR="00FF5893" w:rsidRPr="00494269" w:rsidRDefault="00FF5893" w:rsidP="00FF5893">
            <w:pPr>
              <w:rPr>
                <w:rFonts w:cs="Arial"/>
                <w:sz w:val="18"/>
                <w:szCs w:val="18"/>
              </w:rPr>
            </w:pPr>
            <w:r w:rsidRPr="00494269">
              <w:rPr>
                <w:rFonts w:cs="Arial"/>
                <w:sz w:val="18"/>
                <w:szCs w:val="18"/>
              </w:rPr>
              <w:lastRenderedPageBreak/>
              <w:t xml:space="preserve">Differences in microinvertebrate diversity between all sampling events at sites </w:t>
            </w:r>
            <w:r>
              <w:rPr>
                <w:rFonts w:cs="Arial"/>
                <w:sz w:val="18"/>
                <w:szCs w:val="18"/>
              </w:rPr>
              <w:t>below</w:t>
            </w:r>
            <w:r w:rsidRPr="00494269">
              <w:rPr>
                <w:rFonts w:cs="Arial"/>
                <w:sz w:val="18"/>
                <w:szCs w:val="18"/>
              </w:rPr>
              <w:t xml:space="preserve"> Lock 6 (floodplain zone) and Lock 1 (gorge zone) reflect the short generation times of the protist/rotifer-dominated microinvertebrate assemblages, seasonal succession, and transport of mixed assemblages from different upstream Murray River </w:t>
            </w:r>
            <w:r w:rsidR="00DB7B41">
              <w:rPr>
                <w:rFonts w:cs="Arial"/>
                <w:sz w:val="18"/>
                <w:szCs w:val="18"/>
              </w:rPr>
              <w:t xml:space="preserve">sources </w:t>
            </w:r>
            <w:r w:rsidRPr="00494269">
              <w:rPr>
                <w:rFonts w:cs="Arial"/>
                <w:sz w:val="18"/>
                <w:szCs w:val="18"/>
              </w:rPr>
              <w:t>(including CEW), thereby increasing taxonomic diversity.</w:t>
            </w:r>
          </w:p>
          <w:p w14:paraId="33D509AD" w14:textId="53EDB2D4" w:rsidR="008107FE" w:rsidRPr="008107FE" w:rsidRDefault="00FF5893" w:rsidP="00021E13">
            <w:pPr>
              <w:jc w:val="left"/>
              <w:rPr>
                <w:rFonts w:cs="Arial"/>
                <w:sz w:val="18"/>
                <w:szCs w:val="18"/>
              </w:rPr>
            </w:pPr>
            <w:r>
              <w:rPr>
                <w:rFonts w:cs="Arial"/>
                <w:sz w:val="18"/>
                <w:szCs w:val="18"/>
              </w:rPr>
              <w:t>I</w:t>
            </w:r>
            <w:r w:rsidRPr="00D83320">
              <w:rPr>
                <w:rFonts w:cs="Arial"/>
                <w:sz w:val="18"/>
                <w:szCs w:val="18"/>
              </w:rPr>
              <w:t>ncreases</w:t>
            </w:r>
            <w:r>
              <w:rPr>
                <w:rFonts w:cs="Arial"/>
                <w:sz w:val="18"/>
                <w:szCs w:val="18"/>
              </w:rPr>
              <w:t xml:space="preserve"> in density and diversity</w:t>
            </w:r>
            <w:r w:rsidRPr="00D83320">
              <w:rPr>
                <w:rFonts w:cs="Arial"/>
                <w:sz w:val="18"/>
                <w:szCs w:val="18"/>
              </w:rPr>
              <w:t xml:space="preserve"> </w:t>
            </w:r>
            <w:r>
              <w:rPr>
                <w:rFonts w:cs="Arial"/>
                <w:sz w:val="18"/>
                <w:szCs w:val="18"/>
              </w:rPr>
              <w:t>below</w:t>
            </w:r>
            <w:r w:rsidRPr="00D83320">
              <w:rPr>
                <w:rFonts w:cs="Arial"/>
                <w:sz w:val="18"/>
                <w:szCs w:val="18"/>
              </w:rPr>
              <w:t xml:space="preserve"> Lock 6 </w:t>
            </w:r>
            <w:r>
              <w:rPr>
                <w:rFonts w:cs="Arial"/>
                <w:sz w:val="18"/>
                <w:szCs w:val="18"/>
              </w:rPr>
              <w:t xml:space="preserve">during early November </w:t>
            </w:r>
            <w:r w:rsidR="00DB7B41">
              <w:rPr>
                <w:rFonts w:cs="Arial"/>
                <w:sz w:val="18"/>
                <w:szCs w:val="18"/>
              </w:rPr>
              <w:t xml:space="preserve">were </w:t>
            </w:r>
            <w:r w:rsidRPr="00D83320">
              <w:rPr>
                <w:rFonts w:cs="Arial"/>
                <w:sz w:val="18"/>
                <w:szCs w:val="18"/>
              </w:rPr>
              <w:t>likely  triggered by</w:t>
            </w:r>
            <w:r>
              <w:rPr>
                <w:rFonts w:cs="Arial"/>
                <w:sz w:val="18"/>
                <w:szCs w:val="18"/>
              </w:rPr>
              <w:t xml:space="preserve"> antecedent high </w:t>
            </w:r>
            <w:r w:rsidRPr="00536ED3">
              <w:rPr>
                <w:rFonts w:cs="Arial"/>
                <w:sz w:val="18"/>
                <w:szCs w:val="18"/>
              </w:rPr>
              <w:t>river flow and CEW flushing littoral (epiphytic and epibenthic</w:t>
            </w:r>
            <w:r w:rsidR="00DB7B41">
              <w:rPr>
                <w:rFonts w:cs="Arial"/>
                <w:sz w:val="18"/>
                <w:szCs w:val="18"/>
              </w:rPr>
              <w:t>)</w:t>
            </w:r>
            <w:r w:rsidRPr="00536ED3">
              <w:rPr>
                <w:rFonts w:cs="Arial"/>
                <w:sz w:val="18"/>
                <w:szCs w:val="18"/>
              </w:rPr>
              <w:t xml:space="preserve"> taxa to the main channel microinvertebrate assemblages.  Increases</w:t>
            </w:r>
            <w:r>
              <w:rPr>
                <w:rFonts w:cs="Arial"/>
                <w:sz w:val="18"/>
                <w:szCs w:val="18"/>
              </w:rPr>
              <w:t xml:space="preserve"> in density and diversity</w:t>
            </w:r>
            <w:r w:rsidRPr="00D83320">
              <w:rPr>
                <w:rFonts w:cs="Arial"/>
                <w:sz w:val="18"/>
                <w:szCs w:val="18"/>
              </w:rPr>
              <w:t xml:space="preserve"> </w:t>
            </w:r>
            <w:r>
              <w:rPr>
                <w:rFonts w:cs="Arial"/>
                <w:sz w:val="18"/>
                <w:szCs w:val="18"/>
              </w:rPr>
              <w:t>below</w:t>
            </w:r>
            <w:r w:rsidRPr="00D83320">
              <w:rPr>
                <w:rFonts w:cs="Arial"/>
                <w:sz w:val="18"/>
                <w:szCs w:val="18"/>
              </w:rPr>
              <w:t xml:space="preserve"> Lock 1 were associated with </w:t>
            </w:r>
            <w:r>
              <w:rPr>
                <w:rFonts w:cs="Arial"/>
                <w:sz w:val="18"/>
                <w:szCs w:val="18"/>
              </w:rPr>
              <w:t xml:space="preserve">high river flow </w:t>
            </w:r>
            <w:r w:rsidR="007928F6">
              <w:rPr>
                <w:rFonts w:cs="Arial"/>
                <w:sz w:val="18"/>
                <w:szCs w:val="18"/>
              </w:rPr>
              <w:t xml:space="preserve">due to </w:t>
            </w:r>
            <w:r>
              <w:rPr>
                <w:rFonts w:cs="Arial"/>
                <w:sz w:val="18"/>
                <w:szCs w:val="18"/>
              </w:rPr>
              <w:t>CEW delivery, but steeply decreased following a decline in river flow, recession in water level and return flow from WPR in Weir Pool 2</w:t>
            </w:r>
            <w:r w:rsidRPr="00D83320">
              <w:rPr>
                <w:rFonts w:cs="Arial"/>
                <w:sz w:val="18"/>
                <w:szCs w:val="18"/>
              </w:rPr>
              <w:t>.</w:t>
            </w:r>
            <w:r>
              <w:rPr>
                <w:rFonts w:cs="Arial"/>
                <w:sz w:val="18"/>
                <w:szCs w:val="18"/>
              </w:rPr>
              <w:t xml:space="preserve"> </w:t>
            </w:r>
            <w:r w:rsidRPr="00D83320">
              <w:rPr>
                <w:rFonts w:cs="Arial"/>
                <w:sz w:val="18"/>
                <w:szCs w:val="18"/>
              </w:rPr>
              <w:t xml:space="preserve">Cool water taxa such as </w:t>
            </w:r>
            <w:r w:rsidRPr="00D83320">
              <w:rPr>
                <w:rFonts w:cs="Arial"/>
                <w:i/>
                <w:sz w:val="18"/>
                <w:szCs w:val="18"/>
              </w:rPr>
              <w:t xml:space="preserve">Filinia </w:t>
            </w:r>
            <w:r w:rsidRPr="008107FE">
              <w:rPr>
                <w:rFonts w:cs="Arial"/>
                <w:i/>
                <w:sz w:val="18"/>
                <w:szCs w:val="18"/>
              </w:rPr>
              <w:t>terminalis</w:t>
            </w:r>
            <w:r w:rsidRPr="00D83320">
              <w:rPr>
                <w:rFonts w:cs="Arial"/>
                <w:sz w:val="18"/>
                <w:szCs w:val="18"/>
              </w:rPr>
              <w:t xml:space="preserve"> likely originated from Goulburn sources. The origin of hitherto Amazonian </w:t>
            </w:r>
            <w:r w:rsidRPr="00D83320">
              <w:rPr>
                <w:rFonts w:cs="Arial"/>
                <w:i/>
                <w:sz w:val="18"/>
                <w:szCs w:val="18"/>
              </w:rPr>
              <w:t xml:space="preserve">Hexarthra braziliensis </w:t>
            </w:r>
            <w:r w:rsidRPr="00D83320">
              <w:rPr>
                <w:rFonts w:cs="Arial"/>
                <w:sz w:val="18"/>
                <w:szCs w:val="18"/>
              </w:rPr>
              <w:t xml:space="preserve">and </w:t>
            </w:r>
            <w:r w:rsidRPr="00D83320">
              <w:rPr>
                <w:rFonts w:cs="Arial"/>
                <w:i/>
                <w:sz w:val="18"/>
                <w:szCs w:val="18"/>
              </w:rPr>
              <w:t xml:space="preserve">Keratella </w:t>
            </w:r>
            <w:r w:rsidR="005402CA" w:rsidRPr="001727C8">
              <w:rPr>
                <w:rFonts w:cs="Arial"/>
                <w:i/>
                <w:sz w:val="18"/>
                <w:szCs w:val="18"/>
              </w:rPr>
              <w:t>a</w:t>
            </w:r>
            <w:r w:rsidRPr="001727C8">
              <w:rPr>
                <w:rFonts w:cs="Arial"/>
                <w:i/>
                <w:sz w:val="18"/>
                <w:szCs w:val="18"/>
              </w:rPr>
              <w:t>mericana</w:t>
            </w:r>
            <w:r>
              <w:rPr>
                <w:rFonts w:cs="Arial"/>
                <w:sz w:val="18"/>
                <w:szCs w:val="18"/>
              </w:rPr>
              <w:t xml:space="preserve">, and </w:t>
            </w:r>
            <w:r w:rsidRPr="002454AC">
              <w:rPr>
                <w:rFonts w:cs="Arial"/>
                <w:sz w:val="18"/>
                <w:szCs w:val="18"/>
              </w:rPr>
              <w:t>Northern</w:t>
            </w:r>
            <w:r w:rsidRPr="00A97471">
              <w:rPr>
                <w:rFonts w:cs="Arial"/>
                <w:sz w:val="18"/>
                <w:szCs w:val="18"/>
              </w:rPr>
              <w:t xml:space="preserve"> Hemisphere </w:t>
            </w:r>
            <w:r w:rsidRPr="00A97471">
              <w:rPr>
                <w:rFonts w:cs="Arial"/>
                <w:i/>
                <w:sz w:val="18"/>
                <w:szCs w:val="18"/>
              </w:rPr>
              <w:t xml:space="preserve">Daphnia galeata </w:t>
            </w:r>
            <w:r w:rsidRPr="00A97471">
              <w:rPr>
                <w:rFonts w:cs="Arial"/>
                <w:sz w:val="18"/>
                <w:szCs w:val="18"/>
              </w:rPr>
              <w:t xml:space="preserve">remains </w:t>
            </w:r>
            <w:r w:rsidR="00021E13">
              <w:rPr>
                <w:rFonts w:cs="Arial"/>
                <w:sz w:val="18"/>
                <w:szCs w:val="18"/>
              </w:rPr>
              <w:t>unclear</w:t>
            </w:r>
            <w:r w:rsidRPr="00A97471">
              <w:rPr>
                <w:rFonts w:cs="Arial"/>
                <w:sz w:val="18"/>
                <w:szCs w:val="18"/>
              </w:rPr>
              <w:t>.</w:t>
            </w:r>
          </w:p>
        </w:tc>
      </w:tr>
      <w:tr w:rsidR="006875E4" w:rsidRPr="00494269" w14:paraId="33AB6D76" w14:textId="77777777" w:rsidTr="00E26136">
        <w:trPr>
          <w:cantSplit/>
          <w:trHeight w:val="1161"/>
        </w:trPr>
        <w:tc>
          <w:tcPr>
            <w:tcW w:w="506" w:type="pct"/>
            <w:shd w:val="clear" w:color="auto" w:fill="FFFFFF"/>
          </w:tcPr>
          <w:p w14:paraId="6870A8CB" w14:textId="77777777" w:rsidR="006875E4" w:rsidRPr="00494269" w:rsidRDefault="006875E4" w:rsidP="007D5010">
            <w:pPr>
              <w:spacing w:line="276" w:lineRule="auto"/>
              <w:contextualSpacing/>
              <w:jc w:val="left"/>
              <w:rPr>
                <w:rFonts w:cs="Arial"/>
                <w:b/>
                <w:sz w:val="18"/>
                <w:szCs w:val="18"/>
              </w:rPr>
            </w:pPr>
            <w:r w:rsidRPr="00494269">
              <w:rPr>
                <w:rFonts w:cs="Arial"/>
                <w:b/>
                <w:sz w:val="18"/>
                <w:szCs w:val="18"/>
              </w:rPr>
              <w:t>Category 3:  Fish Spawning and Recruitment</w:t>
            </w:r>
          </w:p>
          <w:p w14:paraId="45085082" w14:textId="77777777" w:rsidR="006875E4" w:rsidRPr="00494269" w:rsidRDefault="006875E4" w:rsidP="007D5010">
            <w:pPr>
              <w:spacing w:line="276" w:lineRule="auto"/>
              <w:jc w:val="left"/>
              <w:rPr>
                <w:rFonts w:cs="Arial"/>
                <w:b/>
                <w:sz w:val="18"/>
                <w:szCs w:val="18"/>
              </w:rPr>
            </w:pPr>
          </w:p>
        </w:tc>
        <w:tc>
          <w:tcPr>
            <w:tcW w:w="1626" w:type="pct"/>
            <w:shd w:val="clear" w:color="auto" w:fill="FFFFFF"/>
          </w:tcPr>
          <w:p w14:paraId="746C319E" w14:textId="77777777" w:rsidR="006875E4" w:rsidRPr="00E94D73" w:rsidRDefault="006875E4" w:rsidP="007D5010">
            <w:pPr>
              <w:pStyle w:val="PlainText"/>
              <w:spacing w:line="276" w:lineRule="auto"/>
              <w:jc w:val="left"/>
              <w:rPr>
                <w:rFonts w:ascii="Century Gothic" w:hAnsi="Century Gothic" w:cs="Arial"/>
                <w:sz w:val="18"/>
                <w:szCs w:val="18"/>
              </w:rPr>
            </w:pPr>
            <w:r w:rsidRPr="00E94D73">
              <w:rPr>
                <w:rFonts w:ascii="Century Gothic" w:hAnsi="Century Gothic" w:cs="Arial"/>
                <w:sz w:val="18"/>
                <w:szCs w:val="18"/>
              </w:rPr>
              <w:t>What did CEW contribute to:</w:t>
            </w:r>
          </w:p>
          <w:p w14:paraId="75B87C19" w14:textId="77777777" w:rsidR="006875E4" w:rsidRPr="00E94D73" w:rsidRDefault="006875E4" w:rsidP="007D5010">
            <w:pPr>
              <w:pStyle w:val="PlainText"/>
              <w:numPr>
                <w:ilvl w:val="0"/>
                <w:numId w:val="11"/>
              </w:numPr>
              <w:spacing w:line="276" w:lineRule="auto"/>
              <w:ind w:left="357" w:hanging="357"/>
              <w:contextualSpacing/>
              <w:jc w:val="left"/>
              <w:rPr>
                <w:rFonts w:ascii="Century Gothic" w:hAnsi="Century Gothic" w:cs="Arial"/>
                <w:sz w:val="18"/>
                <w:szCs w:val="18"/>
              </w:rPr>
            </w:pPr>
            <w:r w:rsidRPr="00E94D73">
              <w:rPr>
                <w:rFonts w:ascii="Century Gothic" w:hAnsi="Century Gothic" w:cs="Arial"/>
                <w:sz w:val="18"/>
                <w:szCs w:val="18"/>
              </w:rPr>
              <w:t>Reproduction of golden perch and silver perch?</w:t>
            </w:r>
          </w:p>
          <w:p w14:paraId="388E2239" w14:textId="4F18DBEA" w:rsidR="006875E4" w:rsidRPr="00607854" w:rsidRDefault="006875E4" w:rsidP="009E7FD2">
            <w:pPr>
              <w:pStyle w:val="PlainText"/>
              <w:spacing w:line="276" w:lineRule="auto"/>
              <w:ind w:left="357"/>
              <w:contextualSpacing/>
              <w:jc w:val="left"/>
              <w:rPr>
                <w:rFonts w:ascii="Century Gothic" w:hAnsi="Century Gothic" w:cs="Arial"/>
                <w:color w:val="0070C0"/>
                <w:sz w:val="18"/>
                <w:szCs w:val="18"/>
              </w:rPr>
            </w:pPr>
            <w:r w:rsidRPr="00E94D73">
              <w:rPr>
                <w:rFonts w:ascii="Century Gothic" w:hAnsi="Century Gothic" w:cs="Arial"/>
                <w:color w:val="0070C0"/>
                <w:sz w:val="18"/>
                <w:szCs w:val="18"/>
              </w:rPr>
              <w:t xml:space="preserve">Delivery of CEW </w:t>
            </w:r>
            <w:r>
              <w:rPr>
                <w:rFonts w:ascii="Century Gothic" w:hAnsi="Century Gothic" w:cs="Arial"/>
                <w:color w:val="0070C0"/>
                <w:sz w:val="18"/>
                <w:szCs w:val="18"/>
              </w:rPr>
              <w:t xml:space="preserve">to the lower River Murray in 2015/16 </w:t>
            </w:r>
            <w:r w:rsidRPr="00E94D73">
              <w:rPr>
                <w:rFonts w:ascii="Century Gothic" w:hAnsi="Century Gothic" w:cs="Arial"/>
                <w:color w:val="0070C0"/>
                <w:sz w:val="18"/>
                <w:szCs w:val="18"/>
              </w:rPr>
              <w:t>corresponded with limited spawning</w:t>
            </w:r>
            <w:r>
              <w:rPr>
                <w:rFonts w:ascii="Century Gothic" w:hAnsi="Century Gothic" w:cs="Arial"/>
                <w:color w:val="0070C0"/>
                <w:sz w:val="18"/>
                <w:szCs w:val="18"/>
              </w:rPr>
              <w:t xml:space="preserve"> and negligible recruitment (to </w:t>
            </w:r>
            <w:r w:rsidR="009E7FD2">
              <w:rPr>
                <w:rFonts w:ascii="Century Gothic" w:hAnsi="Century Gothic" w:cs="Arial"/>
                <w:color w:val="0070C0"/>
                <w:sz w:val="18"/>
                <w:szCs w:val="18"/>
              </w:rPr>
              <w:t>young-of-year</w:t>
            </w:r>
            <w:r>
              <w:rPr>
                <w:rFonts w:ascii="Century Gothic" w:hAnsi="Century Gothic" w:cs="Arial"/>
                <w:color w:val="0070C0"/>
                <w:sz w:val="18"/>
                <w:szCs w:val="18"/>
              </w:rPr>
              <w:t>, age 0+)</w:t>
            </w:r>
            <w:r w:rsidRPr="00E94D73">
              <w:rPr>
                <w:rFonts w:ascii="Century Gothic" w:hAnsi="Century Gothic" w:cs="Arial"/>
                <w:color w:val="0070C0"/>
                <w:sz w:val="18"/>
                <w:szCs w:val="18"/>
              </w:rPr>
              <w:t xml:space="preserve"> of golden perch and silver perch.</w:t>
            </w:r>
          </w:p>
        </w:tc>
        <w:tc>
          <w:tcPr>
            <w:tcW w:w="2868" w:type="pct"/>
            <w:shd w:val="clear" w:color="auto" w:fill="FFFFFF"/>
          </w:tcPr>
          <w:p w14:paraId="47B60451" w14:textId="6862E63F" w:rsidR="00602DB7" w:rsidRDefault="00602DB7" w:rsidP="007D5010">
            <w:pPr>
              <w:jc w:val="left"/>
              <w:rPr>
                <w:rFonts w:cs="Arial"/>
                <w:sz w:val="18"/>
                <w:szCs w:val="18"/>
              </w:rPr>
            </w:pPr>
            <w:r w:rsidRPr="00E94D73">
              <w:rPr>
                <w:rFonts w:cs="Arial"/>
                <w:sz w:val="18"/>
                <w:szCs w:val="18"/>
              </w:rPr>
              <w:t xml:space="preserve">CEW contributed to </w:t>
            </w:r>
            <w:r>
              <w:rPr>
                <w:rFonts w:cs="Arial"/>
                <w:sz w:val="18"/>
                <w:szCs w:val="18"/>
              </w:rPr>
              <w:t>limited</w:t>
            </w:r>
            <w:r w:rsidRPr="00E94D73">
              <w:rPr>
                <w:rFonts w:cs="Arial"/>
                <w:sz w:val="18"/>
                <w:szCs w:val="18"/>
              </w:rPr>
              <w:t xml:space="preserve"> golden perch and silver perch spawning in the LMR</w:t>
            </w:r>
            <w:r>
              <w:rPr>
                <w:rFonts w:cs="Arial"/>
                <w:sz w:val="18"/>
                <w:szCs w:val="18"/>
              </w:rPr>
              <w:t xml:space="preserve"> Selected Area, </w:t>
            </w:r>
            <w:r w:rsidR="00484C8D">
              <w:rPr>
                <w:rFonts w:cs="Arial"/>
                <w:sz w:val="18"/>
                <w:szCs w:val="18"/>
              </w:rPr>
              <w:t xml:space="preserve">but </w:t>
            </w:r>
            <w:r w:rsidR="00484C8D" w:rsidRPr="00E94D73">
              <w:rPr>
                <w:rFonts w:cs="Arial"/>
                <w:sz w:val="18"/>
                <w:szCs w:val="18"/>
              </w:rPr>
              <w:t xml:space="preserve">negligible recruitment to </w:t>
            </w:r>
            <w:r w:rsidRPr="00E94D73">
              <w:rPr>
                <w:rFonts w:cs="Arial"/>
                <w:sz w:val="18"/>
                <w:szCs w:val="18"/>
              </w:rPr>
              <w:t>young-of-year (age 0+).</w:t>
            </w:r>
          </w:p>
          <w:p w14:paraId="7BA7E9E5" w14:textId="0C8C5791" w:rsidR="006875E4" w:rsidRPr="00E94D73" w:rsidRDefault="006875E4" w:rsidP="007D5010">
            <w:pPr>
              <w:jc w:val="left"/>
              <w:rPr>
                <w:rFonts w:cs="Arial"/>
                <w:sz w:val="18"/>
                <w:szCs w:val="18"/>
              </w:rPr>
            </w:pPr>
            <w:r>
              <w:rPr>
                <w:rFonts w:cs="Arial"/>
                <w:sz w:val="18"/>
                <w:szCs w:val="18"/>
              </w:rPr>
              <w:t>The g</w:t>
            </w:r>
            <w:r w:rsidRPr="00E94D73">
              <w:rPr>
                <w:rFonts w:cs="Arial"/>
                <w:sz w:val="18"/>
                <w:szCs w:val="18"/>
              </w:rPr>
              <w:t>olden perch population in the LMR w</w:t>
            </w:r>
            <w:r>
              <w:rPr>
                <w:rFonts w:cs="Arial"/>
                <w:sz w:val="18"/>
                <w:szCs w:val="18"/>
              </w:rPr>
              <w:t>as</w:t>
            </w:r>
            <w:r w:rsidRPr="00E94D73">
              <w:rPr>
                <w:rFonts w:cs="Arial"/>
                <w:sz w:val="18"/>
                <w:szCs w:val="18"/>
              </w:rPr>
              <w:t xml:space="preserve"> dominated by </w:t>
            </w:r>
            <w:r w:rsidR="00021E13">
              <w:rPr>
                <w:rFonts w:cs="Arial"/>
                <w:sz w:val="18"/>
                <w:szCs w:val="18"/>
              </w:rPr>
              <w:t>5</w:t>
            </w:r>
            <w:r w:rsidRPr="00E94D73">
              <w:rPr>
                <w:rFonts w:cs="Arial"/>
                <w:sz w:val="18"/>
                <w:szCs w:val="18"/>
              </w:rPr>
              <w:t xml:space="preserve"> and </w:t>
            </w:r>
            <w:r w:rsidR="00021E13">
              <w:rPr>
                <w:rFonts w:cs="Arial"/>
                <w:sz w:val="18"/>
                <w:szCs w:val="18"/>
              </w:rPr>
              <w:t>6</w:t>
            </w:r>
            <w:r w:rsidRPr="00E94D73">
              <w:rPr>
                <w:rFonts w:cs="Arial"/>
                <w:sz w:val="18"/>
                <w:szCs w:val="18"/>
              </w:rPr>
              <w:t xml:space="preserve"> year old fish spawned in the lower River Murray and Darling River in 2010/11</w:t>
            </w:r>
            <w:r w:rsidR="00021E13">
              <w:rPr>
                <w:rFonts w:cs="Arial"/>
                <w:sz w:val="18"/>
                <w:szCs w:val="18"/>
              </w:rPr>
              <w:t xml:space="preserve"> and</w:t>
            </w:r>
            <w:r w:rsidR="00021E13" w:rsidRPr="00E94D73">
              <w:rPr>
                <w:rFonts w:cs="Arial"/>
                <w:sz w:val="18"/>
                <w:szCs w:val="18"/>
              </w:rPr>
              <w:t xml:space="preserve"> Darling River in 2009/10</w:t>
            </w:r>
            <w:r w:rsidRPr="00E94D73">
              <w:rPr>
                <w:rFonts w:cs="Arial"/>
                <w:sz w:val="18"/>
                <w:szCs w:val="18"/>
              </w:rPr>
              <w:t xml:space="preserve">. </w:t>
            </w:r>
            <w:r w:rsidR="00484C8D" w:rsidRPr="00E94D73">
              <w:rPr>
                <w:rFonts w:cs="Arial"/>
                <w:sz w:val="18"/>
                <w:szCs w:val="18"/>
              </w:rPr>
              <w:t xml:space="preserve"> The silver perch population in the LMR </w:t>
            </w:r>
            <w:r w:rsidR="00484C8D">
              <w:rPr>
                <w:rFonts w:cs="Arial"/>
                <w:sz w:val="18"/>
                <w:szCs w:val="18"/>
              </w:rPr>
              <w:t>was</w:t>
            </w:r>
            <w:r w:rsidR="00484C8D" w:rsidRPr="00E94D73">
              <w:rPr>
                <w:rFonts w:cs="Arial"/>
                <w:sz w:val="18"/>
                <w:szCs w:val="18"/>
              </w:rPr>
              <w:t xml:space="preserve"> comprised of 2, 4, 5 and 6 year old fish, which were spawned in the lower River Murray, mid-Murray and Darling </w:t>
            </w:r>
            <w:r w:rsidR="00484C8D">
              <w:rPr>
                <w:rFonts w:cs="Arial"/>
                <w:sz w:val="18"/>
                <w:szCs w:val="18"/>
              </w:rPr>
              <w:t>rivers</w:t>
            </w:r>
            <w:r w:rsidRPr="00E94D73">
              <w:rPr>
                <w:rFonts w:cs="Arial"/>
                <w:sz w:val="18"/>
                <w:szCs w:val="18"/>
              </w:rPr>
              <w:t>.</w:t>
            </w:r>
          </w:p>
          <w:p w14:paraId="330721E0" w14:textId="0D525E8F" w:rsidR="006875E4" w:rsidRPr="00494269" w:rsidRDefault="00342A82" w:rsidP="007D5010">
            <w:pPr>
              <w:jc w:val="left"/>
              <w:rPr>
                <w:rFonts w:cs="Arial"/>
                <w:sz w:val="18"/>
                <w:szCs w:val="18"/>
              </w:rPr>
            </w:pPr>
            <w:r>
              <w:rPr>
                <w:rFonts w:cs="Arial"/>
                <w:sz w:val="18"/>
                <w:szCs w:val="18"/>
              </w:rPr>
              <w:t>Based on a contemporary understanding of the flow related population dynamics of golden and silver perch in the southern MDB, m</w:t>
            </w:r>
            <w:r w:rsidRPr="00E94D73">
              <w:rPr>
                <w:rFonts w:cs="Arial"/>
                <w:sz w:val="18"/>
                <w:szCs w:val="18"/>
              </w:rPr>
              <w:t>oderation and fragmentation of flows between the mid and lower River Murray</w:t>
            </w:r>
            <w:r>
              <w:rPr>
                <w:rFonts w:cs="Arial"/>
                <w:sz w:val="18"/>
                <w:szCs w:val="18"/>
              </w:rPr>
              <w:t>, and an absence of flow in the Darling River,</w:t>
            </w:r>
            <w:r w:rsidRPr="00E94D73">
              <w:rPr>
                <w:rFonts w:cs="Arial"/>
                <w:sz w:val="18"/>
                <w:szCs w:val="18"/>
              </w:rPr>
              <w:t xml:space="preserve">  in spring–summer 2015</w:t>
            </w:r>
            <w:r>
              <w:rPr>
                <w:rFonts w:cs="Arial"/>
                <w:sz w:val="18"/>
                <w:szCs w:val="18"/>
              </w:rPr>
              <w:t xml:space="preserve">/16, </w:t>
            </w:r>
            <w:r w:rsidRPr="00E94D73">
              <w:rPr>
                <w:rFonts w:cs="Arial"/>
                <w:sz w:val="18"/>
                <w:szCs w:val="18"/>
              </w:rPr>
              <w:t xml:space="preserve">potentially </w:t>
            </w:r>
            <w:r>
              <w:rPr>
                <w:rFonts w:cs="Arial"/>
                <w:sz w:val="18"/>
                <w:szCs w:val="18"/>
              </w:rPr>
              <w:t>diminished</w:t>
            </w:r>
            <w:r w:rsidRPr="00F6016B">
              <w:rPr>
                <w:rFonts w:cs="Arial"/>
                <w:b/>
                <w:sz w:val="18"/>
                <w:szCs w:val="18"/>
              </w:rPr>
              <w:t xml:space="preserve"> </w:t>
            </w:r>
            <w:r w:rsidRPr="00E94D73">
              <w:rPr>
                <w:rFonts w:cs="Arial"/>
                <w:sz w:val="18"/>
                <w:szCs w:val="18"/>
              </w:rPr>
              <w:t>spawning and recruitment of golden perch</w:t>
            </w:r>
            <w:r>
              <w:rPr>
                <w:rFonts w:cs="Arial"/>
                <w:sz w:val="18"/>
                <w:szCs w:val="18"/>
              </w:rPr>
              <w:t xml:space="preserve"> and silver perch</w:t>
            </w:r>
            <w:r w:rsidRPr="00E94D73">
              <w:rPr>
                <w:rFonts w:cs="Arial"/>
                <w:sz w:val="18"/>
                <w:szCs w:val="18"/>
              </w:rPr>
              <w:t xml:space="preserve"> in the LMR.</w:t>
            </w:r>
            <w:r w:rsidRPr="00494269">
              <w:rPr>
                <w:rFonts w:cs="Arial"/>
                <w:sz w:val="18"/>
                <w:szCs w:val="18"/>
              </w:rPr>
              <w:t xml:space="preserve">    </w:t>
            </w:r>
          </w:p>
        </w:tc>
      </w:tr>
    </w:tbl>
    <w:p w14:paraId="4B15A96E" w14:textId="3FC8C534" w:rsidR="00CB24DD" w:rsidRDefault="00CB24DD" w:rsidP="00AE7F32">
      <w:pPr>
        <w:spacing w:line="240" w:lineRule="auto"/>
        <w:rPr>
          <w:sz w:val="18"/>
          <w:szCs w:val="18"/>
        </w:rPr>
      </w:pPr>
      <w:r w:rsidRPr="00872C6C">
        <w:rPr>
          <w:sz w:val="18"/>
          <w:szCs w:val="18"/>
        </w:rPr>
        <w:t>* Evaluation of CEW for Hydrological Regime and Matter Transport indicators is based on modelled data.</w:t>
      </w:r>
    </w:p>
    <w:p w14:paraId="181DAA2B" w14:textId="721ABE5E" w:rsidR="00061A11" w:rsidRPr="00C757C7" w:rsidRDefault="00061A11" w:rsidP="00AE7F32">
      <w:pPr>
        <w:spacing w:line="240" w:lineRule="auto"/>
        <w:sectPr w:rsidR="00061A11" w:rsidRPr="00C757C7" w:rsidSect="00315EBC">
          <w:footerReference w:type="default" r:id="rId45"/>
          <w:pgSz w:w="16840" w:h="11900" w:orient="landscape" w:code="9"/>
          <w:pgMar w:top="1440" w:right="1440" w:bottom="1440" w:left="1440" w:header="709" w:footer="709" w:gutter="0"/>
          <w:pgNumType w:fmt="lowerRoman"/>
          <w:cols w:space="708"/>
          <w:docGrid w:linePitch="360"/>
        </w:sectPr>
      </w:pPr>
      <w:r w:rsidRPr="00061A11">
        <w:rPr>
          <w:sz w:val="18"/>
          <w:szCs w:val="18"/>
          <w:vertAlign w:val="superscript"/>
        </w:rPr>
        <w:t>#</w:t>
      </w:r>
      <w:r>
        <w:rPr>
          <w:sz w:val="18"/>
          <w:szCs w:val="18"/>
        </w:rPr>
        <w:t xml:space="preserve"> An increase in water level of 0.45 m and 0.5 m at the downstream end of Weir Pools 5 and 2, respectively, was achieved through infrastructure operation and maintained through the delivery of CEW to compensate for losses.</w:t>
      </w:r>
    </w:p>
    <w:p w14:paraId="388C465D" w14:textId="77777777" w:rsidR="00573876" w:rsidRPr="00C757C7" w:rsidRDefault="00573876" w:rsidP="00573876">
      <w:pPr>
        <w:rPr>
          <w:b/>
          <w:color w:val="1F497D" w:themeColor="text2"/>
        </w:rPr>
      </w:pPr>
      <w:r w:rsidRPr="00C757C7">
        <w:rPr>
          <w:b/>
          <w:color w:val="1F497D" w:themeColor="text2"/>
        </w:rPr>
        <w:lastRenderedPageBreak/>
        <w:t>Key learning and management implications</w:t>
      </w:r>
    </w:p>
    <w:p w14:paraId="78742796" w14:textId="356FA5CA" w:rsidR="00573876" w:rsidRPr="00D459B0" w:rsidRDefault="009F5B10" w:rsidP="00573876">
      <w:r>
        <w:t xml:space="preserve">Despite the delivery of significant volumes of Commonwealth environmental water, </w:t>
      </w:r>
      <w:r w:rsidR="003C16B5">
        <w:t xml:space="preserve">2015/16 was </w:t>
      </w:r>
      <w:r w:rsidR="003D1976">
        <w:t xml:space="preserve">a </w:t>
      </w:r>
      <w:r w:rsidR="003C16B5">
        <w:t xml:space="preserve">dry year </w:t>
      </w:r>
      <w:r>
        <w:t>and so</w:t>
      </w:r>
      <w:r w:rsidR="003C16B5">
        <w:t xml:space="preserve"> river flow remained relatively low</w:t>
      </w:r>
      <w:r w:rsidR="003D1976">
        <w:t xml:space="preserve"> in the LMR</w:t>
      </w:r>
      <w:r w:rsidR="003C16B5">
        <w:t xml:space="preserve"> (i.e. &lt;12</w:t>
      </w:r>
      <w:r w:rsidR="003C16B5" w:rsidRPr="00C429DF">
        <w:t>,</w:t>
      </w:r>
      <w:r w:rsidR="003C16B5">
        <w:t>0</w:t>
      </w:r>
      <w:r w:rsidR="003C16B5" w:rsidRPr="00C429DF">
        <w:t>00</w:t>
      </w:r>
      <w:r w:rsidR="003D1976">
        <w:t> </w:t>
      </w:r>
      <w:r w:rsidR="003C16B5" w:rsidRPr="004354C1">
        <w:t>ML day</w:t>
      </w:r>
      <w:r w:rsidR="003D1976">
        <w:rPr>
          <w:vertAlign w:val="superscript"/>
        </w:rPr>
        <w:noBreakHyphen/>
      </w:r>
      <w:r w:rsidR="003C16B5" w:rsidRPr="004354C1">
        <w:rPr>
          <w:vertAlign w:val="superscript"/>
        </w:rPr>
        <w:t>1</w:t>
      </w:r>
      <w:r w:rsidR="003C16B5">
        <w:t>) throughout the year (bankfull flow is ~50</w:t>
      </w:r>
      <w:r w:rsidR="003C16B5" w:rsidRPr="00C429DF">
        <w:t>,</w:t>
      </w:r>
      <w:r w:rsidR="003C16B5">
        <w:t>0</w:t>
      </w:r>
      <w:r w:rsidR="003C16B5" w:rsidRPr="00C429DF">
        <w:t xml:space="preserve">00 </w:t>
      </w:r>
      <w:r w:rsidR="003C16B5" w:rsidRPr="004354C1">
        <w:t>ML day</w:t>
      </w:r>
      <w:r w:rsidR="003D1976">
        <w:rPr>
          <w:vertAlign w:val="superscript"/>
        </w:rPr>
        <w:noBreakHyphen/>
      </w:r>
      <w:r w:rsidR="003C16B5" w:rsidRPr="004354C1">
        <w:rPr>
          <w:vertAlign w:val="superscript"/>
        </w:rPr>
        <w:t>1</w:t>
      </w:r>
      <w:r w:rsidR="003C16B5">
        <w:t xml:space="preserve">). </w:t>
      </w:r>
      <w:r w:rsidR="003D1976">
        <w:t>Nevertheless</w:t>
      </w:r>
      <w:r w:rsidR="003C16B5">
        <w:t xml:space="preserve">, some hydraulic and ecological outcomes </w:t>
      </w:r>
      <w:r w:rsidR="003D1976">
        <w:t>were</w:t>
      </w:r>
      <w:r w:rsidR="003C16B5">
        <w:t xml:space="preserve"> achieved </w:t>
      </w:r>
      <w:r w:rsidR="003D1976">
        <w:t xml:space="preserve">through the combination of </w:t>
      </w:r>
      <w:r w:rsidR="003C16B5">
        <w:t>Commonwealth environmental water</w:t>
      </w:r>
      <w:r w:rsidR="003D1976">
        <w:t xml:space="preserve"> delivery and infrastructure</w:t>
      </w:r>
      <w:r w:rsidR="003121BD">
        <w:t xml:space="preserve"> operation</w:t>
      </w:r>
      <w:r w:rsidR="003C16B5">
        <w:t xml:space="preserve"> (see Table 1). </w:t>
      </w:r>
      <w:r w:rsidR="003C16B5" w:rsidRPr="00D459B0">
        <w:t xml:space="preserve">Based on insights </w:t>
      </w:r>
      <w:r w:rsidR="003C16B5">
        <w:t xml:space="preserve">from this project and our contemporary </w:t>
      </w:r>
      <w:r w:rsidR="00573876">
        <w:t>understanding of ecological response to flow in the LMR,</w:t>
      </w:r>
      <w:r w:rsidR="00573876" w:rsidRPr="00D459B0">
        <w:t xml:space="preserve"> the following points should be considered with regard to environmental water planning and management in the LMR:</w:t>
      </w:r>
    </w:p>
    <w:p w14:paraId="1B1FA27A" w14:textId="1C7D8C76" w:rsidR="00573876" w:rsidRDefault="00573876" w:rsidP="00573876">
      <w:pPr>
        <w:pStyle w:val="ListParagraph"/>
        <w:numPr>
          <w:ilvl w:val="0"/>
          <w:numId w:val="28"/>
        </w:numPr>
      </w:pPr>
      <w:r>
        <w:t xml:space="preserve">Hydrodynamic restoration is fundamental to restoring ecosystem function </w:t>
      </w:r>
      <w:r w:rsidR="00A61008">
        <w:t xml:space="preserve">of the </w:t>
      </w:r>
      <w:r w:rsidR="00F040EA">
        <w:t>lower River Murray (</w:t>
      </w:r>
      <w:r w:rsidR="00F040EA" w:rsidRPr="00A46989">
        <w:rPr>
          <w:rFonts w:cstheme="minorHAnsi"/>
        </w:rPr>
        <w:t>downstream of the Darling River junction</w:t>
      </w:r>
      <w:r w:rsidR="00F040EA">
        <w:rPr>
          <w:rFonts w:cstheme="minorHAnsi"/>
        </w:rPr>
        <w:t>)</w:t>
      </w:r>
      <w:r>
        <w:t xml:space="preserve">. </w:t>
      </w:r>
      <w:r w:rsidRPr="00D459B0">
        <w:t xml:space="preserve">Environmental water delivery can increase hydraulic diversity (velocities and water levels), potentially leading to ecological benefits </w:t>
      </w:r>
      <w:r>
        <w:t>by improving habitat</w:t>
      </w:r>
      <w:r w:rsidR="0019342F">
        <w:t xml:space="preserve"> and</w:t>
      </w:r>
      <w:r>
        <w:t xml:space="preserve"> restoring </w:t>
      </w:r>
      <w:r>
        <w:rPr>
          <w:szCs w:val="22"/>
        </w:rPr>
        <w:t>riverine ecosystem function</w:t>
      </w:r>
      <w:r w:rsidR="0019342F">
        <w:rPr>
          <w:szCs w:val="22"/>
        </w:rPr>
        <w:t>.</w:t>
      </w:r>
    </w:p>
    <w:p w14:paraId="27A8D4E6" w14:textId="1246FC8A" w:rsidR="00573876" w:rsidRDefault="00573876" w:rsidP="00573876">
      <w:pPr>
        <w:pStyle w:val="ListParagraph"/>
        <w:numPr>
          <w:ilvl w:val="0"/>
          <w:numId w:val="28"/>
        </w:numPr>
      </w:pPr>
      <w:r>
        <w:t>Th</w:t>
      </w:r>
      <w:r w:rsidRPr="00F85E97">
        <w:t>e timing of</w:t>
      </w:r>
      <w:r>
        <w:t xml:space="preserve"> environmental</w:t>
      </w:r>
      <w:r w:rsidRPr="00F85E97">
        <w:t xml:space="preserve"> flow delivery </w:t>
      </w:r>
      <w:r>
        <w:t xml:space="preserve">is important, which </w:t>
      </w:r>
      <w:r w:rsidRPr="00F85E97">
        <w:t xml:space="preserve">should continue to align with ecological objectives and consider biological </w:t>
      </w:r>
      <w:r>
        <w:t xml:space="preserve">processes and life history </w:t>
      </w:r>
      <w:r w:rsidR="005402CA">
        <w:t xml:space="preserve">requirements </w:t>
      </w:r>
      <w:r w:rsidR="005402CA" w:rsidRPr="00F85E97">
        <w:t xml:space="preserve">(e.g. </w:t>
      </w:r>
      <w:r w:rsidRPr="00F85E97">
        <w:t xml:space="preserve">reproductive season of flow-cued spawning </w:t>
      </w:r>
      <w:r>
        <w:t>fishes</w:t>
      </w:r>
      <w:r w:rsidR="000E0C77" w:rsidRPr="000E0C77">
        <w:t xml:space="preserve"> </w:t>
      </w:r>
      <w:r w:rsidR="000E0C77" w:rsidRPr="00F85E97">
        <w:t>in spring and summer</w:t>
      </w:r>
      <w:r w:rsidRPr="00F85E97">
        <w:t>).</w:t>
      </w:r>
    </w:p>
    <w:p w14:paraId="12FC4656" w14:textId="02F5228B" w:rsidR="00573876" w:rsidRDefault="00573876" w:rsidP="00573876">
      <w:pPr>
        <w:pStyle w:val="ListParagraph"/>
        <w:numPr>
          <w:ilvl w:val="0"/>
          <w:numId w:val="28"/>
        </w:numPr>
      </w:pPr>
      <w:r w:rsidRPr="00D459B0">
        <w:t>Environmental flows should be delivered to promote both longitudinal and lateral connectivity, which</w:t>
      </w:r>
      <w:r w:rsidRPr="00D459B0" w:rsidDel="00373431">
        <w:t xml:space="preserve"> </w:t>
      </w:r>
      <w:r w:rsidRPr="00D459B0">
        <w:t>will increase productivity in the LMR through incr</w:t>
      </w:r>
      <w:r w:rsidR="0011558E">
        <w:t>eased carbon and nutrient input</w:t>
      </w:r>
      <w:r w:rsidRPr="00D459B0">
        <w:t>. Connectivity will also facilit</w:t>
      </w:r>
      <w:r w:rsidR="00A61008">
        <w:t>ate the transport and dispersal</w:t>
      </w:r>
      <w:r w:rsidRPr="00D459B0">
        <w:t xml:space="preserve"> of aquatic biota (e.g. microinvertebrates, fish larvae) to and throughout the LMR, leading to increased species diversity (as observed for microinverteb</w:t>
      </w:r>
      <w:r w:rsidR="004005F4">
        <w:t>r</w:t>
      </w:r>
      <w:r w:rsidRPr="00D459B0">
        <w:t>ates in this study) and potentially enhanced recruitment.</w:t>
      </w:r>
      <w:r w:rsidRPr="007A2E87">
        <w:t xml:space="preserve"> </w:t>
      </w:r>
    </w:p>
    <w:p w14:paraId="73230F5B" w14:textId="2EE9DE80" w:rsidR="00573876" w:rsidRPr="00D459B0" w:rsidRDefault="00573876" w:rsidP="00573876">
      <w:pPr>
        <w:pStyle w:val="ListParagraph"/>
        <w:numPr>
          <w:ilvl w:val="0"/>
          <w:numId w:val="28"/>
        </w:numPr>
      </w:pPr>
      <w:r>
        <w:t xml:space="preserve">Weir pool manipulation can be </w:t>
      </w:r>
      <w:r w:rsidR="00342A82">
        <w:t>used</w:t>
      </w:r>
      <w:r>
        <w:t xml:space="preserve"> as a </w:t>
      </w:r>
      <w:r w:rsidR="00A61008">
        <w:t>management tool to complement</w:t>
      </w:r>
      <w:r>
        <w:t xml:space="preserve"> flow delivery to enhance ecological outcomes (e.g. improved riverine productivity via increased lateral connectivity).</w:t>
      </w:r>
    </w:p>
    <w:p w14:paraId="62F561A5" w14:textId="1064BEB3" w:rsidR="00A71C92" w:rsidRPr="00A60B39" w:rsidRDefault="00A71C92" w:rsidP="00A71C92">
      <w:pPr>
        <w:pStyle w:val="ListParagraph"/>
        <w:numPr>
          <w:ilvl w:val="0"/>
          <w:numId w:val="28"/>
        </w:numPr>
        <w:rPr>
          <w:bCs/>
        </w:rPr>
      </w:pPr>
      <w:r>
        <w:t>W</w:t>
      </w:r>
      <w:r w:rsidRPr="00D459B0">
        <w:t xml:space="preserve">ater </w:t>
      </w:r>
      <w:r>
        <w:t xml:space="preserve">source (i.e. origin) can alter inputs to the LMR (e.g. nutrients, phytoplankton community composition). These attributes can be further affected by river operations that re-route flow (e.g. floodplain regulators </w:t>
      </w:r>
      <w:r w:rsidR="00E07420">
        <w:t>or storages).</w:t>
      </w:r>
      <w:r>
        <w:t xml:space="preserve"> Combined, these changes can lead to changes in the structure and function of aquatic food webs.</w:t>
      </w:r>
    </w:p>
    <w:p w14:paraId="1708A751" w14:textId="72398AA9" w:rsidR="00573876" w:rsidRDefault="00484C8D" w:rsidP="00134A11">
      <w:pPr>
        <w:pStyle w:val="ListParagraph"/>
        <w:numPr>
          <w:ilvl w:val="0"/>
          <w:numId w:val="28"/>
        </w:numPr>
        <w:rPr>
          <w:bCs/>
        </w:rPr>
      </w:pPr>
      <w:r>
        <w:lastRenderedPageBreak/>
        <w:t>In the lower River Murray, m</w:t>
      </w:r>
      <w:r w:rsidR="00342A82" w:rsidRPr="00D459B0">
        <w:t xml:space="preserve">aintaining </w:t>
      </w:r>
      <w:r>
        <w:t xml:space="preserve">the </w:t>
      </w:r>
      <w:r w:rsidR="00342A82">
        <w:t>hydrological</w:t>
      </w:r>
      <w:r w:rsidR="00342A82" w:rsidRPr="00D459B0">
        <w:t xml:space="preserve"> integrity (i.e. magnitude, variability and source) of flow from upstream (e.g. Darling </w:t>
      </w:r>
      <w:r w:rsidR="00342A82">
        <w:t xml:space="preserve">River </w:t>
      </w:r>
      <w:r w:rsidR="00342A82" w:rsidRPr="00D459B0">
        <w:t xml:space="preserve">or mid-Murray) is critical to support system-scale processes and promote </w:t>
      </w:r>
      <w:r w:rsidR="00342A82" w:rsidRPr="00D459B0">
        <w:rPr>
          <w:bCs/>
        </w:rPr>
        <w:t>positive ecological outcomes (e.g. improved productivity, enhanced spawning and recruitment of flow-dependent fish species at &gt;1</w:t>
      </w:r>
      <w:r w:rsidR="00342A82">
        <w:rPr>
          <w:bCs/>
        </w:rPr>
        <w:t>5</w:t>
      </w:r>
      <w:r w:rsidR="00342A82" w:rsidRPr="00D459B0">
        <w:rPr>
          <w:bCs/>
        </w:rPr>
        <w:t>,000 ML day</w:t>
      </w:r>
      <w:r w:rsidR="00342A82">
        <w:rPr>
          <w:bCs/>
          <w:vertAlign w:val="superscript"/>
        </w:rPr>
        <w:noBreakHyphen/>
      </w:r>
      <w:r w:rsidR="00342A82" w:rsidRPr="00D459B0">
        <w:rPr>
          <w:bCs/>
          <w:vertAlign w:val="superscript"/>
        </w:rPr>
        <w:t>1</w:t>
      </w:r>
      <w:r w:rsidR="00342A82" w:rsidRPr="00D459B0">
        <w:rPr>
          <w:bCs/>
        </w:rPr>
        <w:t>).</w:t>
      </w:r>
    </w:p>
    <w:p w14:paraId="6CDAC5A2" w14:textId="792627AB" w:rsidR="00FF53CC" w:rsidRPr="00A71843" w:rsidRDefault="00FF53CC" w:rsidP="00FF53CC">
      <w:pPr>
        <w:pStyle w:val="ListParagraph"/>
        <w:numPr>
          <w:ilvl w:val="0"/>
          <w:numId w:val="28"/>
        </w:numPr>
      </w:pPr>
      <w:r w:rsidRPr="00C52946">
        <w:t>Consideration should be given to using C</w:t>
      </w:r>
      <w:r>
        <w:t>ommonwealth environmental water</w:t>
      </w:r>
      <w:r w:rsidRPr="00C52946">
        <w:t xml:space="preserve"> to reinstate key features of the natural hydrograph of the lower River Murray. For example, spring</w:t>
      </w:r>
      <w:r>
        <w:t>–</w:t>
      </w:r>
      <w:r w:rsidRPr="00C52946">
        <w:t>e</w:t>
      </w:r>
      <w:r>
        <w:t>arly summer ‘in-channel’</w:t>
      </w:r>
      <w:r w:rsidRPr="00C52946">
        <w:t xml:space="preserve"> increases in discharge </w:t>
      </w:r>
      <w:r>
        <w:t>(~15,000–20,000 ML </w:t>
      </w:r>
      <w:r w:rsidRPr="00C52946">
        <w:t>d</w:t>
      </w:r>
      <w:r>
        <w:t>ay</w:t>
      </w:r>
      <w:r w:rsidRPr="00134A11">
        <w:rPr>
          <w:vertAlign w:val="superscript"/>
        </w:rPr>
        <w:t>-1</w:t>
      </w:r>
      <w:r w:rsidRPr="00C52946">
        <w:t xml:space="preserve">) are conspicuously absent from the contemporary flow regime. </w:t>
      </w:r>
      <w:r>
        <w:t>T</w:t>
      </w:r>
      <w:r w:rsidRPr="00C52946">
        <w:t>hese pu</w:t>
      </w:r>
      <w:r>
        <w:t xml:space="preserve">lses of flow </w:t>
      </w:r>
      <w:r w:rsidRPr="00C52946">
        <w:t xml:space="preserve">increase </w:t>
      </w:r>
      <w:r>
        <w:t xml:space="preserve">longitudinal connectivity </w:t>
      </w:r>
      <w:r w:rsidR="00EA2B95">
        <w:t>and contribute to</w:t>
      </w:r>
      <w:r>
        <w:t xml:space="preserve"> a broad range of ecological outcomes </w:t>
      </w:r>
      <w:r w:rsidR="00EA2B95">
        <w:t xml:space="preserve">in riverine and estuarine ecosystems </w:t>
      </w:r>
      <w:r>
        <w:t>(e.g. increased matter transport</w:t>
      </w:r>
      <w:r w:rsidR="00C535A3">
        <w:t xml:space="preserve">, lotic habitats </w:t>
      </w:r>
      <w:r>
        <w:t xml:space="preserve">and spawning and </w:t>
      </w:r>
      <w:r w:rsidRPr="00C52946">
        <w:t>migratory cues</w:t>
      </w:r>
      <w:r w:rsidR="00C535A3">
        <w:t xml:space="preserve"> for fishes</w:t>
      </w:r>
      <w:r>
        <w:t>)</w:t>
      </w:r>
      <w:r w:rsidRPr="00C52946">
        <w:t>. To restor</w:t>
      </w:r>
      <w:r>
        <w:t xml:space="preserve">e </w:t>
      </w:r>
      <w:r w:rsidRPr="00C52946">
        <w:t xml:space="preserve">these hydrological features, </w:t>
      </w:r>
      <w:r w:rsidR="00EA2B95">
        <w:t xml:space="preserve">a given </w:t>
      </w:r>
      <w:r w:rsidRPr="00C52946">
        <w:t>volume of C</w:t>
      </w:r>
      <w:r>
        <w:t>ommonwealth environmental water</w:t>
      </w:r>
      <w:r w:rsidR="00EA2B95">
        <w:t xml:space="preserve"> </w:t>
      </w:r>
      <w:r w:rsidRPr="00C52946">
        <w:t xml:space="preserve">may need to be </w:t>
      </w:r>
      <w:r>
        <w:t>delivered</w:t>
      </w:r>
      <w:r w:rsidRPr="00C52946">
        <w:t xml:space="preserve"> </w:t>
      </w:r>
      <w:r w:rsidR="00406364">
        <w:t xml:space="preserve">at a higher magnitude </w:t>
      </w:r>
      <w:r w:rsidRPr="00C52946">
        <w:t xml:space="preserve">over </w:t>
      </w:r>
      <w:r w:rsidR="00406364">
        <w:t xml:space="preserve">a </w:t>
      </w:r>
      <w:r w:rsidRPr="00C52946">
        <w:t xml:space="preserve">short </w:t>
      </w:r>
      <w:r w:rsidR="00406364">
        <w:t>duration</w:t>
      </w:r>
      <w:r w:rsidRPr="00C52946">
        <w:t xml:space="preserve"> (weeks)</w:t>
      </w:r>
      <w:r w:rsidR="00406364">
        <w:t xml:space="preserve"> rather than low magnitude delivery over a long duration (months).</w:t>
      </w:r>
    </w:p>
    <w:p w14:paraId="70730848" w14:textId="31EEC18A" w:rsidR="00C91570" w:rsidRPr="00C91570" w:rsidRDefault="0028567C" w:rsidP="007934A7">
      <w:r w:rsidRPr="00D459B0">
        <w:t>More s</w:t>
      </w:r>
      <w:r w:rsidR="00077613" w:rsidRPr="00D459B0">
        <w:t xml:space="preserve">pecific management considerations from indicators are provided </w:t>
      </w:r>
      <w:r w:rsidRPr="00D459B0">
        <w:t xml:space="preserve">in Section 4. These were based on ecological outcomes and </w:t>
      </w:r>
      <w:r w:rsidR="00077613" w:rsidRPr="00D459B0">
        <w:t xml:space="preserve">findings </w:t>
      </w:r>
      <w:r w:rsidRPr="00D459B0">
        <w:t xml:space="preserve">presented </w:t>
      </w:r>
      <w:r w:rsidR="00077613" w:rsidRPr="00D459B0">
        <w:t>in Secti</w:t>
      </w:r>
      <w:r w:rsidR="003B1DD6" w:rsidRPr="00D459B0">
        <w:t xml:space="preserve">on </w:t>
      </w:r>
      <w:r w:rsidR="00394AA8" w:rsidRPr="00D459B0">
        <w:fldChar w:fldCharType="begin"/>
      </w:r>
      <w:r w:rsidR="003B1DD6" w:rsidRPr="00D459B0">
        <w:instrText xml:space="preserve"> REF _Ref437609816 \r \h </w:instrText>
      </w:r>
      <w:r w:rsidR="00A631AE" w:rsidRPr="00D459B0">
        <w:instrText xml:space="preserve"> \* MERGEFORMAT </w:instrText>
      </w:r>
      <w:r w:rsidR="00394AA8" w:rsidRPr="00D459B0">
        <w:fldChar w:fldCharType="separate"/>
      </w:r>
      <w:r w:rsidR="004260C4">
        <w:t>2</w:t>
      </w:r>
      <w:r w:rsidR="00394AA8" w:rsidRPr="00D459B0">
        <w:fldChar w:fldCharType="end"/>
      </w:r>
      <w:r w:rsidR="005365ED" w:rsidRPr="00D459B0">
        <w:t>.</w:t>
      </w:r>
      <w:r w:rsidR="00C91570">
        <w:tab/>
      </w:r>
    </w:p>
    <w:p w14:paraId="3E0B9BFD" w14:textId="75B452B2" w:rsidR="00315EBC" w:rsidRPr="00C91570" w:rsidRDefault="00C91570" w:rsidP="00C91570">
      <w:pPr>
        <w:tabs>
          <w:tab w:val="left" w:pos="4035"/>
        </w:tabs>
        <w:sectPr w:rsidR="00315EBC" w:rsidRPr="00C91570" w:rsidSect="00315EBC">
          <w:footerReference w:type="default" r:id="rId46"/>
          <w:pgSz w:w="11900" w:h="16840" w:code="9"/>
          <w:pgMar w:top="1440" w:right="1440" w:bottom="1440" w:left="1440" w:header="709" w:footer="709" w:gutter="0"/>
          <w:pgNumType w:fmt="lowerRoman"/>
          <w:cols w:space="708"/>
          <w:docGrid w:linePitch="360"/>
        </w:sectPr>
      </w:pPr>
      <w:r>
        <w:tab/>
      </w:r>
    </w:p>
    <w:p w14:paraId="42B30865" w14:textId="77777777" w:rsidR="008229EE" w:rsidRPr="00C757C7" w:rsidRDefault="003E2B6B" w:rsidP="00F41737">
      <w:pPr>
        <w:pStyle w:val="Heading1"/>
      </w:pPr>
      <w:bookmarkStart w:id="18" w:name="_Toc441838724"/>
      <w:bookmarkStart w:id="19" w:name="_Toc474147047"/>
      <w:r w:rsidRPr="00C757C7">
        <w:lastRenderedPageBreak/>
        <w:t>Introduction</w:t>
      </w:r>
      <w:bookmarkEnd w:id="8"/>
      <w:bookmarkEnd w:id="9"/>
      <w:bookmarkEnd w:id="18"/>
      <w:bookmarkEnd w:id="19"/>
    </w:p>
    <w:p w14:paraId="6955ED25" w14:textId="77777777" w:rsidR="00A62C74" w:rsidRPr="00C757C7" w:rsidRDefault="00EE0B4B" w:rsidP="00F41737">
      <w:pPr>
        <w:pStyle w:val="Heading2"/>
      </w:pPr>
      <w:bookmarkStart w:id="20" w:name="_Toc381776097"/>
      <w:bookmarkStart w:id="21" w:name="_Toc441838725"/>
      <w:bookmarkStart w:id="22" w:name="_Toc474147048"/>
      <w:bookmarkStart w:id="23" w:name="_Toc353023400"/>
      <w:bookmarkStart w:id="24" w:name="_Toc353025181"/>
      <w:r w:rsidRPr="00C757C7">
        <w:t>General b</w:t>
      </w:r>
      <w:r w:rsidR="00A62C74" w:rsidRPr="00C757C7">
        <w:t>ackground</w:t>
      </w:r>
      <w:bookmarkEnd w:id="20"/>
      <w:bookmarkEnd w:id="21"/>
      <w:bookmarkEnd w:id="22"/>
    </w:p>
    <w:p w14:paraId="20779835" w14:textId="72C76596" w:rsidR="00A62C74" w:rsidRDefault="00A62C74" w:rsidP="00A62C74">
      <w:pPr>
        <w:autoSpaceDE w:val="0"/>
        <w:autoSpaceDN w:val="0"/>
        <w:adjustRightInd w:val="0"/>
        <w:ind w:right="-180"/>
      </w:pPr>
      <w:r w:rsidRPr="002F0FB7">
        <w:t xml:space="preserve">River regulation and flow modification have severely impacted riverine ecosystems throughout the world </w:t>
      </w:r>
      <w:r w:rsidRPr="002F0FB7">
        <w:rPr>
          <w:noProof/>
        </w:rPr>
        <w:t>(Kingsford 2000; Bunn and Arthington 2002; Tockner and Stanford 2002)</w:t>
      </w:r>
      <w:r w:rsidRPr="002F0FB7">
        <w:t xml:space="preserve">. </w:t>
      </w:r>
      <w:r w:rsidR="00E846C4">
        <w:rPr>
          <w:lang w:eastAsia="en-AU"/>
        </w:rPr>
        <w:t>E</w:t>
      </w:r>
      <w:r w:rsidRPr="002F0FB7">
        <w:rPr>
          <w:lang w:eastAsia="en-AU"/>
        </w:rPr>
        <w:t>nvironmental flow</w:t>
      </w:r>
      <w:r w:rsidR="00E846C4">
        <w:rPr>
          <w:lang w:eastAsia="en-AU"/>
        </w:rPr>
        <w:t>s have been</w:t>
      </w:r>
      <w:r w:rsidRPr="002F0FB7">
        <w:rPr>
          <w:lang w:eastAsia="en-AU"/>
        </w:rPr>
        <w:t xml:space="preserve"> </w:t>
      </w:r>
      <w:r w:rsidR="006D2CBA" w:rsidRPr="002F0FB7">
        <w:rPr>
          <w:lang w:eastAsia="en-AU"/>
        </w:rPr>
        <w:t>use</w:t>
      </w:r>
      <w:r w:rsidR="00E846C4">
        <w:rPr>
          <w:lang w:eastAsia="en-AU"/>
        </w:rPr>
        <w:t>d</w:t>
      </w:r>
      <w:r w:rsidR="006D2CBA" w:rsidRPr="002F0FB7">
        <w:rPr>
          <w:lang w:eastAsia="en-AU"/>
        </w:rPr>
        <w:t xml:space="preserve"> </w:t>
      </w:r>
      <w:r w:rsidRPr="002F0FB7">
        <w:rPr>
          <w:lang w:eastAsia="en-AU"/>
        </w:rPr>
        <w:t xml:space="preserve">to re-establish key components of the natural flow regime </w:t>
      </w:r>
      <w:r w:rsidR="00E846C4">
        <w:rPr>
          <w:lang w:eastAsia="en-AU"/>
        </w:rPr>
        <w:t xml:space="preserve">for </w:t>
      </w:r>
      <w:r w:rsidR="00E846C4" w:rsidRPr="002F0FB7">
        <w:rPr>
          <w:lang w:eastAsia="en-AU"/>
        </w:rPr>
        <w:t xml:space="preserve">ecological restoration </w:t>
      </w:r>
      <w:r w:rsidR="00E846C4">
        <w:rPr>
          <w:lang w:eastAsia="en-AU"/>
        </w:rPr>
        <w:t xml:space="preserve">of </w:t>
      </w:r>
      <w:r w:rsidR="00E846C4" w:rsidRPr="002F0FB7">
        <w:rPr>
          <w:lang w:eastAsia="en-AU"/>
        </w:rPr>
        <w:t>river systems</w:t>
      </w:r>
      <w:r w:rsidRPr="002F0FB7">
        <w:rPr>
          <w:lang w:eastAsia="en-AU"/>
        </w:rPr>
        <w:t xml:space="preserve"> (Poff </w:t>
      </w:r>
      <w:r w:rsidRPr="002F0FB7">
        <w:rPr>
          <w:i/>
          <w:lang w:eastAsia="en-AU"/>
        </w:rPr>
        <w:t>et al.</w:t>
      </w:r>
      <w:r w:rsidR="00924E52">
        <w:rPr>
          <w:lang w:eastAsia="en-AU"/>
        </w:rPr>
        <w:t xml:space="preserve"> 1997; </w:t>
      </w:r>
      <w:r w:rsidR="00924E52" w:rsidRPr="00924E52">
        <w:rPr>
          <w:lang w:eastAsia="en-AU"/>
        </w:rPr>
        <w:t xml:space="preserve">Arthington </w:t>
      </w:r>
      <w:r w:rsidR="00924E52" w:rsidRPr="003565EA">
        <w:rPr>
          <w:i/>
          <w:lang w:eastAsia="en-AU"/>
        </w:rPr>
        <w:t>et al.</w:t>
      </w:r>
      <w:r w:rsidR="00924E52" w:rsidRPr="00924E52">
        <w:rPr>
          <w:lang w:eastAsia="en-AU"/>
        </w:rPr>
        <w:t xml:space="preserve"> 2006</w:t>
      </w:r>
      <w:r w:rsidR="00924E52">
        <w:rPr>
          <w:lang w:eastAsia="en-AU"/>
        </w:rPr>
        <w:t>)</w:t>
      </w:r>
      <w:r w:rsidRPr="002F0FB7">
        <w:rPr>
          <w:lang w:eastAsia="en-AU"/>
        </w:rPr>
        <w:t>. Understanding biological and ecological responses to flow regime</w:t>
      </w:r>
      <w:r w:rsidR="003565EA">
        <w:rPr>
          <w:lang w:eastAsia="en-AU"/>
        </w:rPr>
        <w:t>s</w:t>
      </w:r>
      <w:r w:rsidRPr="002F0FB7">
        <w:rPr>
          <w:lang w:eastAsia="en-AU"/>
        </w:rPr>
        <w:t xml:space="preserve"> provides critical knowledge to underpin environmental flow management to a</w:t>
      </w:r>
      <w:r w:rsidR="00CB7D0A" w:rsidRPr="002F0FB7">
        <w:rPr>
          <w:lang w:eastAsia="en-AU"/>
        </w:rPr>
        <w:t xml:space="preserve">chieve </w:t>
      </w:r>
      <w:r w:rsidR="00525D2C" w:rsidRPr="002F0FB7">
        <w:rPr>
          <w:lang w:eastAsia="en-AU"/>
        </w:rPr>
        <w:t xml:space="preserve">the </w:t>
      </w:r>
      <w:r w:rsidR="00CB7D0A" w:rsidRPr="002F0FB7">
        <w:rPr>
          <w:lang w:eastAsia="en-AU"/>
        </w:rPr>
        <w:t>best ecological outcomes</w:t>
      </w:r>
      <w:r w:rsidRPr="002F0FB7">
        <w:t xml:space="preserve"> </w:t>
      </w:r>
      <w:r w:rsidRPr="002F0FB7">
        <w:rPr>
          <w:noProof/>
        </w:rPr>
        <w:t xml:space="preserve">(Walker </w:t>
      </w:r>
      <w:r w:rsidRPr="002F0FB7">
        <w:rPr>
          <w:i/>
          <w:noProof/>
        </w:rPr>
        <w:t xml:space="preserve"> et al.</w:t>
      </w:r>
      <w:r w:rsidRPr="002F0FB7">
        <w:rPr>
          <w:noProof/>
        </w:rPr>
        <w:t xml:space="preserve"> 1995; Arthington</w:t>
      </w:r>
      <w:r w:rsidRPr="002F0FB7">
        <w:rPr>
          <w:i/>
          <w:noProof/>
        </w:rPr>
        <w:t xml:space="preserve"> et al.</w:t>
      </w:r>
      <w:r w:rsidRPr="002F0FB7">
        <w:rPr>
          <w:noProof/>
        </w:rPr>
        <w:t xml:space="preserve"> </w:t>
      </w:r>
      <w:r w:rsidR="00924E52">
        <w:rPr>
          <w:noProof/>
        </w:rPr>
        <w:t>2006</w:t>
      </w:r>
      <w:r w:rsidRPr="00D875C7">
        <w:rPr>
          <w:noProof/>
        </w:rPr>
        <w:t>)</w:t>
      </w:r>
      <w:r w:rsidRPr="00D875C7">
        <w:t>.</w:t>
      </w:r>
    </w:p>
    <w:p w14:paraId="5667D9B7" w14:textId="5C39A94C" w:rsidR="00630733" w:rsidRPr="00DE474D" w:rsidRDefault="00DE474D" w:rsidP="00630733">
      <w:pPr>
        <w:rPr>
          <w:rFonts w:cstheme="minorHAnsi"/>
        </w:rPr>
      </w:pPr>
      <w:r w:rsidRPr="00DE474D">
        <w:rPr>
          <w:rFonts w:cstheme="minorHAnsi"/>
        </w:rPr>
        <w:t xml:space="preserve">The </w:t>
      </w:r>
      <w:r w:rsidR="00084300">
        <w:rPr>
          <w:rFonts w:cstheme="minorHAnsi"/>
        </w:rPr>
        <w:t xml:space="preserve">southern </w:t>
      </w:r>
      <w:r w:rsidR="005402CA" w:rsidRPr="00DE474D">
        <w:rPr>
          <w:rFonts w:cstheme="minorHAnsi"/>
        </w:rPr>
        <w:t>M</w:t>
      </w:r>
      <w:r w:rsidR="005402CA">
        <w:rPr>
          <w:rFonts w:cstheme="minorHAnsi"/>
        </w:rPr>
        <w:t>urray</w:t>
      </w:r>
      <w:r w:rsidR="001727C8">
        <w:rPr>
          <w:rFonts w:cstheme="minorHAnsi"/>
        </w:rPr>
        <w:t>–</w:t>
      </w:r>
      <w:r w:rsidR="005402CA">
        <w:rPr>
          <w:rFonts w:cstheme="minorHAnsi"/>
        </w:rPr>
        <w:t xml:space="preserve">Darling </w:t>
      </w:r>
      <w:r w:rsidRPr="00DE474D">
        <w:rPr>
          <w:rFonts w:cstheme="minorHAnsi"/>
        </w:rPr>
        <w:t>B</w:t>
      </w:r>
      <w:r w:rsidR="00F706BF">
        <w:rPr>
          <w:rFonts w:cstheme="minorHAnsi"/>
        </w:rPr>
        <w:t>asin (MDB)</w:t>
      </w:r>
      <w:r w:rsidRPr="00DE474D">
        <w:rPr>
          <w:rFonts w:cstheme="minorHAnsi"/>
        </w:rPr>
        <w:t xml:space="preserve"> is </w:t>
      </w:r>
      <w:r w:rsidR="00A27C3F">
        <w:rPr>
          <w:rFonts w:cstheme="minorHAnsi"/>
        </w:rPr>
        <w:t>a highly regulated river system</w:t>
      </w:r>
      <w:r w:rsidR="00084300">
        <w:rPr>
          <w:rFonts w:cstheme="minorHAnsi"/>
        </w:rPr>
        <w:t xml:space="preserve">, where </w:t>
      </w:r>
      <w:r w:rsidRPr="00DE474D">
        <w:rPr>
          <w:rFonts w:cstheme="minorHAnsi"/>
        </w:rPr>
        <w:t>natural flow regimes have been substantially modified, leading to decreased hydrological</w:t>
      </w:r>
      <w:r w:rsidR="0008149F">
        <w:rPr>
          <w:rFonts w:cstheme="minorHAnsi"/>
        </w:rPr>
        <w:t xml:space="preserve"> (e.g. discharge)</w:t>
      </w:r>
      <w:r w:rsidRPr="00DE474D">
        <w:rPr>
          <w:rFonts w:cstheme="minorHAnsi"/>
        </w:rPr>
        <w:t xml:space="preserve"> </w:t>
      </w:r>
      <w:r w:rsidR="0008149F">
        <w:rPr>
          <w:rFonts w:cstheme="minorHAnsi"/>
        </w:rPr>
        <w:t xml:space="preserve">and hydraulic (e.g. water level and velocity) </w:t>
      </w:r>
      <w:r w:rsidRPr="00DE474D">
        <w:rPr>
          <w:rFonts w:cstheme="minorHAnsi"/>
        </w:rPr>
        <w:t>variability, and reduced floodplain inundation (Maheshwari</w:t>
      </w:r>
      <w:r w:rsidRPr="00DE474D">
        <w:rPr>
          <w:rFonts w:cstheme="minorHAnsi"/>
          <w:i/>
        </w:rPr>
        <w:t xml:space="preserve"> et al.</w:t>
      </w:r>
      <w:r w:rsidRPr="00DE474D">
        <w:rPr>
          <w:rFonts w:cstheme="minorHAnsi"/>
        </w:rPr>
        <w:t xml:space="preserve"> 1995; Richter</w:t>
      </w:r>
      <w:r w:rsidRPr="00DE474D">
        <w:rPr>
          <w:rFonts w:cstheme="minorHAnsi"/>
          <w:i/>
        </w:rPr>
        <w:t xml:space="preserve"> et al.</w:t>
      </w:r>
      <w:r w:rsidRPr="00DE474D">
        <w:rPr>
          <w:rFonts w:cstheme="minorHAnsi"/>
        </w:rPr>
        <w:t xml:space="preserve"> 1996</w:t>
      </w:r>
      <w:r w:rsidRPr="00A46989">
        <w:rPr>
          <w:rFonts w:cstheme="minorHAnsi"/>
        </w:rPr>
        <w:t xml:space="preserve">). </w:t>
      </w:r>
      <w:r w:rsidR="00867233" w:rsidRPr="00A46989">
        <w:rPr>
          <w:rFonts w:cstheme="minorHAnsi"/>
        </w:rPr>
        <w:t>T</w:t>
      </w:r>
      <w:r w:rsidRPr="00A46989">
        <w:rPr>
          <w:rFonts w:cstheme="minorHAnsi"/>
        </w:rPr>
        <w:t>he Murray River downstream of the Darling</w:t>
      </w:r>
      <w:r w:rsidR="00290874" w:rsidRPr="00A46989">
        <w:rPr>
          <w:rFonts w:cstheme="minorHAnsi"/>
        </w:rPr>
        <w:t xml:space="preserve"> River</w:t>
      </w:r>
      <w:r w:rsidRPr="00A46989">
        <w:rPr>
          <w:rFonts w:cstheme="minorHAnsi"/>
        </w:rPr>
        <w:t xml:space="preserve"> junction</w:t>
      </w:r>
      <w:r w:rsidR="003565EA" w:rsidRPr="00A46989">
        <w:rPr>
          <w:rFonts w:cstheme="minorHAnsi"/>
        </w:rPr>
        <w:t xml:space="preserve"> (herein, the lower </w:t>
      </w:r>
      <w:r w:rsidR="00B51AAB" w:rsidRPr="00A46989">
        <w:rPr>
          <w:rFonts w:cstheme="minorHAnsi"/>
        </w:rPr>
        <w:t xml:space="preserve">River </w:t>
      </w:r>
      <w:r w:rsidR="00630733" w:rsidRPr="00A46989">
        <w:rPr>
          <w:rFonts w:cstheme="minorHAnsi"/>
        </w:rPr>
        <w:t xml:space="preserve">Murray) is modified </w:t>
      </w:r>
      <w:r w:rsidR="00867233" w:rsidRPr="00A46989">
        <w:rPr>
          <w:rFonts w:cstheme="minorHAnsi"/>
        </w:rPr>
        <w:t xml:space="preserve">by </w:t>
      </w:r>
      <w:r w:rsidRPr="00A46989">
        <w:rPr>
          <w:rFonts w:cstheme="minorHAnsi"/>
        </w:rPr>
        <w:t xml:space="preserve">a series of low-level (&lt;3 m) </w:t>
      </w:r>
      <w:r w:rsidRPr="00431150">
        <w:rPr>
          <w:rFonts w:cstheme="minorHAnsi"/>
        </w:rPr>
        <w:t>weirs</w:t>
      </w:r>
      <w:r w:rsidR="00712508" w:rsidRPr="00431150">
        <w:rPr>
          <w:rFonts w:cstheme="minorHAnsi"/>
        </w:rPr>
        <w:t xml:space="preserve"> (</w:t>
      </w:r>
      <w:r w:rsidR="00431150" w:rsidRPr="00431150">
        <w:rPr>
          <w:rFonts w:cstheme="minorHAnsi"/>
        </w:rPr>
        <w:fldChar w:fldCharType="begin"/>
      </w:r>
      <w:r w:rsidR="00431150" w:rsidRPr="00431150">
        <w:rPr>
          <w:rFonts w:cstheme="minorHAnsi"/>
        </w:rPr>
        <w:instrText xml:space="preserve"> REF _Ref469926522 \h </w:instrText>
      </w:r>
      <w:r w:rsidR="00431150">
        <w:rPr>
          <w:rFonts w:cstheme="minorHAnsi"/>
        </w:rPr>
        <w:instrText xml:space="preserve"> \* MERGEFORMAT </w:instrText>
      </w:r>
      <w:r w:rsidR="00431150" w:rsidRPr="00431150">
        <w:rPr>
          <w:rFonts w:cstheme="minorHAnsi"/>
        </w:rPr>
      </w:r>
      <w:r w:rsidR="00431150" w:rsidRPr="00431150">
        <w:rPr>
          <w:rFonts w:cstheme="minorHAnsi"/>
        </w:rPr>
        <w:fldChar w:fldCharType="separate"/>
      </w:r>
      <w:r w:rsidR="004260C4">
        <w:t xml:space="preserve">Figure </w:t>
      </w:r>
      <w:r w:rsidR="004260C4">
        <w:rPr>
          <w:noProof/>
        </w:rPr>
        <w:t>1</w:t>
      </w:r>
      <w:r w:rsidR="00431150" w:rsidRPr="00431150">
        <w:rPr>
          <w:rFonts w:cstheme="minorHAnsi"/>
        </w:rPr>
        <w:fldChar w:fldCharType="end"/>
      </w:r>
      <w:r w:rsidR="00712508" w:rsidRPr="00431150">
        <w:rPr>
          <w:rFonts w:cstheme="minorHAnsi"/>
        </w:rPr>
        <w:t>)</w:t>
      </w:r>
      <w:r w:rsidRPr="00A46989">
        <w:rPr>
          <w:rFonts w:cstheme="minorHAnsi"/>
        </w:rPr>
        <w:t xml:space="preserve"> constructed in the 1930s</w:t>
      </w:r>
      <w:r w:rsidR="00512BBD" w:rsidRPr="00A46989">
        <w:rPr>
          <w:rFonts w:cstheme="minorHAnsi"/>
        </w:rPr>
        <w:t>–</w:t>
      </w:r>
      <w:r w:rsidRPr="00A46989">
        <w:rPr>
          <w:rFonts w:cstheme="minorHAnsi"/>
        </w:rPr>
        <w:t xml:space="preserve">1940s, changing a connected flowing river to a series of weir pools (Walker 2006). </w:t>
      </w:r>
      <w:r w:rsidR="007B0477" w:rsidRPr="00A46989">
        <w:rPr>
          <w:rFonts w:cstheme="minorHAnsi"/>
        </w:rPr>
        <w:t xml:space="preserve">The hydrological </w:t>
      </w:r>
      <w:r w:rsidR="00581641">
        <w:rPr>
          <w:rFonts w:cstheme="minorHAnsi"/>
        </w:rPr>
        <w:t>regime</w:t>
      </w:r>
      <w:r w:rsidR="007B0477" w:rsidRPr="00A46989">
        <w:rPr>
          <w:rFonts w:cstheme="minorHAnsi"/>
        </w:rPr>
        <w:t xml:space="preserve"> </w:t>
      </w:r>
      <w:r w:rsidR="00867233" w:rsidRPr="00A46989">
        <w:rPr>
          <w:rFonts w:cstheme="minorHAnsi"/>
        </w:rPr>
        <w:t xml:space="preserve">has been further exacerbated by upstream diversions and increased </w:t>
      </w:r>
      <w:r w:rsidR="00867233" w:rsidRPr="000C5453">
        <w:rPr>
          <w:rFonts w:cstheme="minorHAnsi"/>
        </w:rPr>
        <w:t>extraction</w:t>
      </w:r>
      <w:r w:rsidR="00C91570" w:rsidRPr="000C5453">
        <w:rPr>
          <w:rFonts w:cstheme="minorHAnsi"/>
        </w:rPr>
        <w:t xml:space="preserve"> (e.g. natural flow vs</w:t>
      </w:r>
      <w:r w:rsidR="000C5453" w:rsidRPr="000C5453">
        <w:rPr>
          <w:rFonts w:cstheme="minorHAnsi"/>
        </w:rPr>
        <w:t>.</w:t>
      </w:r>
      <w:r w:rsidR="00C91570" w:rsidRPr="000C5453">
        <w:rPr>
          <w:rFonts w:cstheme="minorHAnsi"/>
        </w:rPr>
        <w:t xml:space="preserve"> actual flow in 2015/16 in Figure 3)</w:t>
      </w:r>
      <w:r w:rsidR="00867233" w:rsidRPr="000C5453">
        <w:rPr>
          <w:rFonts w:cstheme="minorHAnsi"/>
        </w:rPr>
        <w:t>. T</w:t>
      </w:r>
      <w:r w:rsidR="007B0477" w:rsidRPr="000C5453">
        <w:rPr>
          <w:rFonts w:cstheme="minorHAnsi"/>
        </w:rPr>
        <w:t>hese</w:t>
      </w:r>
      <w:r w:rsidR="007B0477">
        <w:rPr>
          <w:rFonts w:cstheme="minorHAnsi"/>
        </w:rPr>
        <w:t xml:space="preserve"> have had </w:t>
      </w:r>
      <w:r w:rsidR="00630733" w:rsidRPr="00A46989">
        <w:rPr>
          <w:rFonts w:cstheme="minorHAnsi"/>
        </w:rPr>
        <w:t>profound impact</w:t>
      </w:r>
      <w:r w:rsidR="007B0477">
        <w:rPr>
          <w:rFonts w:cstheme="minorHAnsi"/>
        </w:rPr>
        <w:t>s</w:t>
      </w:r>
      <w:r w:rsidR="00630733" w:rsidRPr="00A46989">
        <w:rPr>
          <w:rFonts w:cstheme="minorHAnsi"/>
        </w:rPr>
        <w:t xml:space="preserve"> on riverine processes and eco</w:t>
      </w:r>
      <w:r w:rsidR="007B0477">
        <w:rPr>
          <w:rFonts w:cstheme="minorHAnsi"/>
        </w:rPr>
        <w:t>systems</w:t>
      </w:r>
      <w:r w:rsidR="00630733" w:rsidRPr="00A46989">
        <w:rPr>
          <w:rFonts w:cstheme="minorHAnsi"/>
        </w:rPr>
        <w:t xml:space="preserve"> (Walker 1985; Walker and Thoms 1993).</w:t>
      </w:r>
      <w:r w:rsidR="00630733">
        <w:rPr>
          <w:rFonts w:cstheme="minorHAnsi"/>
        </w:rPr>
        <w:t xml:space="preserve"> </w:t>
      </w:r>
    </w:p>
    <w:p w14:paraId="36C4F993" w14:textId="116A91B9" w:rsidR="004053CC" w:rsidRDefault="00630733" w:rsidP="00630733">
      <w:pPr>
        <w:rPr>
          <w:rFonts w:cstheme="minorHAnsi"/>
          <w:szCs w:val="24"/>
        </w:rPr>
      </w:pPr>
      <w:r w:rsidRPr="00DE474D">
        <w:rPr>
          <w:rFonts w:cstheme="minorHAnsi"/>
        </w:rPr>
        <w:t>The</w:t>
      </w:r>
      <w:r w:rsidR="00FC6059">
        <w:rPr>
          <w:rFonts w:cstheme="minorHAnsi"/>
        </w:rPr>
        <w:t xml:space="preserve"> South Australian </w:t>
      </w:r>
      <w:r>
        <w:rPr>
          <w:rFonts w:cstheme="minorHAnsi"/>
        </w:rPr>
        <w:t xml:space="preserve">section of the Murray River (herein, </w:t>
      </w:r>
      <w:r w:rsidRPr="00DE474D">
        <w:rPr>
          <w:rFonts w:cstheme="minorHAnsi"/>
        </w:rPr>
        <w:t>Lower Murray</w:t>
      </w:r>
      <w:r>
        <w:rPr>
          <w:rFonts w:cstheme="minorHAnsi"/>
        </w:rPr>
        <w:t xml:space="preserve"> River, LMR)</w:t>
      </w:r>
      <w:r w:rsidRPr="00DE474D">
        <w:rPr>
          <w:rFonts w:cstheme="minorHAnsi"/>
        </w:rPr>
        <w:t xml:space="preserve"> </w:t>
      </w:r>
      <w:r w:rsidR="00DE474D" w:rsidRPr="00DE474D">
        <w:rPr>
          <w:rFonts w:cstheme="minorHAnsi"/>
        </w:rPr>
        <w:t xml:space="preserve">represents a significant ecological asset to be targeted for environmental </w:t>
      </w:r>
      <w:r w:rsidR="00084300">
        <w:rPr>
          <w:rFonts w:cstheme="minorHAnsi"/>
        </w:rPr>
        <w:t xml:space="preserve">watering </w:t>
      </w:r>
      <w:r w:rsidR="00DE474D" w:rsidRPr="00DE474D">
        <w:rPr>
          <w:rFonts w:cstheme="minorHAnsi"/>
        </w:rPr>
        <w:t>(DEWNR 2013)</w:t>
      </w:r>
      <w:r w:rsidR="00F706BF">
        <w:rPr>
          <w:rFonts w:cstheme="minorHAnsi"/>
        </w:rPr>
        <w:t>. This</w:t>
      </w:r>
      <w:r w:rsidR="00DE474D" w:rsidRPr="00DE474D">
        <w:rPr>
          <w:rFonts w:cstheme="minorHAnsi"/>
        </w:rPr>
        <w:t xml:space="preserve"> complex system includes the main river channel, anabranches, floodplain/wetlands, billabongs, stream tributaries and the Lower Lakes, Coorong and Murray Mouth, which provide a range of water dependent habitats and support significant flora and fauna. </w:t>
      </w:r>
      <w:r w:rsidR="00457C9D" w:rsidRPr="00DE474D">
        <w:rPr>
          <w:rFonts w:cstheme="minorHAnsi"/>
          <w:szCs w:val="24"/>
        </w:rPr>
        <w:t xml:space="preserve">During the </w:t>
      </w:r>
      <w:r w:rsidR="0055023A">
        <w:rPr>
          <w:rFonts w:cstheme="minorHAnsi"/>
          <w:szCs w:val="24"/>
        </w:rPr>
        <w:t>Millennium</w:t>
      </w:r>
      <w:r w:rsidR="00457C9D" w:rsidRPr="00DE474D">
        <w:rPr>
          <w:rFonts w:cstheme="minorHAnsi"/>
          <w:szCs w:val="24"/>
        </w:rPr>
        <w:t xml:space="preserve"> drought in the </w:t>
      </w:r>
      <w:r w:rsidR="00457C9D">
        <w:rPr>
          <w:rFonts w:cstheme="minorHAnsi"/>
          <w:szCs w:val="24"/>
        </w:rPr>
        <w:t>MDB</w:t>
      </w:r>
      <w:r w:rsidR="00457C9D" w:rsidRPr="00DE474D">
        <w:rPr>
          <w:rFonts w:cstheme="minorHAnsi"/>
          <w:szCs w:val="24"/>
        </w:rPr>
        <w:t xml:space="preserve"> (2001</w:t>
      </w:r>
      <w:r w:rsidR="00457C9D" w:rsidRPr="00BC4353">
        <w:t>–</w:t>
      </w:r>
      <w:r w:rsidR="00457C9D" w:rsidRPr="00DE474D">
        <w:rPr>
          <w:rFonts w:cstheme="minorHAnsi"/>
          <w:szCs w:val="24"/>
        </w:rPr>
        <w:t>2010)</w:t>
      </w:r>
      <w:r w:rsidR="00431150">
        <w:rPr>
          <w:rFonts w:cstheme="minorHAnsi"/>
          <w:szCs w:val="24"/>
        </w:rPr>
        <w:t xml:space="preserve"> (</w:t>
      </w:r>
      <w:r w:rsidR="00431150">
        <w:rPr>
          <w:rFonts w:cstheme="minorHAnsi"/>
          <w:szCs w:val="24"/>
        </w:rPr>
        <w:fldChar w:fldCharType="begin"/>
      </w:r>
      <w:r w:rsidR="00431150">
        <w:rPr>
          <w:rFonts w:cstheme="minorHAnsi"/>
          <w:szCs w:val="24"/>
        </w:rPr>
        <w:instrText xml:space="preserve"> REF _Ref416335393 \h </w:instrText>
      </w:r>
      <w:r w:rsidR="00431150">
        <w:rPr>
          <w:rFonts w:cstheme="minorHAnsi"/>
          <w:szCs w:val="24"/>
        </w:rPr>
      </w:r>
      <w:r w:rsidR="00431150">
        <w:rPr>
          <w:rFonts w:cstheme="minorHAnsi"/>
          <w:szCs w:val="24"/>
        </w:rPr>
        <w:fldChar w:fldCharType="separate"/>
      </w:r>
      <w:r w:rsidR="004260C4" w:rsidRPr="00C757C7">
        <w:t xml:space="preserve">Figure </w:t>
      </w:r>
      <w:r w:rsidR="004260C4">
        <w:rPr>
          <w:noProof/>
        </w:rPr>
        <w:t>2</w:t>
      </w:r>
      <w:r w:rsidR="00431150">
        <w:rPr>
          <w:rFonts w:cstheme="minorHAnsi"/>
          <w:szCs w:val="24"/>
        </w:rPr>
        <w:fldChar w:fldCharType="end"/>
      </w:r>
      <w:r w:rsidR="00457C9D">
        <w:rPr>
          <w:rFonts w:cstheme="minorHAnsi"/>
          <w:szCs w:val="24"/>
        </w:rPr>
        <w:t>)</w:t>
      </w:r>
      <w:r w:rsidR="00457C9D" w:rsidRPr="00DE474D">
        <w:rPr>
          <w:rFonts w:cstheme="minorHAnsi"/>
          <w:szCs w:val="24"/>
        </w:rPr>
        <w:t xml:space="preserve">, the ecosystem of the </w:t>
      </w:r>
      <w:r w:rsidR="00457C9D">
        <w:rPr>
          <w:rFonts w:cstheme="minorHAnsi"/>
          <w:szCs w:val="24"/>
        </w:rPr>
        <w:t>LMR</w:t>
      </w:r>
      <w:r w:rsidR="00457C9D" w:rsidRPr="00DE474D">
        <w:rPr>
          <w:rFonts w:cstheme="minorHAnsi"/>
          <w:szCs w:val="24"/>
        </w:rPr>
        <w:t xml:space="preserve"> was under severe stress</w:t>
      </w:r>
      <w:r w:rsidR="00DE474D" w:rsidRPr="00DE474D">
        <w:rPr>
          <w:rFonts w:cstheme="minorHAnsi"/>
          <w:szCs w:val="24"/>
        </w:rPr>
        <w:t>; m</w:t>
      </w:r>
      <w:r w:rsidR="00F4708D">
        <w:rPr>
          <w:rFonts w:cstheme="minorHAnsi"/>
          <w:szCs w:val="24"/>
        </w:rPr>
        <w:t xml:space="preserve">uch of the </w:t>
      </w:r>
      <w:r w:rsidR="00DE474D" w:rsidRPr="00DE474D">
        <w:rPr>
          <w:rFonts w:cstheme="minorHAnsi"/>
          <w:szCs w:val="24"/>
        </w:rPr>
        <w:t xml:space="preserve">biota declined and the </w:t>
      </w:r>
      <w:r w:rsidR="00AB3490">
        <w:rPr>
          <w:rFonts w:cstheme="minorHAnsi"/>
          <w:szCs w:val="24"/>
        </w:rPr>
        <w:t xml:space="preserve">community </w:t>
      </w:r>
      <w:r w:rsidR="00DE474D" w:rsidRPr="00DE474D">
        <w:rPr>
          <w:rFonts w:cstheme="minorHAnsi"/>
          <w:szCs w:val="24"/>
        </w:rPr>
        <w:t xml:space="preserve">resilience was compromised </w:t>
      </w:r>
      <w:r w:rsidR="00DE474D" w:rsidRPr="00DE474D">
        <w:rPr>
          <w:rFonts w:cstheme="minorHAnsi"/>
          <w:noProof/>
          <w:szCs w:val="24"/>
        </w:rPr>
        <w:t>(e.g. Noell</w:t>
      </w:r>
      <w:r w:rsidR="00DE474D" w:rsidRPr="00DE474D">
        <w:rPr>
          <w:rFonts w:cstheme="minorHAnsi"/>
          <w:i/>
          <w:noProof/>
          <w:szCs w:val="24"/>
        </w:rPr>
        <w:t xml:space="preserve"> et al.</w:t>
      </w:r>
      <w:r w:rsidR="00DE474D" w:rsidRPr="00DE474D">
        <w:rPr>
          <w:rFonts w:cstheme="minorHAnsi"/>
          <w:noProof/>
          <w:szCs w:val="24"/>
        </w:rPr>
        <w:t xml:space="preserve"> 2009; Nicol 2010; Zampatti</w:t>
      </w:r>
      <w:r w:rsidR="00DE474D" w:rsidRPr="00DE474D">
        <w:rPr>
          <w:rFonts w:cstheme="minorHAnsi"/>
          <w:i/>
          <w:noProof/>
          <w:szCs w:val="24"/>
        </w:rPr>
        <w:t xml:space="preserve"> et al.</w:t>
      </w:r>
      <w:r w:rsidR="00DE474D" w:rsidRPr="00DE474D">
        <w:rPr>
          <w:rFonts w:cstheme="minorHAnsi"/>
          <w:noProof/>
          <w:szCs w:val="24"/>
        </w:rPr>
        <w:t xml:space="preserve"> 2010)</w:t>
      </w:r>
      <w:r w:rsidR="00DE474D" w:rsidRPr="00DE474D">
        <w:rPr>
          <w:rFonts w:cstheme="minorHAnsi"/>
          <w:szCs w:val="24"/>
        </w:rPr>
        <w:t xml:space="preserve">. </w:t>
      </w:r>
      <w:r w:rsidR="001C2E87">
        <w:rPr>
          <w:rFonts w:cstheme="minorHAnsi"/>
          <w:szCs w:val="24"/>
        </w:rPr>
        <w:t xml:space="preserve">Since </w:t>
      </w:r>
      <w:r w:rsidR="00457C9D">
        <w:rPr>
          <w:rFonts w:cstheme="minorHAnsi"/>
          <w:szCs w:val="24"/>
        </w:rPr>
        <w:t xml:space="preserve">the drought broke in </w:t>
      </w:r>
      <w:r w:rsidR="001C2E87">
        <w:rPr>
          <w:rFonts w:cstheme="minorHAnsi"/>
          <w:szCs w:val="24"/>
        </w:rPr>
        <w:t xml:space="preserve">2010/11, </w:t>
      </w:r>
      <w:r w:rsidR="00457C9D">
        <w:rPr>
          <w:rFonts w:cstheme="minorHAnsi"/>
          <w:szCs w:val="24"/>
        </w:rPr>
        <w:t xml:space="preserve">increased flow </w:t>
      </w:r>
      <w:r w:rsidR="00B179F1">
        <w:rPr>
          <w:rFonts w:cstheme="minorHAnsi"/>
          <w:szCs w:val="24"/>
        </w:rPr>
        <w:t xml:space="preserve">(both </w:t>
      </w:r>
      <w:r w:rsidR="00AB3490">
        <w:rPr>
          <w:rFonts w:cstheme="minorHAnsi"/>
          <w:szCs w:val="24"/>
        </w:rPr>
        <w:t>natural and environmental flows</w:t>
      </w:r>
      <w:r w:rsidR="001C2E87">
        <w:rPr>
          <w:rFonts w:cstheme="minorHAnsi"/>
          <w:szCs w:val="24"/>
        </w:rPr>
        <w:t xml:space="preserve">) </w:t>
      </w:r>
      <w:r w:rsidR="00F706BF">
        <w:rPr>
          <w:rFonts w:cstheme="minorHAnsi"/>
          <w:szCs w:val="24"/>
        </w:rPr>
        <w:t>has</w:t>
      </w:r>
      <w:r w:rsidR="00DE474D" w:rsidRPr="00DE474D">
        <w:rPr>
          <w:rFonts w:cstheme="minorHAnsi"/>
          <w:szCs w:val="24"/>
        </w:rPr>
        <w:t xml:space="preserve"> led to some positive </w:t>
      </w:r>
      <w:r w:rsidR="001C2E87">
        <w:rPr>
          <w:rFonts w:cstheme="minorHAnsi"/>
          <w:szCs w:val="24"/>
        </w:rPr>
        <w:t xml:space="preserve">responses, </w:t>
      </w:r>
      <w:r w:rsidR="006E7708">
        <w:rPr>
          <w:rFonts w:cstheme="minorHAnsi"/>
          <w:szCs w:val="24"/>
        </w:rPr>
        <w:t>contributing</w:t>
      </w:r>
      <w:r w:rsidR="001C2E87">
        <w:rPr>
          <w:rFonts w:cstheme="minorHAnsi"/>
          <w:szCs w:val="24"/>
        </w:rPr>
        <w:t xml:space="preserve"> to </w:t>
      </w:r>
      <w:r w:rsidR="00F249BD" w:rsidRPr="00DE474D">
        <w:rPr>
          <w:rFonts w:cstheme="minorHAnsi"/>
          <w:szCs w:val="24"/>
        </w:rPr>
        <w:t xml:space="preserve">ecological </w:t>
      </w:r>
      <w:r w:rsidR="00581641">
        <w:rPr>
          <w:rFonts w:cstheme="minorHAnsi"/>
          <w:szCs w:val="24"/>
        </w:rPr>
        <w:t>restoration</w:t>
      </w:r>
      <w:r w:rsidR="00F249BD" w:rsidRPr="00DE474D">
        <w:rPr>
          <w:rFonts w:cstheme="minorHAnsi"/>
          <w:szCs w:val="24"/>
        </w:rPr>
        <w:t xml:space="preserve"> </w:t>
      </w:r>
      <w:r w:rsidR="00F706BF">
        <w:rPr>
          <w:rFonts w:cstheme="minorHAnsi"/>
          <w:noProof/>
          <w:szCs w:val="24"/>
        </w:rPr>
        <w:t>(</w:t>
      </w:r>
      <w:r w:rsidR="00AB3490">
        <w:rPr>
          <w:rFonts w:cstheme="minorHAnsi"/>
          <w:noProof/>
          <w:szCs w:val="24"/>
        </w:rPr>
        <w:t xml:space="preserve">e.g. </w:t>
      </w:r>
      <w:r w:rsidR="00DE474D" w:rsidRPr="00DE474D">
        <w:rPr>
          <w:rFonts w:cstheme="minorHAnsi"/>
          <w:noProof/>
          <w:szCs w:val="24"/>
        </w:rPr>
        <w:t>Ye</w:t>
      </w:r>
      <w:r w:rsidR="00DE474D" w:rsidRPr="00DE474D">
        <w:rPr>
          <w:rFonts w:cstheme="minorHAnsi"/>
          <w:i/>
          <w:noProof/>
          <w:szCs w:val="24"/>
        </w:rPr>
        <w:t xml:space="preserve"> et al.</w:t>
      </w:r>
      <w:r w:rsidR="00E90978">
        <w:rPr>
          <w:rFonts w:cstheme="minorHAnsi"/>
          <w:noProof/>
          <w:szCs w:val="24"/>
        </w:rPr>
        <w:t xml:space="preserve"> 2014;</w:t>
      </w:r>
      <w:r w:rsidR="001C2E87">
        <w:rPr>
          <w:rFonts w:cstheme="minorHAnsi"/>
          <w:noProof/>
          <w:szCs w:val="24"/>
        </w:rPr>
        <w:t xml:space="preserve"> 2015</w:t>
      </w:r>
      <w:r w:rsidR="004B77F1">
        <w:rPr>
          <w:rFonts w:cstheme="minorHAnsi"/>
          <w:noProof/>
          <w:szCs w:val="24"/>
        </w:rPr>
        <w:t>a</w:t>
      </w:r>
      <w:r w:rsidR="006E7708">
        <w:rPr>
          <w:rFonts w:cstheme="minorHAnsi"/>
          <w:noProof/>
          <w:szCs w:val="24"/>
        </w:rPr>
        <w:t>; 2015</w:t>
      </w:r>
      <w:r w:rsidR="004B77F1">
        <w:rPr>
          <w:rFonts w:cstheme="minorHAnsi"/>
          <w:noProof/>
          <w:szCs w:val="24"/>
        </w:rPr>
        <w:t>b</w:t>
      </w:r>
      <w:r w:rsidR="00DE474D" w:rsidRPr="00DE474D">
        <w:rPr>
          <w:rFonts w:cstheme="minorHAnsi"/>
          <w:noProof/>
          <w:szCs w:val="24"/>
        </w:rPr>
        <w:t>)</w:t>
      </w:r>
      <w:r w:rsidR="00DE474D" w:rsidRPr="00DE474D">
        <w:rPr>
          <w:rFonts w:cstheme="minorHAnsi"/>
          <w:szCs w:val="24"/>
        </w:rPr>
        <w:t xml:space="preserve">. </w:t>
      </w:r>
      <w:bookmarkStart w:id="25" w:name="_Ref387827310"/>
    </w:p>
    <w:p w14:paraId="1E8A91AE" w14:textId="77777777" w:rsidR="00712508" w:rsidRDefault="00712508" w:rsidP="00712508">
      <w:pPr>
        <w:jc w:val="center"/>
      </w:pPr>
      <w:r>
        <w:rPr>
          <w:noProof/>
          <w:lang w:eastAsia="en-AU"/>
        </w:rPr>
        <w:lastRenderedPageBreak/>
        <w:drawing>
          <wp:inline distT="0" distB="0" distL="0" distR="0" wp14:anchorId="31B06AA5" wp14:editId="14820A7F">
            <wp:extent cx="5436000" cy="38385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 system scale map2.tif"/>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436000" cy="3838561"/>
                    </a:xfrm>
                    <a:prstGeom prst="rect">
                      <a:avLst/>
                    </a:prstGeom>
                    <a:ln>
                      <a:noFill/>
                    </a:ln>
                    <a:extLst>
                      <a:ext uri="{53640926-AAD7-44D8-BBD7-CCE9431645EC}">
                        <a14:shadowObscured xmlns:a14="http://schemas.microsoft.com/office/drawing/2010/main"/>
                      </a:ext>
                    </a:extLst>
                  </pic:spPr>
                </pic:pic>
              </a:graphicData>
            </a:graphic>
          </wp:inline>
        </w:drawing>
      </w:r>
    </w:p>
    <w:p w14:paraId="45037BC7" w14:textId="303D16A0" w:rsidR="00712508" w:rsidRDefault="00431150" w:rsidP="00431150">
      <w:pPr>
        <w:pStyle w:val="Caption"/>
      </w:pPr>
      <w:bookmarkStart w:id="26" w:name="_Ref469926522"/>
      <w:bookmarkStart w:id="27" w:name="_Toc474147025"/>
      <w:r>
        <w:t xml:space="preserve">Figure </w:t>
      </w:r>
      <w:r w:rsidR="002A5644">
        <w:fldChar w:fldCharType="begin"/>
      </w:r>
      <w:r w:rsidR="002A5644">
        <w:instrText xml:space="preserve"> SEQ Figure \* ARABIC </w:instrText>
      </w:r>
      <w:r w:rsidR="002A5644">
        <w:fldChar w:fldCharType="separate"/>
      </w:r>
      <w:r w:rsidR="004260C4">
        <w:rPr>
          <w:noProof/>
        </w:rPr>
        <w:t>1</w:t>
      </w:r>
      <w:r w:rsidR="002A5644">
        <w:rPr>
          <w:noProof/>
        </w:rPr>
        <w:fldChar w:fldCharType="end"/>
      </w:r>
      <w:bookmarkEnd w:id="26"/>
      <w:r w:rsidR="00712508">
        <w:t xml:space="preserve">. </w:t>
      </w:r>
      <w:r w:rsidR="00712508" w:rsidRPr="009D11B1">
        <w:t>Map showing the location of the Murray–Darling Basin and the major rivers that comprise the southern Murray-Darling Basin, the numbered Locks and Weirs (up to Lock 26, Torrumbarry), the Darling, Lachlan, Murrumbidgee, Edward–Wakool, Campaspe and Goulburn rivers and Lake Victoria, an off-stream storage used to regulate flows in the lower Murray River.</w:t>
      </w:r>
      <w:bookmarkEnd w:id="27"/>
    </w:p>
    <w:p w14:paraId="3DA7592A" w14:textId="7767FC92" w:rsidR="004053CC" w:rsidRPr="00C757C7" w:rsidRDefault="0038482F" w:rsidP="00961C3C">
      <w:pPr>
        <w:jc w:val="center"/>
        <w:rPr>
          <w:noProof/>
          <w:lang w:eastAsia="en-AU"/>
        </w:rPr>
      </w:pPr>
      <w:r w:rsidRPr="00E768C1">
        <w:rPr>
          <w:noProof/>
          <w:lang w:eastAsia="en-AU"/>
        </w:rPr>
        <w:drawing>
          <wp:inline distT="0" distB="0" distL="0" distR="0" wp14:anchorId="66F2A4BF" wp14:editId="05A71F4A">
            <wp:extent cx="5472000" cy="3317821"/>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t="9921" r="3067"/>
                    <a:stretch/>
                  </pic:blipFill>
                  <pic:spPr bwMode="auto">
                    <a:xfrm>
                      <a:off x="0" y="0"/>
                      <a:ext cx="5472000" cy="3317821"/>
                    </a:xfrm>
                    <a:prstGeom prst="rect">
                      <a:avLst/>
                    </a:prstGeom>
                    <a:noFill/>
                    <a:ln>
                      <a:noFill/>
                    </a:ln>
                    <a:extLst>
                      <a:ext uri="{53640926-AAD7-44D8-BBD7-CCE9431645EC}">
                        <a14:shadowObscured xmlns:a14="http://schemas.microsoft.com/office/drawing/2010/main"/>
                      </a:ext>
                    </a:extLst>
                  </pic:spPr>
                </pic:pic>
              </a:graphicData>
            </a:graphic>
          </wp:inline>
        </w:drawing>
      </w:r>
    </w:p>
    <w:p w14:paraId="58147527" w14:textId="1A3EE96B" w:rsidR="00DE474D" w:rsidRPr="004053CC" w:rsidRDefault="004053CC" w:rsidP="00B46038">
      <w:pPr>
        <w:pStyle w:val="Captions"/>
      </w:pPr>
      <w:bookmarkStart w:id="28" w:name="_Ref416335393"/>
      <w:bookmarkStart w:id="29" w:name="_Toc442173724"/>
      <w:bookmarkStart w:id="30" w:name="_Toc474147026"/>
      <w:r w:rsidRPr="00C757C7">
        <w:t xml:space="preserve">Figure </w:t>
      </w:r>
      <w:r w:rsidR="00C63D36">
        <w:fldChar w:fldCharType="begin"/>
      </w:r>
      <w:r w:rsidR="00C63D36">
        <w:instrText xml:space="preserve"> SEQ Figure \* ARABIC </w:instrText>
      </w:r>
      <w:r w:rsidR="00C63D36">
        <w:fldChar w:fldCharType="separate"/>
      </w:r>
      <w:r w:rsidR="004260C4">
        <w:rPr>
          <w:noProof/>
        </w:rPr>
        <w:t>2</w:t>
      </w:r>
      <w:r w:rsidR="00C63D36">
        <w:fldChar w:fldCharType="end"/>
      </w:r>
      <w:bookmarkEnd w:id="25"/>
      <w:bookmarkEnd w:id="28"/>
      <w:r w:rsidRPr="00C757C7">
        <w:rPr>
          <w:noProof/>
        </w:rPr>
        <w:t>.</w:t>
      </w:r>
      <w:r w:rsidRPr="00C757C7">
        <w:t xml:space="preserve"> </w:t>
      </w:r>
      <w:r w:rsidRPr="008C084B">
        <w:t>Daily flow (ML day</w:t>
      </w:r>
      <w:r w:rsidRPr="008C084B">
        <w:rPr>
          <w:vertAlign w:val="superscript"/>
        </w:rPr>
        <w:t>-1</w:t>
      </w:r>
      <w:r w:rsidRPr="008C084B">
        <w:t xml:space="preserve">) in the </w:t>
      </w:r>
      <w:r w:rsidR="009E2C48">
        <w:t>LMR</w:t>
      </w:r>
      <w:r w:rsidRPr="008C084B">
        <w:t xml:space="preserve"> at the South Australian border from January 1996 to </w:t>
      </w:r>
      <w:r w:rsidR="00415600">
        <w:t>July 2016</w:t>
      </w:r>
      <w:r w:rsidR="005365ED">
        <w:t>. Dotted line represents</w:t>
      </w:r>
      <w:r w:rsidRPr="008C084B">
        <w:t xml:space="preserve"> approximate bankfull flow in the main channel of the </w:t>
      </w:r>
      <w:r w:rsidR="009E2C48">
        <w:t>LMR</w:t>
      </w:r>
      <w:r w:rsidRPr="008C084B">
        <w:t>.</w:t>
      </w:r>
      <w:bookmarkEnd w:id="29"/>
      <w:bookmarkEnd w:id="30"/>
    </w:p>
    <w:p w14:paraId="23DF2B4B" w14:textId="77777777" w:rsidR="00071349" w:rsidRDefault="004F5EA1" w:rsidP="00E87EFC">
      <w:pPr>
        <w:pStyle w:val="Heading2"/>
      </w:pPr>
      <w:bookmarkStart w:id="31" w:name="_Ref432595340"/>
      <w:bookmarkStart w:id="32" w:name="_Toc441838726"/>
      <w:bookmarkStart w:id="33" w:name="_Toc474147049"/>
      <w:r>
        <w:lastRenderedPageBreak/>
        <w:t xml:space="preserve">Commonwealth </w:t>
      </w:r>
      <w:r w:rsidRPr="00E87EFC">
        <w:t>environmental</w:t>
      </w:r>
      <w:r>
        <w:t xml:space="preserve"> water</w:t>
      </w:r>
      <w:bookmarkEnd w:id="31"/>
      <w:bookmarkEnd w:id="32"/>
      <w:bookmarkEnd w:id="33"/>
    </w:p>
    <w:p w14:paraId="438C92B8" w14:textId="662CCF74" w:rsidR="00D319D2" w:rsidRDefault="00DE474D" w:rsidP="004F5EA1">
      <w:r w:rsidRPr="00E93E70">
        <w:t>Since 2011</w:t>
      </w:r>
      <w:r w:rsidR="00512BBD">
        <w:t>/</w:t>
      </w:r>
      <w:r w:rsidRPr="00E93E70">
        <w:t xml:space="preserve">12, significant volumes of Commonwealth environmental water have been delivered to the </w:t>
      </w:r>
      <w:r w:rsidR="004B77F1">
        <w:t>LMR,</w:t>
      </w:r>
      <w:r w:rsidRPr="00E93E70">
        <w:t xml:space="preserve"> in conjunction with other environmental flows (e.g. flows through the Murray</w:t>
      </w:r>
      <w:r w:rsidR="009935B6">
        <w:t>–</w:t>
      </w:r>
      <w:r w:rsidRPr="00E93E70">
        <w:t xml:space="preserve">Darling Basin Authority </w:t>
      </w:r>
      <w:r w:rsidR="004B77F1">
        <w:t xml:space="preserve">(MDBA) </w:t>
      </w:r>
      <w:r w:rsidRPr="00E93E70">
        <w:t>The Living Murray Initiative</w:t>
      </w:r>
      <w:r w:rsidR="005849A8">
        <w:t xml:space="preserve"> and the</w:t>
      </w:r>
      <w:r w:rsidR="0054739B">
        <w:t xml:space="preserve"> Victorian Environmental Water Holder</w:t>
      </w:r>
      <w:r w:rsidRPr="00E93E70">
        <w:t>), to fac</w:t>
      </w:r>
      <w:r w:rsidR="0055023A">
        <w:t>ilitate ecosystem re</w:t>
      </w:r>
      <w:r w:rsidR="001E335F">
        <w:t xml:space="preserve">storation </w:t>
      </w:r>
      <w:r w:rsidRPr="00E93E70">
        <w:t>(</w:t>
      </w:r>
      <w:hyperlink r:id="rId49" w:history="1">
        <w:r w:rsidR="005365ED" w:rsidRPr="00FC3D5C">
          <w:rPr>
            <w:rStyle w:val="Hyperlink"/>
          </w:rPr>
          <w:t>www.environment.gov.au/water/cewo</w:t>
        </w:r>
      </w:hyperlink>
      <w:r w:rsidRPr="00E93E70">
        <w:t xml:space="preserve">). </w:t>
      </w:r>
      <w:r w:rsidR="000F4B5B">
        <w:t>Some of t</w:t>
      </w:r>
      <w:r w:rsidRPr="00E93E70">
        <w:t>hese</w:t>
      </w:r>
      <w:r w:rsidR="0010065B">
        <w:t xml:space="preserve"> flow deliverie</w:t>
      </w:r>
      <w:r w:rsidR="00F249BD" w:rsidRPr="00E93E70">
        <w:t xml:space="preserve">s </w:t>
      </w:r>
      <w:r w:rsidRPr="00E93E70">
        <w:t>to</w:t>
      </w:r>
      <w:r w:rsidR="001E5FAE">
        <w:t xml:space="preserve"> South Australia </w:t>
      </w:r>
      <w:r w:rsidRPr="00E93E70">
        <w:t xml:space="preserve">have been coordinated through a series of </w:t>
      </w:r>
      <w:r w:rsidR="001E335F">
        <w:t xml:space="preserve">environmental </w:t>
      </w:r>
      <w:r w:rsidRPr="00E93E70">
        <w:t xml:space="preserve">watering events across the </w:t>
      </w:r>
      <w:r w:rsidR="000F4B5B">
        <w:t>S</w:t>
      </w:r>
      <w:r w:rsidR="000F4B5B" w:rsidRPr="00E93E70">
        <w:t xml:space="preserve">outhern </w:t>
      </w:r>
      <w:r w:rsidR="000F4B5B">
        <w:t>C</w:t>
      </w:r>
      <w:r w:rsidR="000F4B5B" w:rsidRPr="00E93E70">
        <w:t>onnected</w:t>
      </w:r>
      <w:r w:rsidRPr="00E93E70">
        <w:t xml:space="preserve"> Basin to achieve multi-site environmental outcomes (</w:t>
      </w:r>
      <w:r w:rsidR="005365ED" w:rsidRPr="005F53D7">
        <w:t>http://www.environment.gov.au/water/cewo/catchment/lower-murray-darling/history</w:t>
      </w:r>
      <w:r w:rsidRPr="00E93E70">
        <w:t xml:space="preserve">). </w:t>
      </w:r>
      <w:r w:rsidR="00726831">
        <w:t>I</w:t>
      </w:r>
      <w:r w:rsidRPr="00E93E70">
        <w:t>ntervention monitoring of responses to environmental flows from</w:t>
      </w:r>
      <w:r w:rsidR="009C377C">
        <w:t xml:space="preserve"> 2011 to 20</w:t>
      </w:r>
      <w:r w:rsidRPr="00E93E70">
        <w:t>1</w:t>
      </w:r>
      <w:r w:rsidR="00726831">
        <w:t>5</w:t>
      </w:r>
      <w:r w:rsidRPr="00E93E70">
        <w:t xml:space="preserve"> </w:t>
      </w:r>
      <w:r w:rsidR="00557266">
        <w:t>have</w:t>
      </w:r>
      <w:r w:rsidRPr="00E93E70">
        <w:t xml:space="preserve"> demonstrated the </w:t>
      </w:r>
      <w:r w:rsidR="00557266">
        <w:t xml:space="preserve">ecological </w:t>
      </w:r>
      <w:r>
        <w:t>benefits</w:t>
      </w:r>
      <w:r w:rsidRPr="00E93E70">
        <w:t xml:space="preserve"> in the </w:t>
      </w:r>
      <w:r w:rsidR="00E43DB7">
        <w:t>LMR</w:t>
      </w:r>
      <w:r w:rsidRPr="00E93E70">
        <w:t xml:space="preserve"> (</w:t>
      </w:r>
      <w:r w:rsidR="00F249BD" w:rsidRPr="00E93E70">
        <w:t xml:space="preserve">Ye </w:t>
      </w:r>
      <w:r w:rsidR="00F249BD" w:rsidRPr="00412E7A">
        <w:rPr>
          <w:i/>
        </w:rPr>
        <w:t>et al.</w:t>
      </w:r>
      <w:r w:rsidR="00F249BD" w:rsidRPr="00E93E70">
        <w:t xml:space="preserve"> 2015a; 2015b</w:t>
      </w:r>
      <w:r w:rsidR="00F249BD">
        <w:t>; 2016a; 2016b</w:t>
      </w:r>
      <w:r w:rsidR="00D319D2">
        <w:t>).</w:t>
      </w:r>
    </w:p>
    <w:p w14:paraId="036C9003" w14:textId="601F920B" w:rsidR="009967D8" w:rsidRDefault="005C28E4" w:rsidP="002972DD">
      <w:r w:rsidRPr="00D931A1">
        <w:t>2015/16 was a dry year</w:t>
      </w:r>
      <w:r>
        <w:t xml:space="preserve"> (</w:t>
      </w:r>
      <w:r w:rsidR="00DE4E4D">
        <w:t>&lt;12,000 ML day</w:t>
      </w:r>
      <w:r w:rsidR="00DE4E4D" w:rsidRPr="00C72D68">
        <w:rPr>
          <w:vertAlign w:val="superscript"/>
        </w:rPr>
        <w:t>-1</w:t>
      </w:r>
      <w:r w:rsidR="00DE4E4D">
        <w:t xml:space="preserve">, </w:t>
      </w:r>
      <w:r>
        <w:fldChar w:fldCharType="begin"/>
      </w:r>
      <w:r>
        <w:instrText xml:space="preserve"> REF _Ref416335393 \h </w:instrText>
      </w:r>
      <w:r>
        <w:fldChar w:fldCharType="separate"/>
      </w:r>
      <w:r w:rsidR="004260C4" w:rsidRPr="00C757C7">
        <w:t xml:space="preserve">Figure </w:t>
      </w:r>
      <w:r w:rsidR="004260C4">
        <w:rPr>
          <w:noProof/>
        </w:rPr>
        <w:t>2</w:t>
      </w:r>
      <w:r>
        <w:fldChar w:fldCharType="end"/>
      </w:r>
      <w:r>
        <w:t>)</w:t>
      </w:r>
      <w:r w:rsidRPr="00D931A1">
        <w:t xml:space="preserve"> and quite unusual, where full entitlement flow was provided, but </w:t>
      </w:r>
      <w:r w:rsidR="001E335F">
        <w:t xml:space="preserve">there was </w:t>
      </w:r>
      <w:r w:rsidRPr="00D931A1">
        <w:t>no unregulated flow</w:t>
      </w:r>
      <w:r>
        <w:t xml:space="preserve"> (</w:t>
      </w:r>
      <w:r>
        <w:fldChar w:fldCharType="begin"/>
      </w:r>
      <w:r>
        <w:instrText xml:space="preserve"> REF _Ref416335496 \h </w:instrText>
      </w:r>
      <w:r>
        <w:fldChar w:fldCharType="separate"/>
      </w:r>
      <w:r w:rsidR="004260C4" w:rsidRPr="00160EF9">
        <w:t xml:space="preserve">Figure </w:t>
      </w:r>
      <w:r w:rsidR="004260C4">
        <w:rPr>
          <w:noProof/>
        </w:rPr>
        <w:t>3</w:t>
      </w:r>
      <w:r>
        <w:fldChar w:fldCharType="end"/>
      </w:r>
      <w:r w:rsidRPr="00B6415F">
        <w:t>).</w:t>
      </w:r>
      <w:r>
        <w:t xml:space="preserve"> During this year</w:t>
      </w:r>
      <w:r w:rsidR="0032390B" w:rsidRPr="00B6415F">
        <w:t xml:space="preserve">, </w:t>
      </w:r>
      <w:r w:rsidR="005365ED" w:rsidRPr="00B6415F">
        <w:t>~</w:t>
      </w:r>
      <w:r w:rsidR="00C30CB7">
        <w:t>814</w:t>
      </w:r>
      <w:r w:rsidR="004F5EA1" w:rsidRPr="00B6415F">
        <w:t xml:space="preserve"> GL of Commonwealth environmental water w</w:t>
      </w:r>
      <w:r w:rsidR="00B900C4" w:rsidRPr="00B6415F">
        <w:t>as</w:t>
      </w:r>
      <w:r w:rsidR="004F5EA1" w:rsidRPr="00B6415F">
        <w:t xml:space="preserve"> delivered to the LMR</w:t>
      </w:r>
      <w:r w:rsidR="00C47F7B">
        <w:t xml:space="preserve"> from 1 July to 30 November 2015, and </w:t>
      </w:r>
      <w:r w:rsidR="00A22D0A">
        <w:t xml:space="preserve">from </w:t>
      </w:r>
      <w:r w:rsidR="00C47F7B">
        <w:t>2 January to 30 June 2016</w:t>
      </w:r>
      <w:r w:rsidR="004F5EA1" w:rsidRPr="00B6415F">
        <w:t xml:space="preserve">. </w:t>
      </w:r>
      <w:r w:rsidR="00AD03CF" w:rsidRPr="00B6415F">
        <w:t>This include</w:t>
      </w:r>
      <w:r w:rsidR="002647AA">
        <w:t>d</w:t>
      </w:r>
      <w:r w:rsidR="00C47F7B">
        <w:t xml:space="preserve"> 15.8 </w:t>
      </w:r>
      <w:r w:rsidR="00AD03CF" w:rsidRPr="00B6415F">
        <w:t>GL of C</w:t>
      </w:r>
      <w:r w:rsidR="00415600">
        <w:t>ommonwealth environmental water</w:t>
      </w:r>
      <w:r w:rsidR="00AD03CF" w:rsidRPr="00B6415F">
        <w:t xml:space="preserve"> used for wetlands and weir pool raising</w:t>
      </w:r>
      <w:r w:rsidR="001E29E0">
        <w:t xml:space="preserve"> (WPR)</w:t>
      </w:r>
      <w:r w:rsidR="00AD03CF" w:rsidRPr="00B6415F">
        <w:t xml:space="preserve"> within </w:t>
      </w:r>
      <w:r w:rsidR="005106B5">
        <w:t>South Australia</w:t>
      </w:r>
      <w:r w:rsidR="00AD03CF" w:rsidRPr="00B6415F">
        <w:t>, with the remaining ~7</w:t>
      </w:r>
      <w:r w:rsidR="00C30CB7">
        <w:t>98</w:t>
      </w:r>
      <w:r w:rsidR="00AD03CF" w:rsidRPr="00B6415F">
        <w:t xml:space="preserve"> GL flowing through the </w:t>
      </w:r>
      <w:r w:rsidR="0055023A">
        <w:t>main channel</w:t>
      </w:r>
      <w:r w:rsidR="00AD03CF" w:rsidRPr="00B6415F">
        <w:t xml:space="preserve">. </w:t>
      </w:r>
    </w:p>
    <w:p w14:paraId="27CCD620" w14:textId="65203B82" w:rsidR="002151D6" w:rsidRDefault="009F3ABE" w:rsidP="00BD6DB7">
      <w:pPr>
        <w:rPr>
          <w:color w:val="auto"/>
          <w:lang w:val="en-US"/>
        </w:rPr>
      </w:pPr>
      <w:r w:rsidRPr="00B6415F">
        <w:t>C</w:t>
      </w:r>
      <w:r>
        <w:t>ommonwealth environmental water</w:t>
      </w:r>
      <w:r w:rsidRPr="00B6415F">
        <w:t xml:space="preserve"> delivered</w:t>
      </w:r>
      <w:r>
        <w:t xml:space="preserve"> to</w:t>
      </w:r>
      <w:r w:rsidR="001E5FAE">
        <w:t xml:space="preserve"> South Australia </w:t>
      </w:r>
      <w:r w:rsidRPr="00B6415F">
        <w:t>in July and August</w:t>
      </w:r>
      <w:r>
        <w:t xml:space="preserve"> 2015, largely consisting</w:t>
      </w:r>
      <w:r w:rsidRPr="00B6415F">
        <w:t xml:space="preserve"> of return flows from water at Barmah</w:t>
      </w:r>
      <w:r>
        <w:t>–Millewa F</w:t>
      </w:r>
      <w:r w:rsidR="00BD6DB7">
        <w:t>orest</w:t>
      </w:r>
      <w:r w:rsidRPr="00B6415F">
        <w:t xml:space="preserve"> and flow pulse events in the Goulburn River</w:t>
      </w:r>
      <w:r>
        <w:t xml:space="preserve">, increased flow in the LMR </w:t>
      </w:r>
      <w:r w:rsidRPr="00FC0139">
        <w:t>(discharge at the</w:t>
      </w:r>
      <w:r w:rsidR="001E5FAE">
        <w:t xml:space="preserve"> South Australian </w:t>
      </w:r>
      <w:r w:rsidRPr="00FC0139">
        <w:t>border, QSA)</w:t>
      </w:r>
      <w:r>
        <w:t xml:space="preserve"> from entitlement flows (~3,200–3,700 </w:t>
      </w:r>
      <w:r w:rsidRPr="00FC0139">
        <w:t xml:space="preserve">ML </w:t>
      </w:r>
      <w:r>
        <w:t>day</w:t>
      </w:r>
      <w:r>
        <w:rPr>
          <w:vertAlign w:val="superscript"/>
        </w:rPr>
        <w:noBreakHyphen/>
      </w:r>
      <w:r w:rsidRPr="00C47F7B">
        <w:rPr>
          <w:vertAlign w:val="superscript"/>
        </w:rPr>
        <w:t>1</w:t>
      </w:r>
      <w:r w:rsidR="00E26136">
        <w:t>) to ~5,500–9,200 </w:t>
      </w:r>
      <w:r w:rsidRPr="00FC0139">
        <w:t xml:space="preserve">ML </w:t>
      </w:r>
      <w:r>
        <w:t>day</w:t>
      </w:r>
      <w:r>
        <w:rPr>
          <w:vertAlign w:val="superscript"/>
        </w:rPr>
        <w:noBreakHyphen/>
      </w:r>
      <w:r w:rsidRPr="00C47F7B">
        <w:rPr>
          <w:vertAlign w:val="superscript"/>
        </w:rPr>
        <w:t>1</w:t>
      </w:r>
      <w:r w:rsidR="00F564F0">
        <w:t xml:space="preserve"> (</w:t>
      </w:r>
      <w:r w:rsidR="00F564F0">
        <w:fldChar w:fldCharType="begin"/>
      </w:r>
      <w:r w:rsidR="00F564F0">
        <w:instrText xml:space="preserve"> REF _Ref416335496 \h </w:instrText>
      </w:r>
      <w:r w:rsidR="00F564F0">
        <w:fldChar w:fldCharType="separate"/>
      </w:r>
      <w:r w:rsidR="004260C4" w:rsidRPr="00160EF9">
        <w:t xml:space="preserve">Figure </w:t>
      </w:r>
      <w:r w:rsidR="004260C4">
        <w:rPr>
          <w:noProof/>
        </w:rPr>
        <w:t>3</w:t>
      </w:r>
      <w:r w:rsidR="00F564F0">
        <w:fldChar w:fldCharType="end"/>
      </w:r>
      <w:r w:rsidR="005C28E4">
        <w:t>)</w:t>
      </w:r>
      <w:r w:rsidRPr="00B6415F">
        <w:t>.</w:t>
      </w:r>
      <w:r w:rsidR="00BD6DB7">
        <w:t xml:space="preserve"> </w:t>
      </w:r>
      <w:r w:rsidR="0040311D" w:rsidRPr="00B6415F">
        <w:t>From September to November</w:t>
      </w:r>
      <w:r w:rsidR="00021E13">
        <w:t xml:space="preserve"> 2015</w:t>
      </w:r>
      <w:r w:rsidR="00415600">
        <w:t>,</w:t>
      </w:r>
      <w:r w:rsidR="0040311D" w:rsidRPr="00B6415F">
        <w:t xml:space="preserve"> C</w:t>
      </w:r>
      <w:r w:rsidR="00415600">
        <w:t>ommonwealth environmental water</w:t>
      </w:r>
      <w:r w:rsidR="0040311D" w:rsidRPr="00B6415F">
        <w:t xml:space="preserve"> was delivered </w:t>
      </w:r>
      <w:r w:rsidR="005C28E4">
        <w:t>to the LMR</w:t>
      </w:r>
      <w:r w:rsidR="00BD6DB7">
        <w:t xml:space="preserve"> </w:t>
      </w:r>
      <w:r w:rsidR="0040311D" w:rsidRPr="00B6415F">
        <w:t>in combination with The Living Murray environmental water</w:t>
      </w:r>
      <w:r w:rsidR="00BD6DB7">
        <w:t xml:space="preserve">, </w:t>
      </w:r>
      <w:r w:rsidR="003855BA">
        <w:t xml:space="preserve">of which </w:t>
      </w:r>
      <w:r w:rsidR="00BD6DB7" w:rsidRPr="00B6415F">
        <w:t>the C</w:t>
      </w:r>
      <w:r w:rsidR="00BD6DB7">
        <w:t>ommonwealth environmental water</w:t>
      </w:r>
      <w:r w:rsidR="00BD6DB7" w:rsidRPr="00B6415F">
        <w:t xml:space="preserve"> </w:t>
      </w:r>
      <w:r w:rsidR="005C28E4" w:rsidRPr="00B6415F">
        <w:t>proportion</w:t>
      </w:r>
      <w:r w:rsidR="005C28E4">
        <w:t xml:space="preserve"> </w:t>
      </w:r>
      <w:r w:rsidR="00715169">
        <w:t>comprised</w:t>
      </w:r>
      <w:r w:rsidR="003855BA">
        <w:t xml:space="preserve"> </w:t>
      </w:r>
      <w:r w:rsidR="005C28E4">
        <w:t>~</w:t>
      </w:r>
      <w:r w:rsidR="00BD6DB7">
        <w:t>77% (</w:t>
      </w:r>
      <w:r w:rsidR="00BD6DB7">
        <w:fldChar w:fldCharType="begin"/>
      </w:r>
      <w:r w:rsidR="00BD6DB7">
        <w:instrText xml:space="preserve"> REF _Ref427583479 \h </w:instrText>
      </w:r>
      <w:r w:rsidR="00BD6DB7">
        <w:fldChar w:fldCharType="separate"/>
      </w:r>
      <w:r w:rsidR="004260C4">
        <w:t xml:space="preserve">Figure </w:t>
      </w:r>
      <w:r w:rsidR="004260C4">
        <w:rPr>
          <w:noProof/>
        </w:rPr>
        <w:t>4</w:t>
      </w:r>
      <w:r w:rsidR="00BD6DB7">
        <w:fldChar w:fldCharType="end"/>
      </w:r>
      <w:r w:rsidR="00BD6DB7" w:rsidRPr="00B6415F">
        <w:t>)</w:t>
      </w:r>
      <w:r w:rsidR="00BD6DB7">
        <w:t>.</w:t>
      </w:r>
      <w:r w:rsidR="00BD6DB7" w:rsidRPr="00BD6DB7">
        <w:t xml:space="preserve"> </w:t>
      </w:r>
      <w:r w:rsidR="00BD6DB7">
        <w:t>C</w:t>
      </w:r>
      <w:r w:rsidR="00BD6DB7" w:rsidRPr="00C47F7B">
        <w:t xml:space="preserve">ommonwealth environmental water </w:t>
      </w:r>
      <w:r w:rsidR="003855BA">
        <w:t>delivery peaked</w:t>
      </w:r>
      <w:r w:rsidR="00BD6DB7" w:rsidRPr="00C47F7B">
        <w:t xml:space="preserve"> </w:t>
      </w:r>
      <w:r w:rsidR="00BD6DB7">
        <w:t>at ~5,900 ML </w:t>
      </w:r>
      <w:r w:rsidR="00BD6DB7" w:rsidRPr="00C47F7B">
        <w:t>day</w:t>
      </w:r>
      <w:r w:rsidR="00BD6DB7" w:rsidRPr="00C47F7B">
        <w:rPr>
          <w:vertAlign w:val="superscript"/>
        </w:rPr>
        <w:t>-1</w:t>
      </w:r>
      <w:r w:rsidR="00BD6DB7" w:rsidRPr="00C47F7B">
        <w:t xml:space="preserve"> on 21 Septe</w:t>
      </w:r>
      <w:r w:rsidR="00BD6DB7">
        <w:t>mber and then at ~6,700 ML day</w:t>
      </w:r>
      <w:r w:rsidR="00BD6DB7" w:rsidRPr="00C47F7B">
        <w:rPr>
          <w:vertAlign w:val="superscript"/>
        </w:rPr>
        <w:t>-1</w:t>
      </w:r>
      <w:r w:rsidR="00BD6DB7" w:rsidRPr="00C47F7B">
        <w:t xml:space="preserve"> on 28 October 2015</w:t>
      </w:r>
      <w:r w:rsidR="00BD6DB7">
        <w:t xml:space="preserve">, </w:t>
      </w:r>
      <w:r w:rsidR="00BD6DB7" w:rsidRPr="002972DD">
        <w:t xml:space="preserve">maintaining river flow at </w:t>
      </w:r>
      <w:r w:rsidR="006840B8">
        <w:t xml:space="preserve">a peak of </w:t>
      </w:r>
      <w:r w:rsidR="00BD6DB7" w:rsidRPr="002972DD">
        <w:t>9,600–11,700 ML day</w:t>
      </w:r>
      <w:r w:rsidR="00BD6DB7">
        <w:rPr>
          <w:vertAlign w:val="superscript"/>
        </w:rPr>
        <w:noBreakHyphen/>
      </w:r>
      <w:r w:rsidR="00BD6DB7" w:rsidRPr="00786A77">
        <w:rPr>
          <w:vertAlign w:val="superscript"/>
        </w:rPr>
        <w:t>1</w:t>
      </w:r>
      <w:r w:rsidR="00BD6DB7" w:rsidRPr="002972DD">
        <w:t xml:space="preserve"> </w:t>
      </w:r>
      <w:r w:rsidR="00BD6DB7" w:rsidRPr="00C47F7B">
        <w:t>(</w:t>
      </w:r>
      <w:r w:rsidR="00BD6DB7">
        <w:fldChar w:fldCharType="begin"/>
      </w:r>
      <w:r w:rsidR="00BD6DB7">
        <w:instrText xml:space="preserve"> REF _Ref416335496 \h </w:instrText>
      </w:r>
      <w:r w:rsidR="00BD6DB7">
        <w:fldChar w:fldCharType="separate"/>
      </w:r>
      <w:r w:rsidR="004260C4" w:rsidRPr="00160EF9">
        <w:t xml:space="preserve">Figure </w:t>
      </w:r>
      <w:r w:rsidR="004260C4">
        <w:rPr>
          <w:noProof/>
        </w:rPr>
        <w:t>3</w:t>
      </w:r>
      <w:r w:rsidR="00BD6DB7">
        <w:fldChar w:fldCharType="end"/>
      </w:r>
      <w:r w:rsidR="00BD6DB7" w:rsidRPr="00C47F7B">
        <w:t>).</w:t>
      </w:r>
      <w:r w:rsidR="00BD6DB7">
        <w:t xml:space="preserve"> The delivery of Commonwealth environmental water </w:t>
      </w:r>
      <w:r w:rsidR="005C28E4">
        <w:t xml:space="preserve">during this period </w:t>
      </w:r>
      <w:r w:rsidR="001E335F">
        <w:t xml:space="preserve">also </w:t>
      </w:r>
      <w:r w:rsidR="005C28E4">
        <w:t xml:space="preserve">supported </w:t>
      </w:r>
      <w:r w:rsidR="005C28E4">
        <w:rPr>
          <w:color w:val="auto"/>
          <w:lang w:val="en-US"/>
        </w:rPr>
        <w:t xml:space="preserve">the </w:t>
      </w:r>
      <w:r w:rsidR="005C28E4" w:rsidRPr="00536FF9">
        <w:rPr>
          <w:color w:val="auto"/>
          <w:lang w:val="en-US"/>
        </w:rPr>
        <w:t xml:space="preserve">raising of Weir Pools 2 (between Locks 2 and 3) and 5 (between Locks 5 and 6), </w:t>
      </w:r>
      <w:r w:rsidR="005C28E4">
        <w:rPr>
          <w:color w:val="auto"/>
          <w:lang w:val="en-US"/>
        </w:rPr>
        <w:t>resulting in an additional inundation area of 175 and 894 ha for Weir Pools 2 and 5, respectively</w:t>
      </w:r>
      <w:r w:rsidR="000D74DF">
        <w:rPr>
          <w:color w:val="auto"/>
          <w:lang w:val="en-US"/>
        </w:rPr>
        <w:t xml:space="preserve"> </w:t>
      </w:r>
      <w:r w:rsidR="000D74DF" w:rsidRPr="00536FF9">
        <w:rPr>
          <w:color w:val="auto"/>
          <w:lang w:val="en-US"/>
        </w:rPr>
        <w:lastRenderedPageBreak/>
        <w:t>(</w:t>
      </w:r>
      <w:r w:rsidR="000D74DF">
        <w:rPr>
          <w:color w:val="auto"/>
          <w:lang w:val="en-US"/>
        </w:rPr>
        <w:fldChar w:fldCharType="begin"/>
      </w:r>
      <w:r w:rsidR="000D74DF">
        <w:rPr>
          <w:color w:val="auto"/>
          <w:lang w:val="en-US"/>
        </w:rPr>
        <w:instrText xml:space="preserve"> REF _Ref470185120 \h </w:instrText>
      </w:r>
      <w:r w:rsidR="000D74DF">
        <w:rPr>
          <w:color w:val="auto"/>
          <w:lang w:val="en-US"/>
        </w:rPr>
      </w:r>
      <w:r w:rsidR="000D74DF">
        <w:rPr>
          <w:color w:val="auto"/>
          <w:lang w:val="en-US"/>
        </w:rPr>
        <w:fldChar w:fldCharType="separate"/>
      </w:r>
      <w:r w:rsidR="004260C4">
        <w:t xml:space="preserve">Figure </w:t>
      </w:r>
      <w:r w:rsidR="004260C4">
        <w:rPr>
          <w:noProof/>
        </w:rPr>
        <w:t>5</w:t>
      </w:r>
      <w:r w:rsidR="000D74DF">
        <w:rPr>
          <w:color w:val="auto"/>
          <w:lang w:val="en-US"/>
        </w:rPr>
        <w:fldChar w:fldCharType="end"/>
      </w:r>
      <w:r w:rsidR="009729D5">
        <w:rPr>
          <w:color w:val="auto"/>
          <w:lang w:val="en-US"/>
        </w:rPr>
        <w:t>;</w:t>
      </w:r>
      <w:r w:rsidR="000D74DF">
        <w:rPr>
          <w:color w:val="auto"/>
          <w:lang w:val="en-US"/>
        </w:rPr>
        <w:t xml:space="preserve"> </w:t>
      </w:r>
      <w:r w:rsidR="000D74DF" w:rsidRPr="00536FF9">
        <w:rPr>
          <w:color w:val="auto"/>
          <w:lang w:val="en-US"/>
        </w:rPr>
        <w:t>refer to Appendix B for more detail)</w:t>
      </w:r>
      <w:r w:rsidR="005C28E4">
        <w:rPr>
          <w:color w:val="auto"/>
          <w:lang w:val="en-US"/>
        </w:rPr>
        <w:t>.</w:t>
      </w:r>
      <w:r w:rsidR="005C28E4" w:rsidRPr="00536FF9">
        <w:rPr>
          <w:color w:val="auto"/>
          <w:lang w:val="en-US"/>
        </w:rPr>
        <w:t xml:space="preserve"> </w:t>
      </w:r>
      <w:r w:rsidR="005C28E4">
        <w:rPr>
          <w:color w:val="auto"/>
          <w:lang w:val="en-US"/>
        </w:rPr>
        <w:t xml:space="preserve">In addition, Commonwealth environmental water </w:t>
      </w:r>
      <w:r w:rsidR="002151D6">
        <w:rPr>
          <w:color w:val="auto"/>
          <w:lang w:val="en-US"/>
        </w:rPr>
        <w:t xml:space="preserve">assisted The Living Murray </w:t>
      </w:r>
      <w:r w:rsidR="001E335F">
        <w:rPr>
          <w:color w:val="auto"/>
          <w:lang w:val="en-US"/>
        </w:rPr>
        <w:t xml:space="preserve">environmental water </w:t>
      </w:r>
      <w:r w:rsidR="002151D6">
        <w:rPr>
          <w:color w:val="auto"/>
          <w:lang w:val="en-US"/>
        </w:rPr>
        <w:t xml:space="preserve">in </w:t>
      </w:r>
      <w:r w:rsidR="005C28E4">
        <w:rPr>
          <w:color w:val="auto"/>
          <w:lang w:val="en-US"/>
        </w:rPr>
        <w:t>s</w:t>
      </w:r>
      <w:r w:rsidR="002151D6">
        <w:rPr>
          <w:color w:val="auto"/>
          <w:lang w:val="en-US"/>
        </w:rPr>
        <w:t>upporting</w:t>
      </w:r>
      <w:r w:rsidR="005C28E4">
        <w:rPr>
          <w:color w:val="auto"/>
          <w:lang w:val="en-US"/>
        </w:rPr>
        <w:t xml:space="preserve"> the</w:t>
      </w:r>
      <w:r w:rsidR="005C28E4" w:rsidRPr="00536FF9">
        <w:rPr>
          <w:color w:val="auto"/>
          <w:lang w:val="en-US"/>
        </w:rPr>
        <w:t xml:space="preserve"> operation of the Chowilla regulator to promote an in-channel rise in water levels in the Chowilla Anabranch system (</w:t>
      </w:r>
      <w:r w:rsidR="005C28E4">
        <w:rPr>
          <w:color w:val="auto"/>
          <w:lang w:val="en-US"/>
        </w:rPr>
        <w:fldChar w:fldCharType="begin"/>
      </w:r>
      <w:r w:rsidR="005C28E4">
        <w:rPr>
          <w:color w:val="auto"/>
          <w:lang w:val="en-US"/>
        </w:rPr>
        <w:instrText xml:space="preserve"> REF _Ref470185120 \h </w:instrText>
      </w:r>
      <w:r w:rsidR="005C28E4">
        <w:rPr>
          <w:color w:val="auto"/>
          <w:lang w:val="en-US"/>
        </w:rPr>
      </w:r>
      <w:r w:rsidR="005C28E4">
        <w:rPr>
          <w:color w:val="auto"/>
          <w:lang w:val="en-US"/>
        </w:rPr>
        <w:fldChar w:fldCharType="separate"/>
      </w:r>
      <w:r w:rsidR="004260C4">
        <w:t xml:space="preserve">Figure </w:t>
      </w:r>
      <w:r w:rsidR="004260C4">
        <w:rPr>
          <w:noProof/>
        </w:rPr>
        <w:t>5</w:t>
      </w:r>
      <w:r w:rsidR="005C28E4">
        <w:rPr>
          <w:color w:val="auto"/>
          <w:lang w:val="en-US"/>
        </w:rPr>
        <w:fldChar w:fldCharType="end"/>
      </w:r>
      <w:r w:rsidR="009729D5">
        <w:rPr>
          <w:color w:val="auto"/>
          <w:lang w:val="en-US"/>
        </w:rPr>
        <w:t>;</w:t>
      </w:r>
      <w:r w:rsidR="005C28E4">
        <w:rPr>
          <w:color w:val="auto"/>
          <w:lang w:val="en-US"/>
        </w:rPr>
        <w:t xml:space="preserve"> </w:t>
      </w:r>
      <w:r w:rsidR="005C28E4" w:rsidRPr="00536FF9">
        <w:rPr>
          <w:color w:val="auto"/>
          <w:lang w:val="en-US"/>
        </w:rPr>
        <w:t>Appendix B).</w:t>
      </w:r>
      <w:r w:rsidR="002151D6">
        <w:rPr>
          <w:color w:val="auto"/>
          <w:lang w:val="en-US"/>
        </w:rPr>
        <w:t xml:space="preserve"> </w:t>
      </w:r>
    </w:p>
    <w:p w14:paraId="02E578B6" w14:textId="1CE9B51B" w:rsidR="004F5EA1" w:rsidRDefault="002151D6" w:rsidP="004F5EA1">
      <w:r>
        <w:t>Following</w:t>
      </w:r>
      <w:r w:rsidR="00BD6DB7" w:rsidRPr="00FC0139">
        <w:t xml:space="preserve"> late October 2015</w:t>
      </w:r>
      <w:r w:rsidR="001E335F">
        <w:t>,</w:t>
      </w:r>
      <w:r w:rsidR="00BD6DB7" w:rsidRPr="00FC0139">
        <w:t xml:space="preserve"> </w:t>
      </w:r>
      <w:r w:rsidR="001E335F">
        <w:t xml:space="preserve">with reduced environmental water, </w:t>
      </w:r>
      <w:r w:rsidR="00BD6DB7" w:rsidRPr="00FC0139">
        <w:t xml:space="preserve">flow </w:t>
      </w:r>
      <w:r w:rsidR="00BD6DB7">
        <w:t xml:space="preserve">in the LMR </w:t>
      </w:r>
      <w:r>
        <w:t>steadily decreased</w:t>
      </w:r>
      <w:r w:rsidR="00BD6DB7">
        <w:t xml:space="preserve"> to 5,600 ML day</w:t>
      </w:r>
      <w:r w:rsidR="00BD6DB7" w:rsidRPr="00C47F7B">
        <w:rPr>
          <w:vertAlign w:val="superscript"/>
        </w:rPr>
        <w:t>-1</w:t>
      </w:r>
      <w:r w:rsidR="00BD6DB7" w:rsidRPr="00C47F7B">
        <w:t xml:space="preserve"> </w:t>
      </w:r>
      <w:r w:rsidR="00BD6DB7" w:rsidRPr="00FC0139">
        <w:t xml:space="preserve">by </w:t>
      </w:r>
      <w:r w:rsidR="009729D5">
        <w:t>end</w:t>
      </w:r>
      <w:r w:rsidR="00BD6DB7" w:rsidRPr="00FC0139">
        <w:t xml:space="preserve"> November 2015</w:t>
      </w:r>
      <w:r>
        <w:t>, where it remained at entitlement flow through to early January 2016</w:t>
      </w:r>
      <w:r w:rsidR="006840B8">
        <w:t xml:space="preserve"> </w:t>
      </w:r>
      <w:r w:rsidR="00816D3B">
        <w:t>(</w:t>
      </w:r>
      <w:r w:rsidR="00816D3B">
        <w:fldChar w:fldCharType="begin"/>
      </w:r>
      <w:r w:rsidR="00816D3B">
        <w:instrText xml:space="preserve"> REF _Ref416335496 \h </w:instrText>
      </w:r>
      <w:r w:rsidR="00816D3B">
        <w:fldChar w:fldCharType="separate"/>
      </w:r>
      <w:r w:rsidR="004260C4" w:rsidRPr="00160EF9">
        <w:t xml:space="preserve">Figure </w:t>
      </w:r>
      <w:r w:rsidR="004260C4">
        <w:rPr>
          <w:noProof/>
        </w:rPr>
        <w:t>3</w:t>
      </w:r>
      <w:r w:rsidR="00816D3B">
        <w:fldChar w:fldCharType="end"/>
      </w:r>
      <w:r w:rsidR="00816D3B">
        <w:t>)</w:t>
      </w:r>
      <w:r w:rsidR="00BD6DB7" w:rsidRPr="00FC0139">
        <w:t xml:space="preserve">. </w:t>
      </w:r>
      <w:r w:rsidR="00452010" w:rsidRPr="00B6415F">
        <w:t>C</w:t>
      </w:r>
      <w:r w:rsidR="00415600">
        <w:t>ommonwealth environmental water</w:t>
      </w:r>
      <w:r w:rsidR="00452010" w:rsidRPr="00B6415F">
        <w:t xml:space="preserve"> was direct</w:t>
      </w:r>
      <w:r w:rsidR="005106B5">
        <w:t>ly</w:t>
      </w:r>
      <w:r w:rsidR="00452010" w:rsidRPr="00B6415F">
        <w:t xml:space="preserve"> traded into the LMR to enable barrage flow to occur over January </w:t>
      </w:r>
      <w:r w:rsidR="00452010" w:rsidRPr="00187CA1">
        <w:t xml:space="preserve">to March, </w:t>
      </w:r>
      <w:r w:rsidR="001E335F">
        <w:t xml:space="preserve">which also </w:t>
      </w:r>
      <w:r w:rsidR="00754B4D">
        <w:t>increased</w:t>
      </w:r>
      <w:r w:rsidR="001E335F">
        <w:t xml:space="preserve"> river flow from </w:t>
      </w:r>
      <w:r w:rsidR="00754B4D">
        <w:t>~3,000 ML day</w:t>
      </w:r>
      <w:r w:rsidR="00754B4D" w:rsidRPr="00D345F6">
        <w:rPr>
          <w:vertAlign w:val="superscript"/>
        </w:rPr>
        <w:t>-1</w:t>
      </w:r>
      <w:r w:rsidR="00754B4D">
        <w:t xml:space="preserve"> </w:t>
      </w:r>
      <w:r w:rsidR="001E335F">
        <w:t>to</w:t>
      </w:r>
      <w:r w:rsidR="009729D5">
        <w:t xml:space="preserve"> ~9,800 ML day</w:t>
      </w:r>
      <w:r w:rsidR="009729D5" w:rsidRPr="00D345F6">
        <w:rPr>
          <w:vertAlign w:val="superscript"/>
        </w:rPr>
        <w:t>-1</w:t>
      </w:r>
      <w:r w:rsidR="009729D5">
        <w:t xml:space="preserve"> during February 2016. F</w:t>
      </w:r>
      <w:r w:rsidR="00452010" w:rsidRPr="00187CA1">
        <w:t>urther return flows of C</w:t>
      </w:r>
      <w:r w:rsidR="00CD3658" w:rsidRPr="00187CA1">
        <w:t>ommonwealth environmental water</w:t>
      </w:r>
      <w:r w:rsidR="00452010" w:rsidRPr="00187CA1">
        <w:t xml:space="preserve"> occurr</w:t>
      </w:r>
      <w:r w:rsidR="009729D5">
        <w:t>ed</w:t>
      </w:r>
      <w:r w:rsidR="00452010" w:rsidRPr="00187CA1">
        <w:t xml:space="preserve"> in the last three months of the water year. </w:t>
      </w:r>
      <w:r w:rsidR="00437994">
        <w:t xml:space="preserve">Outputs from modelling indicate that </w:t>
      </w:r>
      <w:r w:rsidR="004D5231" w:rsidRPr="00187CA1">
        <w:t>C</w:t>
      </w:r>
      <w:r w:rsidR="00CD3658" w:rsidRPr="00187CA1">
        <w:t>ommonwealth environmental water</w:t>
      </w:r>
      <w:r w:rsidR="00AB628C" w:rsidRPr="00187CA1">
        <w:t xml:space="preserve"> </w:t>
      </w:r>
      <w:r w:rsidR="00031C65">
        <w:t>contributed to</w:t>
      </w:r>
      <w:r w:rsidR="00031C65" w:rsidRPr="00187CA1">
        <w:t xml:space="preserve"> </w:t>
      </w:r>
      <w:r w:rsidR="00DE7C25" w:rsidRPr="00187CA1">
        <w:t>all</w:t>
      </w:r>
      <w:r w:rsidR="00E254E8" w:rsidRPr="00187CA1">
        <w:t xml:space="preserve"> barrage releases </w:t>
      </w:r>
      <w:r w:rsidR="002B7714" w:rsidRPr="00187CA1">
        <w:t>from September</w:t>
      </w:r>
      <w:r w:rsidR="00E254E8" w:rsidRPr="00187CA1">
        <w:t xml:space="preserve"> 201</w:t>
      </w:r>
      <w:r w:rsidR="00270DCD" w:rsidRPr="00187CA1">
        <w:t xml:space="preserve">5 </w:t>
      </w:r>
      <w:r w:rsidR="002B7714" w:rsidRPr="00187CA1">
        <w:t>to</w:t>
      </w:r>
      <w:r w:rsidR="00270DCD" w:rsidRPr="00187CA1">
        <w:t xml:space="preserve"> June</w:t>
      </w:r>
      <w:r w:rsidR="00AB628C" w:rsidRPr="00187CA1">
        <w:t xml:space="preserve"> 2016</w:t>
      </w:r>
      <w:r w:rsidR="00E254E8" w:rsidRPr="00187CA1">
        <w:t>.</w:t>
      </w:r>
      <w:r w:rsidR="008F4E64" w:rsidRPr="00B6415F">
        <w:t xml:space="preserve"> </w:t>
      </w:r>
    </w:p>
    <w:p w14:paraId="385485C1" w14:textId="17097349" w:rsidR="002E49AB" w:rsidRDefault="009967D8" w:rsidP="004F5EA1">
      <w:pPr>
        <w:jc w:val="center"/>
        <w:rPr>
          <w:noProof/>
          <w:lang w:eastAsia="en-AU"/>
        </w:rPr>
      </w:pPr>
      <w:bookmarkStart w:id="34" w:name="_Ref384124452"/>
      <w:bookmarkStart w:id="35" w:name="_Ref387827372"/>
      <w:bookmarkStart w:id="36" w:name="_Ref384124439"/>
      <w:r w:rsidRPr="009967D8">
        <w:rPr>
          <w:noProof/>
          <w:lang w:eastAsia="en-AU"/>
        </w:rPr>
        <w:t xml:space="preserve"> </w:t>
      </w:r>
      <w:r w:rsidRPr="009967D8">
        <w:rPr>
          <w:noProof/>
          <w:lang w:eastAsia="en-AU"/>
        </w:rPr>
        <w:drawing>
          <wp:inline distT="0" distB="0" distL="0" distR="0" wp14:anchorId="6BC615F4" wp14:editId="52142163">
            <wp:extent cx="5280132" cy="352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280132" cy="3528000"/>
                    </a:xfrm>
                    <a:prstGeom prst="rect">
                      <a:avLst/>
                    </a:prstGeom>
                    <a:noFill/>
                    <a:ln>
                      <a:noFill/>
                    </a:ln>
                  </pic:spPr>
                </pic:pic>
              </a:graphicData>
            </a:graphic>
          </wp:inline>
        </w:drawing>
      </w:r>
    </w:p>
    <w:p w14:paraId="1D9C1A54" w14:textId="29BAC94D" w:rsidR="004F5EA1" w:rsidRPr="00C757C7" w:rsidRDefault="004F5EA1" w:rsidP="00B46038">
      <w:pPr>
        <w:pStyle w:val="Captions"/>
      </w:pPr>
      <w:bookmarkStart w:id="37" w:name="_Ref416335496"/>
      <w:bookmarkStart w:id="38" w:name="_Toc442173725"/>
      <w:bookmarkStart w:id="39" w:name="_Toc474147027"/>
      <w:r w:rsidRPr="00160EF9">
        <w:t xml:space="preserve">Figure </w:t>
      </w:r>
      <w:r w:rsidR="00C63D36">
        <w:fldChar w:fldCharType="begin"/>
      </w:r>
      <w:r w:rsidR="00C63D36">
        <w:instrText xml:space="preserve"> SEQ Figure \* ARABIC </w:instrText>
      </w:r>
      <w:r w:rsidR="00C63D36">
        <w:fldChar w:fldCharType="separate"/>
      </w:r>
      <w:r w:rsidR="004260C4">
        <w:rPr>
          <w:noProof/>
        </w:rPr>
        <w:t>3</w:t>
      </w:r>
      <w:r w:rsidR="00C63D36">
        <w:fldChar w:fldCharType="end"/>
      </w:r>
      <w:bookmarkEnd w:id="34"/>
      <w:bookmarkEnd w:id="35"/>
      <w:bookmarkEnd w:id="37"/>
      <w:r w:rsidRPr="00160EF9">
        <w:rPr>
          <w:noProof/>
        </w:rPr>
        <w:t>.</w:t>
      </w:r>
      <w:r w:rsidRPr="00160EF9">
        <w:t xml:space="preserve"> </w:t>
      </w:r>
      <w:bookmarkEnd w:id="36"/>
      <w:r w:rsidR="00007A27" w:rsidRPr="00160EF9">
        <w:t>Flow t</w:t>
      </w:r>
      <w:r w:rsidR="00007A27">
        <w:t>o South Australia from July 2015</w:t>
      </w:r>
      <w:r w:rsidR="00007A27" w:rsidRPr="00160EF9">
        <w:t xml:space="preserve"> to </w:t>
      </w:r>
      <w:r w:rsidR="00007A27">
        <w:t>June</w:t>
      </w:r>
      <w:r w:rsidR="00007A27" w:rsidRPr="00160EF9">
        <w:t xml:space="preserve"> </w:t>
      </w:r>
      <w:r w:rsidR="00007A27">
        <w:t>2016 (stacked area chart) compared to modelled flow under natural conditions (black dotted line)</w:t>
      </w:r>
      <w:r w:rsidR="00007A27" w:rsidRPr="00160EF9">
        <w:t>.</w:t>
      </w:r>
      <w:r w:rsidR="00007A27">
        <w:t xml:space="preserve"> CEW = Commonwealth environmental water; other eWater = other eWater such as The Living Murray and Victorian Environmental Water Holder</w:t>
      </w:r>
      <w:r w:rsidR="00BC15BA">
        <w:t>.</w:t>
      </w:r>
      <w:bookmarkEnd w:id="38"/>
      <w:bookmarkEnd w:id="39"/>
    </w:p>
    <w:p w14:paraId="1C33CBD5" w14:textId="7882D0D0" w:rsidR="008345F6" w:rsidRDefault="009967D8" w:rsidP="00AD1922">
      <w:pPr>
        <w:keepNext/>
        <w:jc w:val="center"/>
        <w:rPr>
          <w:noProof/>
          <w:lang w:eastAsia="en-AU"/>
        </w:rPr>
      </w:pPr>
      <w:r w:rsidRPr="009967D8">
        <w:rPr>
          <w:noProof/>
          <w:lang w:eastAsia="en-AU"/>
        </w:rPr>
        <w:lastRenderedPageBreak/>
        <w:t xml:space="preserve"> </w:t>
      </w:r>
      <w:r w:rsidRPr="009967D8">
        <w:rPr>
          <w:noProof/>
          <w:lang w:eastAsia="en-AU"/>
        </w:rPr>
        <w:drawing>
          <wp:inline distT="0" distB="0" distL="0" distR="0" wp14:anchorId="30E8C81E" wp14:editId="2B8BE28F">
            <wp:extent cx="5284682" cy="34955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t="1320"/>
                    <a:stretch/>
                  </pic:blipFill>
                  <pic:spPr bwMode="auto">
                    <a:xfrm>
                      <a:off x="0" y="0"/>
                      <a:ext cx="5288650" cy="3498151"/>
                    </a:xfrm>
                    <a:prstGeom prst="rect">
                      <a:avLst/>
                    </a:prstGeom>
                    <a:noFill/>
                    <a:ln>
                      <a:noFill/>
                    </a:ln>
                    <a:extLst>
                      <a:ext uri="{53640926-AAD7-44D8-BBD7-CCE9431645EC}">
                        <a14:shadowObscured xmlns:a14="http://schemas.microsoft.com/office/drawing/2010/main"/>
                      </a:ext>
                    </a:extLst>
                  </pic:spPr>
                </pic:pic>
              </a:graphicData>
            </a:graphic>
          </wp:inline>
        </w:drawing>
      </w:r>
    </w:p>
    <w:p w14:paraId="0A1F63ED" w14:textId="7BAE67B9" w:rsidR="004F5EA1" w:rsidRDefault="004F5EA1" w:rsidP="00B46038">
      <w:pPr>
        <w:pStyle w:val="Captions"/>
      </w:pPr>
      <w:bookmarkStart w:id="40" w:name="_Ref427583479"/>
      <w:bookmarkStart w:id="41" w:name="_Toc442173726"/>
      <w:bookmarkStart w:id="42" w:name="_Toc474147028"/>
      <w:r>
        <w:t xml:space="preserve">Figure </w:t>
      </w:r>
      <w:r w:rsidR="00C63D36">
        <w:fldChar w:fldCharType="begin"/>
      </w:r>
      <w:r w:rsidR="00C63D36">
        <w:instrText xml:space="preserve"> SEQ Figure \* ARABIC </w:instrText>
      </w:r>
      <w:r w:rsidR="00C63D36">
        <w:fldChar w:fldCharType="separate"/>
      </w:r>
      <w:r w:rsidR="004260C4">
        <w:rPr>
          <w:noProof/>
        </w:rPr>
        <w:t>4</w:t>
      </w:r>
      <w:r w:rsidR="00C63D36">
        <w:fldChar w:fldCharType="end"/>
      </w:r>
      <w:bookmarkEnd w:id="40"/>
      <w:r>
        <w:rPr>
          <w:noProof/>
        </w:rPr>
        <w:t>.</w:t>
      </w:r>
      <w:r>
        <w:t xml:space="preserve"> C</w:t>
      </w:r>
      <w:r w:rsidR="003724C5">
        <w:t>ommonwealth environmental water</w:t>
      </w:r>
      <w:r>
        <w:t xml:space="preserve"> contribution to </w:t>
      </w:r>
      <w:r w:rsidR="006F2260">
        <w:t xml:space="preserve">main </w:t>
      </w:r>
      <w:r w:rsidR="00D719E8">
        <w:t>watering events in 2015/16</w:t>
      </w:r>
      <w:r>
        <w:t>. Shading of the blue environmental water area represents the proportion</w:t>
      </w:r>
      <w:r w:rsidR="00176753">
        <w:t xml:space="preserve"> of C</w:t>
      </w:r>
      <w:r w:rsidR="003724C5">
        <w:t>ommonwealth environmental water</w:t>
      </w:r>
      <w:r w:rsidR="00953C63">
        <w:t>.</w:t>
      </w:r>
      <w:bookmarkEnd w:id="41"/>
      <w:r w:rsidR="00CE4120">
        <w:t xml:space="preserve"> </w:t>
      </w:r>
      <w:r w:rsidR="00CE4120" w:rsidRPr="00CE4120">
        <w:t>There was not a case in 2015/16 where environmental water was provided without some of that water being Co</w:t>
      </w:r>
      <w:r w:rsidR="00CE4120">
        <w:t>mmonwealth environmental water.</w:t>
      </w:r>
      <w:bookmarkEnd w:id="42"/>
      <w:r w:rsidR="00CE4120" w:rsidRPr="00CE4120">
        <w:t xml:space="preserve"> </w:t>
      </w:r>
    </w:p>
    <w:p w14:paraId="075EFB6A" w14:textId="63E18B03" w:rsidR="00484E0A" w:rsidRDefault="006C6F37" w:rsidP="00484E0A">
      <w:pPr>
        <w:jc w:val="center"/>
        <w:rPr>
          <w:color w:val="auto"/>
          <w:lang w:val="en-US"/>
        </w:rPr>
      </w:pPr>
      <w:r w:rsidRPr="006C6F37">
        <w:rPr>
          <w:noProof/>
          <w:lang w:eastAsia="en-AU"/>
        </w:rPr>
        <w:drawing>
          <wp:inline distT="0" distB="0" distL="0" distR="0" wp14:anchorId="2AD919AD" wp14:editId="510FC381">
            <wp:extent cx="5316279" cy="2926174"/>
            <wp:effectExtent l="0" t="0" r="0" b="762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t="2947"/>
                    <a:stretch/>
                  </pic:blipFill>
                  <pic:spPr bwMode="auto">
                    <a:xfrm>
                      <a:off x="0" y="0"/>
                      <a:ext cx="5320894" cy="2928714"/>
                    </a:xfrm>
                    <a:prstGeom prst="rect">
                      <a:avLst/>
                    </a:prstGeom>
                    <a:noFill/>
                    <a:ln>
                      <a:noFill/>
                    </a:ln>
                    <a:extLst>
                      <a:ext uri="{53640926-AAD7-44D8-BBD7-CCE9431645EC}">
                        <a14:shadowObscured xmlns:a14="http://schemas.microsoft.com/office/drawing/2010/main"/>
                      </a:ext>
                    </a:extLst>
                  </pic:spPr>
                </pic:pic>
              </a:graphicData>
            </a:graphic>
          </wp:inline>
        </w:drawing>
      </w:r>
    </w:p>
    <w:p w14:paraId="61DFD577" w14:textId="428E9F4E" w:rsidR="00484E0A" w:rsidRPr="00536FF9" w:rsidRDefault="00484E0A" w:rsidP="00484E0A">
      <w:pPr>
        <w:pStyle w:val="Caption"/>
      </w:pPr>
      <w:bookmarkStart w:id="43" w:name="_Ref470185120"/>
      <w:bookmarkStart w:id="44" w:name="_Toc474147029"/>
      <w:r>
        <w:t xml:space="preserve">Figure </w:t>
      </w:r>
      <w:r w:rsidR="002A5644">
        <w:fldChar w:fldCharType="begin"/>
      </w:r>
      <w:r w:rsidR="002A5644">
        <w:instrText xml:space="preserve"> SEQ Figure \* ARABIC </w:instrText>
      </w:r>
      <w:r w:rsidR="002A5644">
        <w:fldChar w:fldCharType="separate"/>
      </w:r>
      <w:r w:rsidR="004260C4">
        <w:rPr>
          <w:noProof/>
        </w:rPr>
        <w:t>5</w:t>
      </w:r>
      <w:r w:rsidR="002A5644">
        <w:rPr>
          <w:noProof/>
        </w:rPr>
        <w:fldChar w:fldCharType="end"/>
      </w:r>
      <w:bookmarkEnd w:id="43"/>
      <w:r>
        <w:t xml:space="preserve">. </w:t>
      </w:r>
      <w:r w:rsidRPr="007916B7">
        <w:t>Water level</w:t>
      </w:r>
      <w:r>
        <w:t>s (dotted lines) in</w:t>
      </w:r>
      <w:r w:rsidRPr="007916B7">
        <w:t xml:space="preserve"> </w:t>
      </w:r>
      <w:r>
        <w:t xml:space="preserve">the </w:t>
      </w:r>
      <w:r w:rsidRPr="007916B7">
        <w:t xml:space="preserve">Lock 2 </w:t>
      </w:r>
      <w:r>
        <w:t xml:space="preserve">(US Lock 2, +6.1 m AHD) </w:t>
      </w:r>
      <w:r w:rsidRPr="007916B7">
        <w:t xml:space="preserve">and </w:t>
      </w:r>
      <w:r>
        <w:t xml:space="preserve">Lock </w:t>
      </w:r>
      <w:r w:rsidRPr="007916B7">
        <w:t>5</w:t>
      </w:r>
      <w:r w:rsidR="00ED2F12">
        <w:t xml:space="preserve"> (US Lock </w:t>
      </w:r>
      <w:r>
        <w:t>5, +16.3 m AHD)</w:t>
      </w:r>
      <w:r w:rsidRPr="007916B7">
        <w:t xml:space="preserve"> weir pools</w:t>
      </w:r>
      <w:r>
        <w:t xml:space="preserve"> and Chowilla Anabranch (US Chowilla Regulator, +16.4 m AHD) between August</w:t>
      </w:r>
      <w:r w:rsidRPr="007916B7">
        <w:t xml:space="preserve"> 2015 and </w:t>
      </w:r>
      <w:r>
        <w:t>February</w:t>
      </w:r>
      <w:r w:rsidRPr="007916B7">
        <w:t xml:space="preserve"> 2016</w:t>
      </w:r>
      <w:r>
        <w:t xml:space="preserve"> </w:t>
      </w:r>
      <w:r w:rsidRPr="007916B7">
        <w:t xml:space="preserve">(DEWNR), </w:t>
      </w:r>
      <w:r>
        <w:t>demonstrating</w:t>
      </w:r>
      <w:r w:rsidRPr="007916B7">
        <w:t xml:space="preserve"> weir pool raising </w:t>
      </w:r>
      <w:r>
        <w:t>and Chowilla in-channel rise events</w:t>
      </w:r>
      <w:r w:rsidRPr="007916B7">
        <w:t xml:space="preserve"> </w:t>
      </w:r>
      <w:r>
        <w:t>in the LMR</w:t>
      </w:r>
      <w:r w:rsidRPr="007916B7">
        <w:t xml:space="preserve">. </w:t>
      </w:r>
      <w:r>
        <w:t>Flow (solid line) at the</w:t>
      </w:r>
      <w:r w:rsidR="001E5FAE">
        <w:t xml:space="preserve"> South Australian </w:t>
      </w:r>
      <w:r>
        <w:t xml:space="preserve">border (QSA) is overlaid. Numbers corresponding to water levels indicate the: (1) </w:t>
      </w:r>
      <w:r w:rsidRPr="007916B7">
        <w:t>comme</w:t>
      </w:r>
      <w:r>
        <w:t>ncement of water level raising, (2</w:t>
      </w:r>
      <w:r w:rsidRPr="007916B7">
        <w:t xml:space="preserve">) maximum level </w:t>
      </w:r>
      <w:r>
        <w:t xml:space="preserve">before the start of the recession </w:t>
      </w:r>
      <w:r w:rsidRPr="007916B7">
        <w:t>and (</w:t>
      </w:r>
      <w:r>
        <w:t>3</w:t>
      </w:r>
      <w:r w:rsidRPr="007916B7">
        <w:t>) return to normal pool levels</w:t>
      </w:r>
      <w:r>
        <w:t xml:space="preserve"> at the end of the recession.</w:t>
      </w:r>
      <w:bookmarkEnd w:id="44"/>
    </w:p>
    <w:p w14:paraId="714941C1" w14:textId="4767170B" w:rsidR="00190621" w:rsidRDefault="003622B7" w:rsidP="00953C63">
      <w:r>
        <w:lastRenderedPageBreak/>
        <w:t>The original source of the water arriving in</w:t>
      </w:r>
      <w:r w:rsidR="001E5FAE">
        <w:t xml:space="preserve"> South Australia </w:t>
      </w:r>
      <w:r w:rsidR="006F2260">
        <w:t xml:space="preserve">can </w:t>
      </w:r>
      <w:r w:rsidR="000C5453">
        <w:t xml:space="preserve">also </w:t>
      </w:r>
      <w:r>
        <w:t>affect the environmental response</w:t>
      </w:r>
      <w:r w:rsidR="0021203B">
        <w:t xml:space="preserve">. </w:t>
      </w:r>
      <w:r w:rsidR="00117842" w:rsidRPr="00117842">
        <w:t xml:space="preserve">The </w:t>
      </w:r>
      <w:r w:rsidR="0032390B" w:rsidRPr="00117842">
        <w:t xml:space="preserve">sources of </w:t>
      </w:r>
      <w:r w:rsidR="00CF2951">
        <w:t xml:space="preserve">all </w:t>
      </w:r>
      <w:r w:rsidR="0032390B" w:rsidRPr="00117842">
        <w:t>flow to</w:t>
      </w:r>
      <w:r w:rsidR="001E5FAE">
        <w:t xml:space="preserve"> South Australia </w:t>
      </w:r>
      <w:r w:rsidR="00CF2951">
        <w:t xml:space="preserve">(not just environmental flow) </w:t>
      </w:r>
      <w:r w:rsidR="0032390B" w:rsidRPr="00117842">
        <w:t>in 2015/16</w:t>
      </w:r>
      <w:r w:rsidR="00953C63" w:rsidRPr="00117842">
        <w:t xml:space="preserve"> can be seen in </w:t>
      </w:r>
      <w:r w:rsidR="00C0033E" w:rsidRPr="00117842">
        <w:fldChar w:fldCharType="begin"/>
      </w:r>
      <w:r w:rsidR="00C0033E" w:rsidRPr="00117842">
        <w:instrText xml:space="preserve"> REF _Ref427583483 \h  \* MERGEFORMAT </w:instrText>
      </w:r>
      <w:r w:rsidR="00C0033E" w:rsidRPr="00117842">
        <w:fldChar w:fldCharType="separate"/>
      </w:r>
      <w:r w:rsidR="004260C4" w:rsidRPr="00A75FE3">
        <w:t xml:space="preserve">Figure </w:t>
      </w:r>
      <w:r w:rsidR="004260C4">
        <w:rPr>
          <w:noProof/>
        </w:rPr>
        <w:t>6</w:t>
      </w:r>
      <w:r w:rsidR="00C0033E" w:rsidRPr="00117842">
        <w:fldChar w:fldCharType="end"/>
      </w:r>
      <w:r w:rsidR="000C5453">
        <w:rPr>
          <w:rStyle w:val="FootnoteReference"/>
        </w:rPr>
        <w:footnoteReference w:id="1"/>
      </w:r>
      <w:r w:rsidR="00953C63" w:rsidRPr="00117842">
        <w:t>.</w:t>
      </w:r>
    </w:p>
    <w:p w14:paraId="34C38974" w14:textId="0D26AEC3" w:rsidR="004F5EA1" w:rsidRDefault="009967D8" w:rsidP="00CE4120">
      <w:pPr>
        <w:keepNext/>
        <w:jc w:val="center"/>
        <w:rPr>
          <w:noProof/>
          <w:lang w:eastAsia="en-AU"/>
        </w:rPr>
      </w:pPr>
      <w:r w:rsidRPr="009967D8">
        <w:rPr>
          <w:noProof/>
          <w:lang w:eastAsia="en-AU"/>
        </w:rPr>
        <w:drawing>
          <wp:inline distT="0" distB="0" distL="0" distR="0" wp14:anchorId="4F6FAAC7" wp14:editId="4F5E4D93">
            <wp:extent cx="334027" cy="3334909"/>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r="93739" b="6746"/>
                    <a:stretch/>
                  </pic:blipFill>
                  <pic:spPr bwMode="auto">
                    <a:xfrm>
                      <a:off x="0" y="0"/>
                      <a:ext cx="336061" cy="3355214"/>
                    </a:xfrm>
                    <a:prstGeom prst="rect">
                      <a:avLst/>
                    </a:prstGeom>
                    <a:noFill/>
                    <a:ln>
                      <a:noFill/>
                    </a:ln>
                    <a:extLst>
                      <a:ext uri="{53640926-AAD7-44D8-BBD7-CCE9431645EC}">
                        <a14:shadowObscured xmlns:a14="http://schemas.microsoft.com/office/drawing/2010/main"/>
                      </a:ext>
                    </a:extLst>
                  </pic:spPr>
                </pic:pic>
              </a:graphicData>
            </a:graphic>
          </wp:inline>
        </w:drawing>
      </w:r>
      <w:r w:rsidR="00566F34">
        <w:rPr>
          <w:noProof/>
          <w:lang w:eastAsia="en-AU"/>
        </w:rPr>
        <w:drawing>
          <wp:inline distT="0" distB="0" distL="0" distR="0" wp14:anchorId="1BA487E9" wp14:editId="6BA09727">
            <wp:extent cx="4827299" cy="3435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4827362" cy="3436030"/>
                    </a:xfrm>
                    <a:prstGeom prst="rect">
                      <a:avLst/>
                    </a:prstGeom>
                    <a:noFill/>
                    <a:ln>
                      <a:noFill/>
                    </a:ln>
                    <a:extLst>
                      <a:ext uri="{53640926-AAD7-44D8-BBD7-CCE9431645EC}">
                        <a14:shadowObscured xmlns:a14="http://schemas.microsoft.com/office/drawing/2010/main"/>
                      </a:ext>
                    </a:extLst>
                  </pic:spPr>
                </pic:pic>
              </a:graphicData>
            </a:graphic>
          </wp:inline>
        </w:drawing>
      </w:r>
    </w:p>
    <w:p w14:paraId="096861E3" w14:textId="7C338E12" w:rsidR="00712508" w:rsidRPr="00712508" w:rsidRDefault="004F5EA1" w:rsidP="00B46038">
      <w:pPr>
        <w:pStyle w:val="Captions"/>
      </w:pPr>
      <w:bookmarkStart w:id="45" w:name="_Ref427583483"/>
      <w:bookmarkStart w:id="46" w:name="_Toc442173727"/>
      <w:bookmarkStart w:id="47" w:name="_Toc474147030"/>
      <w:r w:rsidRPr="00A75FE3">
        <w:t xml:space="preserve">Figure </w:t>
      </w:r>
      <w:r w:rsidR="00C63D36">
        <w:fldChar w:fldCharType="begin"/>
      </w:r>
      <w:r w:rsidR="00C63D36">
        <w:instrText xml:space="preserve"> SEQ Figure \* ARABIC </w:instrText>
      </w:r>
      <w:r w:rsidR="00C63D36">
        <w:fldChar w:fldCharType="separate"/>
      </w:r>
      <w:r w:rsidR="004260C4">
        <w:rPr>
          <w:noProof/>
        </w:rPr>
        <w:t>6</w:t>
      </w:r>
      <w:r w:rsidR="00C63D36">
        <w:fldChar w:fldCharType="end"/>
      </w:r>
      <w:bookmarkEnd w:id="45"/>
      <w:r w:rsidRPr="00A75FE3">
        <w:rPr>
          <w:noProof/>
        </w:rPr>
        <w:t>.</w:t>
      </w:r>
      <w:r>
        <w:t xml:space="preserve"> </w:t>
      </w:r>
      <w:r w:rsidR="00953C63">
        <w:t xml:space="preserve">Source of all (environmental and consumptive) water delivered to </w:t>
      </w:r>
      <w:r w:rsidR="0037154E">
        <w:t xml:space="preserve">the </w:t>
      </w:r>
      <w:r w:rsidR="00953C63">
        <w:t>S</w:t>
      </w:r>
      <w:r w:rsidR="0037154E">
        <w:t xml:space="preserve">outh </w:t>
      </w:r>
      <w:r w:rsidR="00953C63">
        <w:t>A</w:t>
      </w:r>
      <w:r w:rsidR="0037154E">
        <w:t>ustralian</w:t>
      </w:r>
      <w:r w:rsidR="00953C63">
        <w:t xml:space="preserve"> border</w:t>
      </w:r>
      <w:r w:rsidR="00C46EB0">
        <w:t xml:space="preserve"> (MDBA)</w:t>
      </w:r>
      <w:r w:rsidR="00953C63">
        <w:t>.</w:t>
      </w:r>
      <w:r w:rsidR="00C46EB0">
        <w:t xml:space="preserve"> Caveats for estimated water delivery time are mentioned above.</w:t>
      </w:r>
      <w:bookmarkEnd w:id="46"/>
      <w:r w:rsidR="00897811">
        <w:t xml:space="preserve"> Refer </w:t>
      </w:r>
      <w:r w:rsidR="00897811" w:rsidRPr="00431150">
        <w:t xml:space="preserve">to </w:t>
      </w:r>
      <w:r w:rsidR="00431150" w:rsidRPr="00431150">
        <w:t>Figure 1</w:t>
      </w:r>
      <w:r w:rsidR="00897811">
        <w:t xml:space="preserve"> for location of tributaries and rivers, relative to the LMR.</w:t>
      </w:r>
      <w:bookmarkEnd w:id="47"/>
      <w:r w:rsidR="00897811">
        <w:t xml:space="preserve"> </w:t>
      </w:r>
    </w:p>
    <w:p w14:paraId="0F54CF8F" w14:textId="30C89117" w:rsidR="007D2479" w:rsidRDefault="00CC0A68" w:rsidP="00CC0A68">
      <w:pPr>
        <w:rPr>
          <w:color w:val="auto"/>
          <w:lang w:val="en-US"/>
        </w:rPr>
      </w:pPr>
      <w:r w:rsidRPr="00536FF9">
        <w:rPr>
          <w:color w:val="auto"/>
          <w:lang w:val="en-US"/>
        </w:rPr>
        <w:t>Concurrently with the environmental water deliveries</w:t>
      </w:r>
      <w:r w:rsidR="00715169">
        <w:rPr>
          <w:color w:val="auto"/>
          <w:lang w:val="en-US"/>
        </w:rPr>
        <w:t xml:space="preserve"> described above</w:t>
      </w:r>
      <w:r w:rsidRPr="00536FF9">
        <w:rPr>
          <w:color w:val="auto"/>
          <w:lang w:val="en-US"/>
        </w:rPr>
        <w:t xml:space="preserve">, there were other management interventions </w:t>
      </w:r>
      <w:r w:rsidR="007D2479" w:rsidRPr="00536FF9">
        <w:rPr>
          <w:color w:val="auto"/>
          <w:lang w:val="en-US"/>
        </w:rPr>
        <w:t xml:space="preserve">that occurred </w:t>
      </w:r>
      <w:r w:rsidR="00715169">
        <w:rPr>
          <w:color w:val="auto"/>
          <w:lang w:val="en-US"/>
        </w:rPr>
        <w:t>upstream of</w:t>
      </w:r>
      <w:r w:rsidR="00715169" w:rsidRPr="00536FF9">
        <w:rPr>
          <w:color w:val="auto"/>
          <w:lang w:val="en-US"/>
        </w:rPr>
        <w:t xml:space="preserve"> </w:t>
      </w:r>
      <w:r w:rsidR="007D2479" w:rsidRPr="00536FF9">
        <w:rPr>
          <w:color w:val="auto"/>
          <w:lang w:val="en-US"/>
        </w:rPr>
        <w:t>the Sele</w:t>
      </w:r>
      <w:r w:rsidR="006408D0">
        <w:rPr>
          <w:color w:val="auto"/>
          <w:lang w:val="en-US"/>
        </w:rPr>
        <w:t>cted Area (e.g.</w:t>
      </w:r>
      <w:r w:rsidR="008C1C06">
        <w:rPr>
          <w:color w:val="auto"/>
          <w:lang w:val="en-US"/>
        </w:rPr>
        <w:t xml:space="preserve"> </w:t>
      </w:r>
      <w:r w:rsidR="00A140E9">
        <w:rPr>
          <w:color w:val="auto"/>
          <w:lang w:val="en-US"/>
        </w:rPr>
        <w:t>manipulations of</w:t>
      </w:r>
      <w:r w:rsidR="008C1C06">
        <w:rPr>
          <w:color w:val="auto"/>
          <w:lang w:val="en-US"/>
        </w:rPr>
        <w:t xml:space="preserve"> Weir Pools 7, 8, 9 and 15, and</w:t>
      </w:r>
      <w:r w:rsidR="006408D0">
        <w:rPr>
          <w:color w:val="auto"/>
          <w:lang w:val="en-US"/>
        </w:rPr>
        <w:t xml:space="preserve"> Barmah–Millewa F</w:t>
      </w:r>
      <w:r w:rsidR="007D2479" w:rsidRPr="00536FF9">
        <w:rPr>
          <w:color w:val="auto"/>
          <w:lang w:val="en-US"/>
        </w:rPr>
        <w:t>orest inundation)</w:t>
      </w:r>
      <w:r w:rsidR="002151D6" w:rsidRPr="00536FF9">
        <w:rPr>
          <w:color w:val="auto"/>
          <w:lang w:val="en-US"/>
        </w:rPr>
        <w:t>, which may have affected ecological responses in the LMR Selected Area</w:t>
      </w:r>
      <w:r w:rsidR="0055396F">
        <w:rPr>
          <w:color w:val="auto"/>
          <w:lang w:val="en-US"/>
        </w:rPr>
        <w:t>. Refer to Appendix B for more information.</w:t>
      </w:r>
    </w:p>
    <w:p w14:paraId="7014ABF3" w14:textId="473EDCEA" w:rsidR="00DE474D" w:rsidRDefault="00DE474D" w:rsidP="00484E0A">
      <w:pPr>
        <w:pStyle w:val="Heading2"/>
      </w:pPr>
      <w:bookmarkStart w:id="48" w:name="_Toc441838727"/>
      <w:bookmarkStart w:id="49" w:name="_Toc474147050"/>
      <w:r>
        <w:lastRenderedPageBreak/>
        <w:t>CEWO LTIM project</w:t>
      </w:r>
      <w:r w:rsidR="00EC786D">
        <w:t xml:space="preserve"> in the L</w:t>
      </w:r>
      <w:r w:rsidR="0064080C">
        <w:t>MR</w:t>
      </w:r>
      <w:r w:rsidR="00D319D2">
        <w:t xml:space="preserve"> Selected Area</w:t>
      </w:r>
      <w:bookmarkEnd w:id="48"/>
      <w:bookmarkEnd w:id="49"/>
    </w:p>
    <w:p w14:paraId="64158F8C" w14:textId="74E2354A" w:rsidR="00104454" w:rsidRDefault="00DB53C7" w:rsidP="00A62C74">
      <w:r>
        <w:t>In 2014,</w:t>
      </w:r>
      <w:r w:rsidR="00664AF6">
        <w:t xml:space="preserve"> a five-year (2014</w:t>
      </w:r>
      <w:r w:rsidR="00512BBD">
        <w:t>/</w:t>
      </w:r>
      <w:r w:rsidR="00664AF6">
        <w:t>15 to 2018</w:t>
      </w:r>
      <w:r w:rsidR="00512BBD">
        <w:t>/</w:t>
      </w:r>
      <w:r w:rsidR="00664AF6">
        <w:t>19) intervention monitoring</w:t>
      </w:r>
      <w:r w:rsidR="00104454">
        <w:t xml:space="preserve"> project </w:t>
      </w:r>
      <w:r w:rsidR="00503AFD">
        <w:t xml:space="preserve">(CEWO LTIM) </w:t>
      </w:r>
      <w:r w:rsidR="00104454">
        <w:t xml:space="preserve">was </w:t>
      </w:r>
      <w:r w:rsidR="00C15AD9">
        <w:t>established</w:t>
      </w:r>
      <w:r w:rsidR="00664AF6">
        <w:t xml:space="preserve"> </w:t>
      </w:r>
      <w:r w:rsidR="00104454">
        <w:t xml:space="preserve">to </w:t>
      </w:r>
      <w:r w:rsidR="002F0FB7">
        <w:t xml:space="preserve">monitor and evaluate </w:t>
      </w:r>
      <w:r w:rsidR="00664AF6">
        <w:t xml:space="preserve">long-term </w:t>
      </w:r>
      <w:r w:rsidR="002F0FB7">
        <w:t>ecological outcomes of Com</w:t>
      </w:r>
      <w:r w:rsidR="00315997">
        <w:t>monwealth environmental water delivery</w:t>
      </w:r>
      <w:r w:rsidR="002F0FB7">
        <w:t xml:space="preserve"> in the </w:t>
      </w:r>
      <w:r w:rsidR="002A5F7B">
        <w:t>MDB</w:t>
      </w:r>
      <w:r w:rsidR="002F0FB7">
        <w:t>.</w:t>
      </w:r>
      <w:r w:rsidR="00104454">
        <w:t xml:space="preserve"> </w:t>
      </w:r>
      <w:r w:rsidR="00C15AD9">
        <w:t xml:space="preserve">The project was implemented </w:t>
      </w:r>
      <w:r w:rsidR="0064080C">
        <w:t>across</w:t>
      </w:r>
      <w:r w:rsidR="00C15AD9">
        <w:t xml:space="preserve"> seven Selected Areas</w:t>
      </w:r>
      <w:r w:rsidR="004C471E">
        <w:t xml:space="preserve"> throughout</w:t>
      </w:r>
      <w:r w:rsidR="00C15AD9">
        <w:t xml:space="preserve"> the MDB, including the </w:t>
      </w:r>
      <w:r w:rsidR="00E43DB7">
        <w:t>LMR</w:t>
      </w:r>
      <w:r>
        <w:t xml:space="preserve">, to enable </w:t>
      </w:r>
      <w:r w:rsidR="004C471E">
        <w:t>Basin-scale evaluation in addition to</w:t>
      </w:r>
      <w:r w:rsidR="004C471E" w:rsidRPr="004C471E">
        <w:t xml:space="preserve"> </w:t>
      </w:r>
      <w:r w:rsidR="004C471E">
        <w:t>Selected Area (local) evaluation.</w:t>
      </w:r>
      <w:r w:rsidR="00503AFD">
        <w:t xml:space="preserve"> The </w:t>
      </w:r>
      <w:r w:rsidR="00D40164">
        <w:t xml:space="preserve">overall </w:t>
      </w:r>
      <w:r w:rsidR="00D50D73">
        <w:t xml:space="preserve">aims of the </w:t>
      </w:r>
      <w:r w:rsidR="00503AFD">
        <w:t xml:space="preserve">project </w:t>
      </w:r>
      <w:r w:rsidR="00E77E8C">
        <w:t>are</w:t>
      </w:r>
      <w:r w:rsidR="00D50D73">
        <w:t xml:space="preserve"> </w:t>
      </w:r>
      <w:r w:rsidR="00503AFD">
        <w:t>to demonstrate the ecological outcomes of Commonwealth environmental water delivery and support adaptive management.</w:t>
      </w:r>
    </w:p>
    <w:p w14:paraId="2A30DAE2" w14:textId="58EBDD15" w:rsidR="001E72D3" w:rsidRPr="00C757C7" w:rsidRDefault="003B275A" w:rsidP="001E72D3">
      <w:r>
        <w:t xml:space="preserve">The </w:t>
      </w:r>
      <w:r w:rsidR="00EC786D">
        <w:t>CEWO LTIM</w:t>
      </w:r>
      <w:r>
        <w:t xml:space="preserve"> project</w:t>
      </w:r>
      <w:r w:rsidR="00EC786D">
        <w:t xml:space="preserve"> in t</w:t>
      </w:r>
      <w:r w:rsidR="001E72D3">
        <w:t xml:space="preserve">he </w:t>
      </w:r>
      <w:r w:rsidR="00E43DB7">
        <w:t>LMR</w:t>
      </w:r>
      <w:r w:rsidR="00EC786D">
        <w:t xml:space="preserve"> focuses on the main channel </w:t>
      </w:r>
      <w:r w:rsidR="00EC786D" w:rsidRPr="00E91802">
        <w:t xml:space="preserve">of the Murray River between the </w:t>
      </w:r>
      <w:r w:rsidR="001E5FAE">
        <w:t>South Australian</w:t>
      </w:r>
      <w:r w:rsidR="00EC786D" w:rsidRPr="00E91802">
        <w:t xml:space="preserve"> border and Wellington</w:t>
      </w:r>
      <w:r w:rsidR="00EC786D">
        <w:t>,</w:t>
      </w:r>
      <w:r w:rsidR="001E72D3">
        <w:t xml:space="preserve"> </w:t>
      </w:r>
      <w:r w:rsidR="00793C6D">
        <w:t>with</w:t>
      </w:r>
      <w:r w:rsidR="00EC786D">
        <w:t xml:space="preserve"> only </w:t>
      </w:r>
      <w:r w:rsidR="00793C6D">
        <w:t>one targeted investigation</w:t>
      </w:r>
      <w:r w:rsidR="00EC786D">
        <w:t xml:space="preserve"> </w:t>
      </w:r>
      <w:r w:rsidR="00793C6D">
        <w:t>(i.e. M</w:t>
      </w:r>
      <w:r w:rsidR="00EC786D">
        <w:t xml:space="preserve">atter </w:t>
      </w:r>
      <w:r w:rsidR="00793C6D">
        <w:t>T</w:t>
      </w:r>
      <w:r w:rsidR="00EC786D">
        <w:t>ransport</w:t>
      </w:r>
      <w:r w:rsidR="00793C6D">
        <w:t>)</w:t>
      </w:r>
      <w:r w:rsidR="00EC786D">
        <w:t xml:space="preserve"> includ</w:t>
      </w:r>
      <w:r w:rsidR="00793C6D">
        <w:t>ing</w:t>
      </w:r>
      <w:r w:rsidR="00EC786D">
        <w:t xml:space="preserve"> modelling and evaluation for</w:t>
      </w:r>
      <w:r w:rsidR="001E72D3">
        <w:t xml:space="preserve"> the </w:t>
      </w:r>
      <w:r w:rsidR="009C377C">
        <w:t>Lower Lakes and Coorong</w:t>
      </w:r>
      <w:r w:rsidR="001E72D3">
        <w:t xml:space="preserve"> </w:t>
      </w:r>
      <w:r w:rsidR="001E72D3" w:rsidRPr="00C757C7">
        <w:t>(</w:t>
      </w:r>
      <w:r w:rsidR="00C0033E">
        <w:fldChar w:fldCharType="begin"/>
      </w:r>
      <w:r w:rsidR="00C0033E">
        <w:instrText xml:space="preserve"> REF _Ref411507585 \h  \* MERGEFORMAT </w:instrText>
      </w:r>
      <w:r w:rsidR="00C0033E">
        <w:fldChar w:fldCharType="separate"/>
      </w:r>
      <w:r w:rsidR="004260C4" w:rsidRPr="00C757C7">
        <w:t xml:space="preserve">Figure </w:t>
      </w:r>
      <w:r w:rsidR="004260C4">
        <w:t>7</w:t>
      </w:r>
      <w:r w:rsidR="00C0033E">
        <w:fldChar w:fldCharType="end"/>
      </w:r>
      <w:r w:rsidR="001E72D3" w:rsidRPr="00C757C7">
        <w:t>)</w:t>
      </w:r>
      <w:r w:rsidR="001E72D3">
        <w:t xml:space="preserve">. </w:t>
      </w:r>
      <w:r w:rsidR="00EC786D">
        <w:t xml:space="preserve">The general region for the </w:t>
      </w:r>
      <w:r w:rsidR="00DD220D">
        <w:t xml:space="preserve">CEWO </w:t>
      </w:r>
      <w:r w:rsidR="00EC786D">
        <w:t xml:space="preserve">LTIM project herein is referred to as </w:t>
      </w:r>
      <w:r w:rsidR="00DD220D">
        <w:t xml:space="preserve">the </w:t>
      </w:r>
      <w:r w:rsidR="00EC786D">
        <w:t>‘</w:t>
      </w:r>
      <w:r w:rsidR="00E43DB7">
        <w:t>LMR</w:t>
      </w:r>
      <w:r w:rsidR="009E2C48">
        <w:t xml:space="preserve"> Selected Area</w:t>
      </w:r>
      <w:r w:rsidR="00EC786D">
        <w:t xml:space="preserve">’. </w:t>
      </w:r>
      <w:r w:rsidR="001E72D3">
        <w:t xml:space="preserve">Targeted investigations </w:t>
      </w:r>
      <w:r w:rsidR="00923F89">
        <w:t>(</w:t>
      </w:r>
      <w:r w:rsidR="00EB1892">
        <w:t xml:space="preserve">for </w:t>
      </w:r>
      <w:r w:rsidR="00923F89">
        <w:t xml:space="preserve">indicators) </w:t>
      </w:r>
      <w:r w:rsidR="001E72D3">
        <w:t>were</w:t>
      </w:r>
      <w:r w:rsidR="001E72D3" w:rsidRPr="00C757C7">
        <w:t xml:space="preserve"> conducted at various sites </w:t>
      </w:r>
      <w:r w:rsidR="00EC786D">
        <w:t>in</w:t>
      </w:r>
      <w:r w:rsidR="001E72D3">
        <w:t xml:space="preserve"> the Selected Area, covering </w:t>
      </w:r>
      <w:r w:rsidR="00CC0A68">
        <w:t>three</w:t>
      </w:r>
      <w:r w:rsidR="001E72D3" w:rsidRPr="00C757C7">
        <w:t xml:space="preserve"> geomorphic </w:t>
      </w:r>
      <w:r w:rsidR="001E72D3">
        <w:t>zones</w:t>
      </w:r>
      <w:r w:rsidR="00CC0A68">
        <w:t xml:space="preserve"> and the Lower Lakes and Coorong (Wellington to Murray Mouth</w:t>
      </w:r>
      <w:r w:rsidR="00CC0A68" w:rsidRPr="002C78BC">
        <w:t>)</w:t>
      </w:r>
      <w:r w:rsidR="001E72D3" w:rsidRPr="002C78BC">
        <w:t xml:space="preserve">. </w:t>
      </w:r>
      <w:r w:rsidR="00A34F2A" w:rsidRPr="002C78BC">
        <w:t xml:space="preserve">The three </w:t>
      </w:r>
      <w:r w:rsidR="00503AFD">
        <w:t xml:space="preserve">geomorphic </w:t>
      </w:r>
      <w:r w:rsidR="00A34F2A" w:rsidRPr="002C78BC">
        <w:t>zones were:</w:t>
      </w:r>
    </w:p>
    <w:p w14:paraId="2F49CE98" w14:textId="277DC59E" w:rsidR="008C5BE3" w:rsidRPr="00C757C7" w:rsidRDefault="008C5BE3" w:rsidP="008C5BE3">
      <w:pPr>
        <w:pStyle w:val="ListParagraph"/>
        <w:numPr>
          <w:ilvl w:val="0"/>
          <w:numId w:val="8"/>
        </w:numPr>
        <w:spacing w:line="276" w:lineRule="auto"/>
      </w:pPr>
      <w:r w:rsidRPr="00C757C7">
        <w:t>Floodplain (</w:t>
      </w:r>
      <w:r w:rsidR="005106B5">
        <w:t>South Australian</w:t>
      </w:r>
      <w:r w:rsidRPr="00C757C7">
        <w:t xml:space="preserve"> border to Overland Corner)</w:t>
      </w:r>
      <w:r w:rsidR="00DF212C">
        <w:t>;</w:t>
      </w:r>
      <w:r w:rsidRPr="00C757C7">
        <w:t xml:space="preserve"> </w:t>
      </w:r>
    </w:p>
    <w:p w14:paraId="3D87636D" w14:textId="4703BF82" w:rsidR="005A789D" w:rsidRPr="00C757C7" w:rsidRDefault="005A789D" w:rsidP="005A789D">
      <w:pPr>
        <w:pStyle w:val="ListParagraph"/>
        <w:numPr>
          <w:ilvl w:val="0"/>
          <w:numId w:val="8"/>
        </w:numPr>
        <w:spacing w:line="276" w:lineRule="auto"/>
      </w:pPr>
      <w:r w:rsidRPr="00C757C7">
        <w:t>Gorge (Overland Corner to Mannum)</w:t>
      </w:r>
      <w:r w:rsidR="00DF212C">
        <w:t>;</w:t>
      </w:r>
    </w:p>
    <w:p w14:paraId="3CFE6B03" w14:textId="75D6BE22" w:rsidR="00CC0A68" w:rsidRDefault="005A789D" w:rsidP="0044575D">
      <w:pPr>
        <w:pStyle w:val="ListParagraph"/>
        <w:numPr>
          <w:ilvl w:val="0"/>
          <w:numId w:val="8"/>
        </w:numPr>
        <w:spacing w:line="276" w:lineRule="auto"/>
      </w:pPr>
      <w:r w:rsidRPr="00C757C7">
        <w:t>Swamplands (Mannum to Wellington)</w:t>
      </w:r>
      <w:r w:rsidR="00DF212C">
        <w:t>;</w:t>
      </w:r>
    </w:p>
    <w:p w14:paraId="541931C4" w14:textId="3B423C64" w:rsidR="00646C82" w:rsidRDefault="00126643" w:rsidP="00B64AFA">
      <w:pPr>
        <w:spacing w:before="240"/>
      </w:pPr>
      <w:r>
        <w:t xml:space="preserve">The following </w:t>
      </w:r>
      <w:r w:rsidR="00646C82">
        <w:t xml:space="preserve">indicators were </w:t>
      </w:r>
      <w:r w:rsidR="00556D3F">
        <w:t>used</w:t>
      </w:r>
      <w:r>
        <w:t xml:space="preserve"> to assess ecological responses to environmental water delivery in the LMR</w:t>
      </w:r>
      <w:r w:rsidR="00DF212C">
        <w:t>:</w:t>
      </w:r>
    </w:p>
    <w:p w14:paraId="6597206A" w14:textId="70575C39" w:rsidR="00646C82" w:rsidRDefault="00DF212C" w:rsidP="00646C82">
      <w:r>
        <w:t>Category 1</w:t>
      </w:r>
    </w:p>
    <w:p w14:paraId="71C37824" w14:textId="24EF2971" w:rsidR="00646C82" w:rsidRDefault="00646C82" w:rsidP="00646C82">
      <w:pPr>
        <w:pStyle w:val="ListParagraph"/>
        <w:numPr>
          <w:ilvl w:val="0"/>
          <w:numId w:val="16"/>
        </w:numPr>
        <w:ind w:left="714" w:hanging="357"/>
        <w:contextualSpacing/>
      </w:pPr>
      <w:r>
        <w:t>Hydrology (channel)</w:t>
      </w:r>
      <w:r w:rsidR="00DF212C">
        <w:t>;</w:t>
      </w:r>
    </w:p>
    <w:p w14:paraId="72E50405" w14:textId="061589EE" w:rsidR="00646C82" w:rsidRDefault="00646C82" w:rsidP="00646C82">
      <w:pPr>
        <w:pStyle w:val="ListParagraph"/>
        <w:numPr>
          <w:ilvl w:val="0"/>
          <w:numId w:val="16"/>
        </w:numPr>
        <w:ind w:left="714" w:hanging="357"/>
        <w:contextualSpacing/>
      </w:pPr>
      <w:r>
        <w:t>Stream Metabolism</w:t>
      </w:r>
      <w:r w:rsidR="00DF212C">
        <w:t>;</w:t>
      </w:r>
    </w:p>
    <w:p w14:paraId="56D83943" w14:textId="03591395" w:rsidR="00646C82" w:rsidRDefault="00646C82" w:rsidP="00646C82">
      <w:pPr>
        <w:pStyle w:val="ListParagraph"/>
        <w:numPr>
          <w:ilvl w:val="0"/>
          <w:numId w:val="16"/>
        </w:numPr>
      </w:pPr>
      <w:r>
        <w:t>Fish (channel)</w:t>
      </w:r>
      <w:r w:rsidR="00DF212C">
        <w:t>.</w:t>
      </w:r>
    </w:p>
    <w:p w14:paraId="4019AC83" w14:textId="7C8C142E" w:rsidR="00646C82" w:rsidRDefault="00DF212C" w:rsidP="00646C82">
      <w:r>
        <w:t>Category 3</w:t>
      </w:r>
    </w:p>
    <w:p w14:paraId="33FBEA05" w14:textId="0B50DD60" w:rsidR="00646C82" w:rsidRDefault="00646C82" w:rsidP="00646C82">
      <w:pPr>
        <w:pStyle w:val="ListParagraph"/>
        <w:numPr>
          <w:ilvl w:val="0"/>
          <w:numId w:val="17"/>
        </w:numPr>
        <w:ind w:left="714" w:hanging="357"/>
        <w:contextualSpacing/>
      </w:pPr>
      <w:r>
        <w:t>Hydrological Regime</w:t>
      </w:r>
      <w:r w:rsidR="00DF212C">
        <w:t>;</w:t>
      </w:r>
    </w:p>
    <w:p w14:paraId="624D7FC8" w14:textId="38495FBA" w:rsidR="00646C82" w:rsidRDefault="00646C82" w:rsidP="00646C82">
      <w:pPr>
        <w:pStyle w:val="ListParagraph"/>
        <w:numPr>
          <w:ilvl w:val="0"/>
          <w:numId w:val="17"/>
        </w:numPr>
        <w:ind w:left="714" w:hanging="357"/>
        <w:contextualSpacing/>
      </w:pPr>
      <w:r>
        <w:t>Matter Transport</w:t>
      </w:r>
      <w:r w:rsidR="00DF212C">
        <w:t>;</w:t>
      </w:r>
    </w:p>
    <w:p w14:paraId="522BFDD0" w14:textId="21C5F986" w:rsidR="00646C82" w:rsidRDefault="00646C82" w:rsidP="00646C82">
      <w:pPr>
        <w:pStyle w:val="ListParagraph"/>
        <w:numPr>
          <w:ilvl w:val="0"/>
          <w:numId w:val="17"/>
        </w:numPr>
        <w:ind w:left="714" w:hanging="357"/>
        <w:contextualSpacing/>
      </w:pPr>
      <w:r>
        <w:t>Microinvertebrates</w:t>
      </w:r>
      <w:r w:rsidR="00DF212C">
        <w:t>;</w:t>
      </w:r>
    </w:p>
    <w:p w14:paraId="7CB4EC73" w14:textId="430251C3" w:rsidR="00646C82" w:rsidRDefault="00646C82" w:rsidP="00646C82">
      <w:pPr>
        <w:pStyle w:val="ListParagraph"/>
        <w:numPr>
          <w:ilvl w:val="0"/>
          <w:numId w:val="17"/>
        </w:numPr>
      </w:pPr>
      <w:r>
        <w:t>Fish Spawning and Recruitment</w:t>
      </w:r>
      <w:r w:rsidR="00DF212C">
        <w:t>.</w:t>
      </w:r>
    </w:p>
    <w:p w14:paraId="43DFFA74" w14:textId="77777777" w:rsidR="00646C82" w:rsidRDefault="00646C82" w:rsidP="00055923">
      <w:pPr>
        <w:pStyle w:val="ListParagraph"/>
        <w:numPr>
          <w:ilvl w:val="0"/>
          <w:numId w:val="0"/>
        </w:numPr>
        <w:ind w:left="360"/>
        <w:sectPr w:rsidR="00646C82" w:rsidSect="00315EBC">
          <w:footnotePr>
            <w:numFmt w:val="lowerLetter"/>
          </w:footnotePr>
          <w:pgSz w:w="11900" w:h="16840" w:code="9"/>
          <w:pgMar w:top="1440" w:right="1440" w:bottom="1440" w:left="1440" w:header="709" w:footer="709" w:gutter="0"/>
          <w:pgNumType w:start="1"/>
          <w:cols w:space="708"/>
          <w:docGrid w:linePitch="360"/>
        </w:sectPr>
      </w:pPr>
    </w:p>
    <w:p w14:paraId="02980597" w14:textId="77777777" w:rsidR="00DA1715" w:rsidRPr="00C757C7" w:rsidRDefault="00DA1715" w:rsidP="00646C82">
      <w:pPr>
        <w:pStyle w:val="ListParagraph"/>
        <w:numPr>
          <w:ilvl w:val="0"/>
          <w:numId w:val="0"/>
        </w:numPr>
        <w:ind w:left="360"/>
        <w:jc w:val="center"/>
      </w:pPr>
      <w:r w:rsidRPr="00DA1715">
        <w:rPr>
          <w:noProof/>
        </w:rPr>
        <w:lastRenderedPageBreak/>
        <w:drawing>
          <wp:inline distT="0" distB="0" distL="0" distR="0" wp14:anchorId="065980E5" wp14:editId="13E7A00D">
            <wp:extent cx="6882788" cy="486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6882788" cy="4860000"/>
                    </a:xfrm>
                    <a:prstGeom prst="rect">
                      <a:avLst/>
                    </a:prstGeom>
                    <a:noFill/>
                    <a:ln>
                      <a:noFill/>
                    </a:ln>
                  </pic:spPr>
                </pic:pic>
              </a:graphicData>
            </a:graphic>
          </wp:inline>
        </w:drawing>
      </w:r>
    </w:p>
    <w:p w14:paraId="1D1B3658" w14:textId="06471890" w:rsidR="00646C82" w:rsidRDefault="001E72D3" w:rsidP="00B46038">
      <w:pPr>
        <w:pStyle w:val="Captions"/>
        <w:rPr>
          <w:lang w:val="en-AU"/>
        </w:rPr>
        <w:sectPr w:rsidR="00646C82" w:rsidSect="00775646">
          <w:pgSz w:w="16840" w:h="11900" w:orient="landscape" w:code="9"/>
          <w:pgMar w:top="1440" w:right="1440" w:bottom="1440" w:left="1440" w:header="709" w:footer="709" w:gutter="0"/>
          <w:cols w:space="708"/>
          <w:docGrid w:linePitch="360"/>
        </w:sectPr>
      </w:pPr>
      <w:bookmarkStart w:id="50" w:name="_Ref382232091"/>
      <w:bookmarkStart w:id="51" w:name="_Ref411507585"/>
      <w:bookmarkStart w:id="52" w:name="_Toc442173728"/>
      <w:bookmarkStart w:id="53" w:name="_Toc474147031"/>
      <w:r w:rsidRPr="00C757C7">
        <w:t xml:space="preserve">Figure </w:t>
      </w:r>
      <w:r w:rsidR="00C63D36">
        <w:fldChar w:fldCharType="begin"/>
      </w:r>
      <w:r w:rsidR="00C63D36">
        <w:instrText xml:space="preserve"> SEQ Figure \* ARABIC </w:instrText>
      </w:r>
      <w:r w:rsidR="00C63D36">
        <w:fldChar w:fldCharType="separate"/>
      </w:r>
      <w:r w:rsidR="004260C4">
        <w:rPr>
          <w:noProof/>
        </w:rPr>
        <w:t>7</w:t>
      </w:r>
      <w:r w:rsidR="00C63D36">
        <w:fldChar w:fldCharType="end"/>
      </w:r>
      <w:bookmarkEnd w:id="50"/>
      <w:bookmarkEnd w:id="51"/>
      <w:r w:rsidRPr="00C757C7">
        <w:t xml:space="preserve">. </w:t>
      </w:r>
      <w:r>
        <w:t>Map of</w:t>
      </w:r>
      <w:r w:rsidRPr="00C757C7">
        <w:t xml:space="preserve"> the </w:t>
      </w:r>
      <w:r w:rsidR="009E2C48">
        <w:t>LMR</w:t>
      </w:r>
      <w:r>
        <w:t xml:space="preserve"> Selected Area</w:t>
      </w:r>
      <w:r w:rsidRPr="00C757C7">
        <w:t xml:space="preserve"> showing </w:t>
      </w:r>
      <w:r w:rsidR="00DA1715">
        <w:t xml:space="preserve">the floodplain (blue), gorge (green) and swamplands (orange) </w:t>
      </w:r>
      <w:r w:rsidR="00DA1715" w:rsidRPr="00DA1715">
        <w:rPr>
          <w:lang w:val="en-AU"/>
        </w:rPr>
        <w:t>geomorphic zones</w:t>
      </w:r>
      <w:r w:rsidR="003956E8" w:rsidRPr="00DA1715">
        <w:rPr>
          <w:lang w:val="en-AU"/>
        </w:rPr>
        <w:t xml:space="preserve">, </w:t>
      </w:r>
      <w:r w:rsidR="00DA1715">
        <w:rPr>
          <w:lang w:val="en-AU"/>
        </w:rPr>
        <w:t xml:space="preserve">and the </w:t>
      </w:r>
      <w:r w:rsidR="003956E8" w:rsidRPr="00DA1715">
        <w:rPr>
          <w:lang w:val="en-AU"/>
        </w:rPr>
        <w:t>Lower Lakes, Coorong and Murray Mouth</w:t>
      </w:r>
      <w:r w:rsidR="00DA1715" w:rsidRPr="00DA1715">
        <w:rPr>
          <w:lang w:val="en-AU"/>
        </w:rPr>
        <w:t xml:space="preserve"> (yellow)</w:t>
      </w:r>
      <w:r w:rsidRPr="00DA1715">
        <w:rPr>
          <w:lang w:val="en-AU"/>
        </w:rPr>
        <w:t>.</w:t>
      </w:r>
      <w:r w:rsidR="00DA1715" w:rsidRPr="00DA1715">
        <w:rPr>
          <w:lang w:val="en-AU"/>
        </w:rPr>
        <w:t xml:space="preserve"> Sampling sites are </w:t>
      </w:r>
      <w:r w:rsidR="00A90F9D">
        <w:rPr>
          <w:lang w:val="en-AU"/>
        </w:rPr>
        <w:t>indicated</w:t>
      </w:r>
      <w:r w:rsidR="00DA1715" w:rsidRPr="00DA1715">
        <w:rPr>
          <w:lang w:val="en-AU"/>
        </w:rPr>
        <w:t xml:space="preserve"> by coloured circles.</w:t>
      </w:r>
      <w:r w:rsidR="001474B1">
        <w:rPr>
          <w:lang w:val="en-AU"/>
        </w:rPr>
        <w:t xml:space="preserve"> Fish Spawning and R</w:t>
      </w:r>
      <w:r w:rsidR="00A90F9D">
        <w:rPr>
          <w:lang w:val="en-AU"/>
        </w:rPr>
        <w:t>ecruitment sites represent larval sampling only.</w:t>
      </w:r>
      <w:bookmarkEnd w:id="52"/>
      <w:bookmarkEnd w:id="53"/>
    </w:p>
    <w:p w14:paraId="38008232" w14:textId="44B49AA6" w:rsidR="00801B54" w:rsidRDefault="00126643" w:rsidP="00055923">
      <w:pPr>
        <w:rPr>
          <w:rStyle w:val="CharChar7"/>
          <w:rFonts w:ascii="Century Gothic" w:hAnsi="Century Gothic" w:cs="Times New Roman"/>
          <w:color w:val="000000"/>
          <w:spacing w:val="0"/>
          <w:sz w:val="22"/>
          <w:szCs w:val="20"/>
        </w:rPr>
      </w:pPr>
      <w:r>
        <w:lastRenderedPageBreak/>
        <w:t>The above i</w:t>
      </w:r>
      <w:r w:rsidR="00EC5825">
        <w:t>ndicators were selected in line with Com</w:t>
      </w:r>
      <w:r w:rsidR="00315997">
        <w:t>monwealth environmental water</w:t>
      </w:r>
      <w:r w:rsidR="00EC5825">
        <w:t xml:space="preserve"> evaluation questions for the Basin and Selected Area</w:t>
      </w:r>
      <w:r w:rsidR="002B6287">
        <w:t>.</w:t>
      </w:r>
      <w:r w:rsidR="00EC5825">
        <w:t xml:space="preserve"> </w:t>
      </w:r>
      <w:r w:rsidR="00B73F5A">
        <w:t>Th</w:t>
      </w:r>
      <w:r w:rsidR="00515C0A">
        <w:t>e details are presented</w:t>
      </w:r>
      <w:r w:rsidR="00B73F5A">
        <w:t xml:space="preserve"> in the Monitoring and Evaluation Plan for the </w:t>
      </w:r>
      <w:r w:rsidR="00E43DB7">
        <w:t>LMR</w:t>
      </w:r>
      <w:r w:rsidR="00B73F5A">
        <w:t xml:space="preserve"> Selected Area</w:t>
      </w:r>
      <w:r w:rsidR="00A4107D">
        <w:t xml:space="preserve"> (LMR </w:t>
      </w:r>
      <w:r w:rsidR="00500223">
        <w:t>L</w:t>
      </w:r>
      <w:r w:rsidR="00A4107D">
        <w:t xml:space="preserve">TIM M&amp;E Plan), which is available at </w:t>
      </w:r>
      <w:hyperlink r:id="rId56" w:history="1">
        <w:r w:rsidR="00BA4AD5">
          <w:rPr>
            <w:rStyle w:val="Hyperlink"/>
          </w:rPr>
          <w:t>https://www.environment.gov.au/water/cewo/publications/cewo-ltim-lower-murray-2016</w:t>
        </w:r>
      </w:hyperlink>
      <w:r w:rsidR="00A4107D">
        <w:t xml:space="preserve">. </w:t>
      </w:r>
      <w:r w:rsidR="00F33A8C">
        <w:t xml:space="preserve">Category 1 indicators followed standard protocols to </w:t>
      </w:r>
      <w:r w:rsidR="00596109">
        <w:t>support</w:t>
      </w:r>
      <w:r w:rsidR="00F33A8C">
        <w:t xml:space="preserve"> quantitative Basin</w:t>
      </w:r>
      <w:r w:rsidR="00596109">
        <w:t>-wide and Selected Area evaluation</w:t>
      </w:r>
      <w:r w:rsidR="00BA4AD5">
        <w:t>,</w:t>
      </w:r>
      <w:r w:rsidR="005C74BA">
        <w:t xml:space="preserve"> where applicable</w:t>
      </w:r>
      <w:r w:rsidR="00557266">
        <w:t xml:space="preserve"> (</w:t>
      </w:r>
      <w:r w:rsidR="00B73F5A">
        <w:t xml:space="preserve">Hale </w:t>
      </w:r>
      <w:r w:rsidR="00B73F5A" w:rsidRPr="00B73F5A">
        <w:rPr>
          <w:i/>
        </w:rPr>
        <w:t>et al.</w:t>
      </w:r>
      <w:r w:rsidR="00B73F5A">
        <w:t xml:space="preserve"> 2014</w:t>
      </w:r>
      <w:r w:rsidR="00557266">
        <w:t>)</w:t>
      </w:r>
      <w:r w:rsidR="00F33A8C">
        <w:t xml:space="preserve">. Category 3 indicators were developed to </w:t>
      </w:r>
      <w:r w:rsidR="00515C0A">
        <w:t xml:space="preserve">address objectives and </w:t>
      </w:r>
      <w:r w:rsidR="00F33A8C" w:rsidRPr="00C757C7">
        <w:t>test a series of</w:t>
      </w:r>
      <w:r w:rsidR="00F33A8C">
        <w:t xml:space="preserve"> </w:t>
      </w:r>
      <w:r w:rsidR="00515C0A">
        <w:t xml:space="preserve">Selected Area-specific </w:t>
      </w:r>
      <w:r w:rsidR="00F33A8C" w:rsidRPr="00C757C7">
        <w:t>hypotheses</w:t>
      </w:r>
      <w:r w:rsidR="00E62BE4">
        <w:t xml:space="preserve"> </w:t>
      </w:r>
      <w:r w:rsidR="00515C0A">
        <w:t xml:space="preserve">with respect to biological/ecological response to </w:t>
      </w:r>
      <w:r w:rsidR="00595D7A">
        <w:t xml:space="preserve">environmental </w:t>
      </w:r>
      <w:r w:rsidR="00515C0A">
        <w:t xml:space="preserve">flows </w:t>
      </w:r>
      <w:r w:rsidR="00E62BE4">
        <w:t xml:space="preserve">(Appendix </w:t>
      </w:r>
      <w:r w:rsidR="001A3172">
        <w:t>A)</w:t>
      </w:r>
      <w:r w:rsidR="00C62245">
        <w:t>. The hypotheses were developed</w:t>
      </w:r>
      <w:r w:rsidR="00F33A8C" w:rsidRPr="00C757C7">
        <w:t xml:space="preserve"> based on our conceptual understanding of the life histories of relevant biota and ecological processes</w:t>
      </w:r>
      <w:r w:rsidR="00595D7A">
        <w:t xml:space="preserve"> and the effect of flow on them</w:t>
      </w:r>
      <w:r w:rsidR="00BB6D09" w:rsidRPr="00A4107D">
        <w:t>.</w:t>
      </w:r>
      <w:r w:rsidR="00596109" w:rsidRPr="00A4107D">
        <w:t xml:space="preserve"> The</w:t>
      </w:r>
      <w:r w:rsidR="00596109" w:rsidRPr="00C757C7">
        <w:t xml:space="preserve"> following conceptual diagram illustrates our current understanding of how river ecosystems are affected by the key ecosystem driver (flow regime), subject to flow management and climate effects, and how the</w:t>
      </w:r>
      <w:r w:rsidR="00556D3F">
        <w:t>se</w:t>
      </w:r>
      <w:r w:rsidR="00596109" w:rsidRPr="00C757C7">
        <w:t xml:space="preserve"> </w:t>
      </w:r>
      <w:r w:rsidR="00596109">
        <w:t>indicators</w:t>
      </w:r>
      <w:r w:rsidR="00596109" w:rsidRPr="00C757C7">
        <w:t xml:space="preserve"> contribute toward a holistic understanding of ecosystem responses to flow management and ecological benefits (</w:t>
      </w:r>
      <w:r w:rsidR="00C0033E">
        <w:fldChar w:fldCharType="begin"/>
      </w:r>
      <w:r w:rsidR="00C0033E">
        <w:instrText xml:space="preserve"> REF _Ref381777206 \h  \* MERGEFORMAT </w:instrText>
      </w:r>
      <w:r w:rsidR="00C0033E">
        <w:fldChar w:fldCharType="separate"/>
      </w:r>
      <w:r w:rsidR="004260C4" w:rsidRPr="00C757C7">
        <w:t xml:space="preserve">Figure </w:t>
      </w:r>
      <w:r w:rsidR="004260C4">
        <w:t>8</w:t>
      </w:r>
      <w:r w:rsidR="00C0033E">
        <w:fldChar w:fldCharType="end"/>
      </w:r>
      <w:r w:rsidR="00596109" w:rsidRPr="00C757C7">
        <w:t>).</w:t>
      </w:r>
      <w:r w:rsidR="00FE56D3" w:rsidRPr="00FE56D3">
        <w:rPr>
          <w:rStyle w:val="CharChar7"/>
          <w:rFonts w:ascii="Century Gothic" w:hAnsi="Century Gothic" w:cs="Times New Roman"/>
          <w:color w:val="000000"/>
          <w:spacing w:val="0"/>
          <w:sz w:val="22"/>
          <w:szCs w:val="20"/>
        </w:rPr>
        <w:t xml:space="preserve"> </w:t>
      </w:r>
    </w:p>
    <w:p w14:paraId="068F99CD" w14:textId="77777777" w:rsidR="00875AED" w:rsidRPr="00C757C7" w:rsidRDefault="00B44502" w:rsidP="00DD354B">
      <w:pPr>
        <w:jc w:val="center"/>
      </w:pPr>
      <w:r w:rsidRPr="00B44502">
        <w:rPr>
          <w:noProof/>
          <w:lang w:eastAsia="en-AU"/>
        </w:rPr>
        <w:drawing>
          <wp:inline distT="0" distB="0" distL="0" distR="0" wp14:anchorId="0339E116" wp14:editId="0CEA55BA">
            <wp:extent cx="2828653" cy="3485851"/>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832943" cy="3491137"/>
                    </a:xfrm>
                    <a:prstGeom prst="rect">
                      <a:avLst/>
                    </a:prstGeom>
                    <a:noFill/>
                    <a:ln>
                      <a:noFill/>
                    </a:ln>
                  </pic:spPr>
                </pic:pic>
              </a:graphicData>
            </a:graphic>
          </wp:inline>
        </w:drawing>
      </w:r>
    </w:p>
    <w:p w14:paraId="4E0BF496" w14:textId="09220171" w:rsidR="0080523D" w:rsidRPr="00C757C7" w:rsidRDefault="006B75F1" w:rsidP="00B46038">
      <w:pPr>
        <w:pStyle w:val="Captions"/>
      </w:pPr>
      <w:bookmarkStart w:id="54" w:name="_Ref381777206"/>
      <w:bookmarkStart w:id="55" w:name="_Toc442173729"/>
      <w:bookmarkStart w:id="56" w:name="_Toc474147032"/>
      <w:r w:rsidRPr="00C757C7">
        <w:t xml:space="preserve">Figure </w:t>
      </w:r>
      <w:r w:rsidR="00C63D36">
        <w:fldChar w:fldCharType="begin"/>
      </w:r>
      <w:r w:rsidR="00C63D36">
        <w:instrText xml:space="preserve"> SEQ Figure \* ARABIC </w:instrText>
      </w:r>
      <w:r w:rsidR="00C63D36">
        <w:fldChar w:fldCharType="separate"/>
      </w:r>
      <w:r w:rsidR="004260C4">
        <w:rPr>
          <w:noProof/>
        </w:rPr>
        <w:t>8</w:t>
      </w:r>
      <w:r w:rsidR="00C63D36">
        <w:fldChar w:fldCharType="end"/>
      </w:r>
      <w:bookmarkEnd w:id="54"/>
      <w:r w:rsidRPr="00C757C7">
        <w:t xml:space="preserve">. </w:t>
      </w:r>
      <w:bookmarkStart w:id="57" w:name="_Toc433644237"/>
      <w:r w:rsidR="0080523D" w:rsidRPr="00C757C7">
        <w:t xml:space="preserve">Conceptual diagram of how </w:t>
      </w:r>
      <w:r w:rsidR="0080523D" w:rsidRPr="00DD354B">
        <w:t xml:space="preserve">the main channel of </w:t>
      </w:r>
      <w:r w:rsidR="0080523D">
        <w:t>river systems are</w:t>
      </w:r>
      <w:r w:rsidR="0080523D" w:rsidRPr="00C757C7">
        <w:t xml:space="preserve"> affected by the key ecosystem driver (flow regime), subject to flow management and climate effects, and how complementar</w:t>
      </w:r>
      <w:r w:rsidR="0080523D">
        <w:t>y monitoring components (indicators</w:t>
      </w:r>
      <w:r w:rsidR="0080523D" w:rsidRPr="00C757C7">
        <w:t>) contribute toward a holistic understanding of ecosystem responses to flow management and ecological benefits</w:t>
      </w:r>
      <w:r w:rsidR="0080523D">
        <w:t xml:space="preserve"> in the LMR Selected Area.</w:t>
      </w:r>
      <w:r w:rsidR="0080523D" w:rsidRPr="00DD354B">
        <w:t xml:space="preserve"> Magnitude, timing and duration are factors of flow (in black).</w:t>
      </w:r>
      <w:bookmarkEnd w:id="55"/>
      <w:bookmarkEnd w:id="57"/>
      <w:bookmarkEnd w:id="56"/>
    </w:p>
    <w:p w14:paraId="34D7D2AB" w14:textId="7614CA02" w:rsidR="00B61401" w:rsidRPr="00E87EFC" w:rsidRDefault="00F1311C" w:rsidP="00E87EFC">
      <w:pPr>
        <w:pStyle w:val="Heading2"/>
        <w:rPr>
          <w:rStyle w:val="CharChar7"/>
          <w:rFonts w:ascii="Century Gothic" w:hAnsi="Century Gothic" w:cstheme="majorBidi"/>
          <w:color w:val="1F497D" w:themeColor="text2"/>
          <w:spacing w:val="0"/>
          <w:sz w:val="26"/>
          <w:szCs w:val="26"/>
        </w:rPr>
      </w:pPr>
      <w:bookmarkStart w:id="58" w:name="_Toc474147051"/>
      <w:r w:rsidRPr="00E87EFC">
        <w:rPr>
          <w:rStyle w:val="CharChar7"/>
          <w:rFonts w:ascii="Century Gothic" w:hAnsi="Century Gothic" w:cstheme="majorBidi"/>
          <w:color w:val="1F497D" w:themeColor="text2"/>
          <w:spacing w:val="0"/>
          <w:sz w:val="26"/>
          <w:szCs w:val="26"/>
        </w:rPr>
        <w:lastRenderedPageBreak/>
        <w:t>Key findings from the CEWO LTIM project for Year 1 (2014/15)</w:t>
      </w:r>
      <w:bookmarkEnd w:id="58"/>
    </w:p>
    <w:p w14:paraId="68901535" w14:textId="1B4B45EF" w:rsidR="00A54D41" w:rsidRDefault="00656FE7" w:rsidP="00656FE7">
      <w:pPr>
        <w:rPr>
          <w:color w:val="auto"/>
          <w:szCs w:val="22"/>
        </w:rPr>
      </w:pPr>
      <w:r>
        <w:rPr>
          <w:rFonts w:eastAsiaTheme="majorEastAsia"/>
        </w:rPr>
        <w:t xml:space="preserve">During </w:t>
      </w:r>
      <w:r w:rsidR="00113440">
        <w:rPr>
          <w:rFonts w:eastAsiaTheme="majorEastAsia"/>
        </w:rPr>
        <w:t>Year 1 (2014/15) of the CEWO LTIM project</w:t>
      </w:r>
      <w:r>
        <w:rPr>
          <w:rFonts w:eastAsiaTheme="majorEastAsia"/>
        </w:rPr>
        <w:t xml:space="preserve">, </w:t>
      </w:r>
      <w:r>
        <w:t>~581 </w:t>
      </w:r>
      <w:r w:rsidRPr="001E51DE">
        <w:t>GL of</w:t>
      </w:r>
      <w:r w:rsidRPr="00C757C7">
        <w:t xml:space="preserve"> </w:t>
      </w:r>
      <w:r>
        <w:rPr>
          <w:rFonts w:eastAsiaTheme="majorEastAsia"/>
        </w:rPr>
        <w:t>Commonwealth environmental water w</w:t>
      </w:r>
      <w:r w:rsidR="00B900C4">
        <w:rPr>
          <w:rFonts w:eastAsiaTheme="majorEastAsia"/>
        </w:rPr>
        <w:t>as</w:t>
      </w:r>
      <w:r>
        <w:rPr>
          <w:rFonts w:eastAsiaTheme="majorEastAsia"/>
        </w:rPr>
        <w:t xml:space="preserve"> delivered to the LMR Selected Area, </w:t>
      </w:r>
      <w:r w:rsidRPr="00E93E70">
        <w:t>in conjun</w:t>
      </w:r>
      <w:r>
        <w:t>ction with other sources of environmental water</w:t>
      </w:r>
      <w:r w:rsidRPr="00E93E70">
        <w:t xml:space="preserve"> (e.g. </w:t>
      </w:r>
      <w:r>
        <w:t>MDBA The Living Murray</w:t>
      </w:r>
      <w:r w:rsidR="004226C9">
        <w:t>)</w:t>
      </w:r>
      <w:r>
        <w:t>.  Environmental water delivery</w:t>
      </w:r>
      <w:r w:rsidRPr="004354C1">
        <w:t xml:space="preserve"> helped to </w:t>
      </w:r>
      <w:r w:rsidRPr="00363303">
        <w:rPr>
          <w:color w:val="auto"/>
        </w:rPr>
        <w:t xml:space="preserve">maintain river flow </w:t>
      </w:r>
      <w:r w:rsidR="00A54D41">
        <w:rPr>
          <w:color w:val="auto"/>
        </w:rPr>
        <w:t>at 9,000–10,000 </w:t>
      </w:r>
      <w:r w:rsidRPr="00363303">
        <w:rPr>
          <w:color w:val="auto"/>
        </w:rPr>
        <w:t>ML day</w:t>
      </w:r>
      <w:r w:rsidRPr="00363303">
        <w:rPr>
          <w:color w:val="auto"/>
          <w:vertAlign w:val="superscript"/>
        </w:rPr>
        <w:t>-1</w:t>
      </w:r>
      <w:r w:rsidRPr="00363303">
        <w:rPr>
          <w:color w:val="auto"/>
        </w:rPr>
        <w:t xml:space="preserve"> during October and November 2014 and from mid-January to mid-March 2015 in the LMR</w:t>
      </w:r>
      <w:r>
        <w:rPr>
          <w:color w:val="auto"/>
        </w:rPr>
        <w:t xml:space="preserve">. The watering events also </w:t>
      </w:r>
      <w:r w:rsidRPr="00363303">
        <w:rPr>
          <w:color w:val="auto"/>
        </w:rPr>
        <w:t xml:space="preserve">supplemented flows to the Lower Lakes and barrage releases to the Coorong from </w:t>
      </w:r>
      <w:r w:rsidRPr="00363303">
        <w:rPr>
          <w:color w:val="auto"/>
          <w:szCs w:val="22"/>
        </w:rPr>
        <w:t>September 2014 to June 2015.</w:t>
      </w:r>
      <w:r>
        <w:rPr>
          <w:color w:val="auto"/>
          <w:szCs w:val="22"/>
        </w:rPr>
        <w:t xml:space="preserve"> </w:t>
      </w:r>
    </w:p>
    <w:p w14:paraId="42E9120D" w14:textId="4D00E8E6" w:rsidR="00656FE7" w:rsidRDefault="004226C9" w:rsidP="00656FE7">
      <w:r>
        <w:rPr>
          <w:color w:val="auto"/>
          <w:szCs w:val="22"/>
        </w:rPr>
        <w:t>Commonwealth</w:t>
      </w:r>
      <w:r w:rsidR="00656FE7">
        <w:rPr>
          <w:color w:val="auto"/>
          <w:szCs w:val="22"/>
        </w:rPr>
        <w:t xml:space="preserve"> environmental water delivery contributed to a number of short-term ecological outcomes in the LMR Selected Area</w:t>
      </w:r>
      <w:r w:rsidR="00A54D41">
        <w:rPr>
          <w:color w:val="auto"/>
          <w:szCs w:val="22"/>
        </w:rPr>
        <w:t xml:space="preserve"> during 2014/15</w:t>
      </w:r>
      <w:r>
        <w:t>:</w:t>
      </w:r>
    </w:p>
    <w:p w14:paraId="5203674C" w14:textId="2028E524" w:rsidR="004226C9" w:rsidRDefault="004226C9" w:rsidP="004226C9">
      <w:pPr>
        <w:pStyle w:val="PlainText"/>
        <w:numPr>
          <w:ilvl w:val="0"/>
          <w:numId w:val="30"/>
        </w:numPr>
        <w:contextualSpacing/>
        <w:rPr>
          <w:rFonts w:ascii="Century Gothic" w:hAnsi="Century Gothic" w:cs="Arial"/>
          <w:color w:val="auto"/>
          <w:sz w:val="22"/>
          <w:szCs w:val="22"/>
        </w:rPr>
      </w:pPr>
      <w:r>
        <w:rPr>
          <w:rFonts w:ascii="Century Gothic" w:eastAsiaTheme="majorEastAsia" w:hAnsi="Century Gothic"/>
          <w:color w:val="auto"/>
          <w:sz w:val="22"/>
          <w:szCs w:val="22"/>
        </w:rPr>
        <w:t xml:space="preserve">Increased hydraulic diversity, </w:t>
      </w:r>
      <w:r w:rsidR="00656FE7" w:rsidRPr="00BC15BA">
        <w:rPr>
          <w:rFonts w:ascii="Century Gothic" w:eastAsiaTheme="majorEastAsia" w:hAnsi="Century Gothic"/>
          <w:color w:val="auto"/>
          <w:sz w:val="22"/>
          <w:szCs w:val="22"/>
        </w:rPr>
        <w:t>reflected by</w:t>
      </w:r>
      <w:r w:rsidR="00656FE7" w:rsidRPr="00BC15BA">
        <w:rPr>
          <w:rFonts w:ascii="Century Gothic" w:hAnsi="Century Gothic" w:cs="Arial"/>
          <w:color w:val="auto"/>
          <w:sz w:val="22"/>
          <w:szCs w:val="22"/>
        </w:rPr>
        <w:t xml:space="preserve"> increased median velocity (generally from 0.1 to 0.15 m s</w:t>
      </w:r>
      <w:r w:rsidR="00656FE7" w:rsidRPr="00BC15BA">
        <w:rPr>
          <w:rFonts w:ascii="Century Gothic" w:hAnsi="Century Gothic" w:cs="Arial"/>
          <w:color w:val="auto"/>
          <w:sz w:val="22"/>
          <w:szCs w:val="22"/>
          <w:vertAlign w:val="superscript"/>
        </w:rPr>
        <w:noBreakHyphen/>
        <w:t>1</w:t>
      </w:r>
      <w:r w:rsidR="00656FE7" w:rsidRPr="00BC15BA">
        <w:rPr>
          <w:rFonts w:ascii="Century Gothic" w:hAnsi="Century Gothic" w:cs="Arial"/>
          <w:color w:val="auto"/>
          <w:sz w:val="22"/>
          <w:szCs w:val="22"/>
        </w:rPr>
        <w:t xml:space="preserve">), with some cross sections in the weir pool transforming from </w:t>
      </w:r>
      <w:r w:rsidR="00656FE7">
        <w:rPr>
          <w:rFonts w:ascii="Century Gothic" w:hAnsi="Century Gothic" w:cs="Arial"/>
          <w:color w:val="auto"/>
          <w:sz w:val="22"/>
          <w:szCs w:val="22"/>
        </w:rPr>
        <w:t>0.11–0.17 m s</w:t>
      </w:r>
      <w:r w:rsidR="00656FE7" w:rsidRPr="00E90CF0">
        <w:rPr>
          <w:rFonts w:ascii="Century Gothic" w:hAnsi="Century Gothic" w:cs="Arial"/>
          <w:color w:val="auto"/>
          <w:sz w:val="22"/>
          <w:szCs w:val="22"/>
          <w:vertAlign w:val="superscript"/>
        </w:rPr>
        <w:t>-1</w:t>
      </w:r>
      <w:r w:rsidR="00656FE7">
        <w:rPr>
          <w:rFonts w:ascii="Century Gothic" w:hAnsi="Century Gothic" w:cs="Arial"/>
          <w:color w:val="auto"/>
          <w:sz w:val="22"/>
          <w:szCs w:val="22"/>
        </w:rPr>
        <w:t xml:space="preserve"> </w:t>
      </w:r>
      <w:r w:rsidR="00656FE7" w:rsidRPr="00BC15BA">
        <w:rPr>
          <w:rFonts w:ascii="Century Gothic" w:hAnsi="Century Gothic" w:cs="Arial"/>
          <w:color w:val="auto"/>
          <w:sz w:val="22"/>
          <w:szCs w:val="22"/>
        </w:rPr>
        <w:t xml:space="preserve">to </w:t>
      </w:r>
      <w:r w:rsidR="001777BD">
        <w:rPr>
          <w:rFonts w:ascii="Century Gothic" w:hAnsi="Century Gothic"/>
          <w:sz w:val="22"/>
          <w:szCs w:val="22"/>
        </w:rPr>
        <w:t>0.17</w:t>
      </w:r>
      <w:r w:rsidR="00656FE7" w:rsidRPr="00BC15BA">
        <w:rPr>
          <w:rFonts w:ascii="Century Gothic" w:hAnsi="Century Gothic"/>
          <w:color w:val="auto"/>
          <w:sz w:val="22"/>
          <w:szCs w:val="22"/>
        </w:rPr>
        <w:t>–</w:t>
      </w:r>
      <w:r w:rsidR="00656FE7" w:rsidRPr="00BC15BA">
        <w:rPr>
          <w:rFonts w:ascii="Century Gothic" w:hAnsi="Century Gothic"/>
          <w:sz w:val="22"/>
          <w:szCs w:val="22"/>
        </w:rPr>
        <w:t>0.3</w:t>
      </w:r>
      <w:r w:rsidR="00E70115">
        <w:rPr>
          <w:rFonts w:ascii="Century Gothic" w:hAnsi="Century Gothic"/>
          <w:sz w:val="22"/>
          <w:szCs w:val="22"/>
        </w:rPr>
        <w:t> </w:t>
      </w:r>
      <w:r w:rsidR="00656FE7" w:rsidRPr="00BC15BA">
        <w:rPr>
          <w:rFonts w:ascii="Century Gothic" w:hAnsi="Century Gothic"/>
          <w:sz w:val="22"/>
          <w:szCs w:val="22"/>
        </w:rPr>
        <w:t>m</w:t>
      </w:r>
      <w:r w:rsidR="00E70115">
        <w:rPr>
          <w:rFonts w:ascii="Century Gothic" w:hAnsi="Century Gothic"/>
          <w:sz w:val="22"/>
          <w:szCs w:val="22"/>
        </w:rPr>
        <w:t> </w:t>
      </w:r>
      <w:r w:rsidR="00656FE7" w:rsidRPr="00BC15BA">
        <w:rPr>
          <w:rFonts w:ascii="Century Gothic" w:hAnsi="Century Gothic"/>
          <w:sz w:val="22"/>
          <w:szCs w:val="22"/>
        </w:rPr>
        <w:t>s</w:t>
      </w:r>
      <w:r w:rsidR="00656FE7" w:rsidRPr="00BC15BA">
        <w:rPr>
          <w:rFonts w:ascii="Century Gothic" w:hAnsi="Century Gothic"/>
          <w:sz w:val="22"/>
          <w:szCs w:val="22"/>
          <w:vertAlign w:val="superscript"/>
        </w:rPr>
        <w:t>-1</w:t>
      </w:r>
      <w:r w:rsidR="00656FE7" w:rsidRPr="00BC15BA">
        <w:rPr>
          <w:rFonts w:ascii="Century Gothic" w:hAnsi="Century Gothic" w:cs="Arial"/>
          <w:color w:val="auto"/>
          <w:sz w:val="22"/>
          <w:szCs w:val="22"/>
        </w:rPr>
        <w:t xml:space="preserve">. </w:t>
      </w:r>
    </w:p>
    <w:p w14:paraId="649C0B10" w14:textId="11ED735E" w:rsidR="004226C9" w:rsidRPr="004226C9" w:rsidRDefault="004226C9" w:rsidP="004226C9">
      <w:pPr>
        <w:pStyle w:val="PlainText"/>
        <w:numPr>
          <w:ilvl w:val="0"/>
          <w:numId w:val="30"/>
        </w:numPr>
        <w:contextualSpacing/>
        <w:rPr>
          <w:color w:val="auto"/>
          <w:sz w:val="22"/>
          <w:szCs w:val="22"/>
        </w:rPr>
      </w:pPr>
      <w:r>
        <w:rPr>
          <w:rFonts w:ascii="Century Gothic" w:hAnsi="Century Gothic" w:cs="Arial"/>
          <w:color w:val="auto"/>
          <w:sz w:val="22"/>
          <w:szCs w:val="22"/>
        </w:rPr>
        <w:t>I</w:t>
      </w:r>
      <w:r w:rsidR="00656FE7" w:rsidRPr="00BC15BA">
        <w:rPr>
          <w:rFonts w:ascii="Century Gothic" w:hAnsi="Century Gothic" w:cs="Arial"/>
          <w:color w:val="auto"/>
          <w:sz w:val="22"/>
          <w:szCs w:val="22"/>
        </w:rPr>
        <w:t xml:space="preserve">ncreased water levels of up to 0.2 m in the upper reaches </w:t>
      </w:r>
      <w:r w:rsidR="00E70115">
        <w:rPr>
          <w:rFonts w:ascii="Century Gothic" w:hAnsi="Century Gothic" w:cs="Arial"/>
          <w:color w:val="auto"/>
          <w:sz w:val="22"/>
          <w:szCs w:val="22"/>
        </w:rPr>
        <w:t xml:space="preserve">of </w:t>
      </w:r>
      <w:r w:rsidR="00656FE7" w:rsidRPr="00BC15BA">
        <w:rPr>
          <w:rFonts w:ascii="Century Gothic" w:hAnsi="Century Gothic" w:cs="Arial"/>
          <w:color w:val="auto"/>
          <w:sz w:val="22"/>
          <w:szCs w:val="22"/>
        </w:rPr>
        <w:t>weir pools, which would have increased the inundated area of the riparian zone of the river channel.</w:t>
      </w:r>
      <w:r w:rsidRPr="00274DC7">
        <w:rPr>
          <w:rFonts w:ascii="Century Gothic" w:hAnsi="Century Gothic"/>
          <w:color w:val="auto"/>
          <w:sz w:val="22"/>
          <w:szCs w:val="22"/>
        </w:rPr>
        <w:t xml:space="preserve"> </w:t>
      </w:r>
    </w:p>
    <w:p w14:paraId="1FFE5E73" w14:textId="3F447B00" w:rsidR="00656FE7" w:rsidRPr="00274DC7" w:rsidRDefault="00656FE7" w:rsidP="004226C9">
      <w:pPr>
        <w:pStyle w:val="PlainText"/>
        <w:numPr>
          <w:ilvl w:val="0"/>
          <w:numId w:val="30"/>
        </w:numPr>
        <w:contextualSpacing/>
        <w:rPr>
          <w:color w:val="auto"/>
          <w:sz w:val="22"/>
          <w:szCs w:val="22"/>
        </w:rPr>
      </w:pPr>
      <w:r w:rsidRPr="00274DC7">
        <w:rPr>
          <w:rFonts w:ascii="Century Gothic" w:hAnsi="Century Gothic"/>
          <w:color w:val="auto"/>
          <w:sz w:val="22"/>
          <w:szCs w:val="22"/>
        </w:rPr>
        <w:t xml:space="preserve">Increased transport of nutrients and phytoplankton, which </w:t>
      </w:r>
      <w:r w:rsidR="00CE7516" w:rsidRPr="00274DC7">
        <w:rPr>
          <w:rFonts w:ascii="Century Gothic" w:hAnsi="Century Gothic"/>
          <w:color w:val="auto"/>
          <w:sz w:val="22"/>
          <w:szCs w:val="22"/>
        </w:rPr>
        <w:t xml:space="preserve">would </w:t>
      </w:r>
      <w:r w:rsidR="00CE7516">
        <w:rPr>
          <w:rFonts w:ascii="Century Gothic" w:hAnsi="Century Gothic"/>
          <w:color w:val="auto"/>
          <w:sz w:val="22"/>
          <w:szCs w:val="22"/>
        </w:rPr>
        <w:t xml:space="preserve">have </w:t>
      </w:r>
      <w:r w:rsidR="00CE7516" w:rsidRPr="00274DC7">
        <w:rPr>
          <w:rFonts w:ascii="Century Gothic" w:hAnsi="Century Gothic"/>
          <w:color w:val="auto"/>
          <w:sz w:val="22"/>
          <w:szCs w:val="22"/>
        </w:rPr>
        <w:t>likely stimulate</w:t>
      </w:r>
      <w:r w:rsidR="00CE7516">
        <w:rPr>
          <w:rFonts w:ascii="Century Gothic" w:hAnsi="Century Gothic"/>
          <w:color w:val="auto"/>
          <w:sz w:val="22"/>
          <w:szCs w:val="22"/>
        </w:rPr>
        <w:t>d</w:t>
      </w:r>
      <w:r w:rsidR="00CE7516" w:rsidRPr="00274DC7">
        <w:rPr>
          <w:rFonts w:ascii="Century Gothic" w:hAnsi="Century Gothic"/>
          <w:color w:val="auto"/>
          <w:sz w:val="22"/>
          <w:szCs w:val="22"/>
        </w:rPr>
        <w:t xml:space="preserve"> primary </w:t>
      </w:r>
      <w:r w:rsidR="00CE7516">
        <w:rPr>
          <w:rFonts w:ascii="Century Gothic" w:hAnsi="Century Gothic"/>
          <w:color w:val="auto"/>
          <w:sz w:val="22"/>
          <w:szCs w:val="22"/>
        </w:rPr>
        <w:t xml:space="preserve">and secondary </w:t>
      </w:r>
      <w:r w:rsidR="00CE7516" w:rsidRPr="00274DC7">
        <w:rPr>
          <w:rFonts w:ascii="Century Gothic" w:hAnsi="Century Gothic"/>
          <w:color w:val="auto"/>
          <w:sz w:val="22"/>
          <w:szCs w:val="22"/>
        </w:rPr>
        <w:t>productivity</w:t>
      </w:r>
      <w:r w:rsidRPr="00274DC7">
        <w:rPr>
          <w:rFonts w:ascii="Century Gothic" w:hAnsi="Century Gothic"/>
          <w:color w:val="auto"/>
          <w:sz w:val="22"/>
          <w:szCs w:val="22"/>
        </w:rPr>
        <w:t xml:space="preserve"> in downstream ecosystems. </w:t>
      </w:r>
    </w:p>
    <w:p w14:paraId="53F86349" w14:textId="772CE6C3" w:rsidR="002751B8" w:rsidRPr="00D82A01" w:rsidRDefault="002751B8" w:rsidP="002751B8">
      <w:pPr>
        <w:pStyle w:val="ListParagraph"/>
        <w:numPr>
          <w:ilvl w:val="0"/>
          <w:numId w:val="15"/>
        </w:numPr>
        <w:ind w:left="714" w:hanging="357"/>
        <w:contextualSpacing/>
        <w:rPr>
          <w:szCs w:val="22"/>
        </w:rPr>
      </w:pPr>
      <w:r>
        <w:t xml:space="preserve">Intermittent increases in supplies of organic material from return flows from inundated </w:t>
      </w:r>
      <w:r w:rsidR="00351737">
        <w:t>floodplain</w:t>
      </w:r>
      <w:r w:rsidR="00BA4AD5">
        <w:t>s</w:t>
      </w:r>
      <w:r w:rsidR="00351737">
        <w:t xml:space="preserve"> (e.g. </w:t>
      </w:r>
      <w:r>
        <w:t>Chowilla Floodplain</w:t>
      </w:r>
      <w:r w:rsidR="00351737">
        <w:t>)</w:t>
      </w:r>
      <w:r>
        <w:t xml:space="preserve">, </w:t>
      </w:r>
      <w:r w:rsidR="00F249BD">
        <w:t xml:space="preserve">which are deemed </w:t>
      </w:r>
      <w:r w:rsidR="0010065B">
        <w:t>important</w:t>
      </w:r>
      <w:r w:rsidR="00F249BD">
        <w:t xml:space="preserve"> to the food webs of rivers. </w:t>
      </w:r>
      <w:r>
        <w:t xml:space="preserve"> </w:t>
      </w:r>
    </w:p>
    <w:p w14:paraId="774859D6" w14:textId="099B01BA" w:rsidR="00656FE7" w:rsidRPr="008348FF" w:rsidRDefault="00656FE7" w:rsidP="004226C9">
      <w:pPr>
        <w:pStyle w:val="ListParagraph"/>
        <w:numPr>
          <w:ilvl w:val="0"/>
          <w:numId w:val="15"/>
        </w:numPr>
        <w:contextualSpacing/>
        <w:rPr>
          <w:rFonts w:cs="Arial"/>
          <w:szCs w:val="22"/>
        </w:rPr>
      </w:pPr>
      <w:r>
        <w:rPr>
          <w:szCs w:val="22"/>
        </w:rPr>
        <w:t>I</w:t>
      </w:r>
      <w:r w:rsidRPr="008348FF">
        <w:rPr>
          <w:szCs w:val="22"/>
        </w:rPr>
        <w:t xml:space="preserve">ncreased microinvertebrate diversity and abundance, </w:t>
      </w:r>
      <w:r w:rsidRPr="008348FF">
        <w:rPr>
          <w:rFonts w:cs="Arial"/>
          <w:szCs w:val="22"/>
        </w:rPr>
        <w:t xml:space="preserve">likely triggered by </w:t>
      </w:r>
      <w:r>
        <w:rPr>
          <w:rFonts w:cs="Arial"/>
          <w:szCs w:val="22"/>
        </w:rPr>
        <w:t>the return flows from Chowilla F</w:t>
      </w:r>
      <w:r w:rsidRPr="008348FF">
        <w:rPr>
          <w:rFonts w:cs="Arial"/>
          <w:szCs w:val="22"/>
        </w:rPr>
        <w:t xml:space="preserve">loodplain. </w:t>
      </w:r>
    </w:p>
    <w:p w14:paraId="2DAB5DF4" w14:textId="07EB1B1F" w:rsidR="00656FE7" w:rsidRPr="00274DC7" w:rsidRDefault="00656FE7" w:rsidP="004226C9">
      <w:pPr>
        <w:pStyle w:val="PlainText"/>
        <w:numPr>
          <w:ilvl w:val="0"/>
          <w:numId w:val="15"/>
        </w:numPr>
        <w:contextualSpacing/>
        <w:rPr>
          <w:color w:val="auto"/>
          <w:sz w:val="22"/>
          <w:szCs w:val="22"/>
        </w:rPr>
      </w:pPr>
      <w:r w:rsidRPr="00274DC7">
        <w:rPr>
          <w:rFonts w:ascii="Century Gothic" w:hAnsi="Century Gothic"/>
          <w:color w:val="auto"/>
          <w:sz w:val="22"/>
          <w:szCs w:val="22"/>
        </w:rPr>
        <w:t xml:space="preserve">Reduced salinity </w:t>
      </w:r>
      <w:r w:rsidR="00CE7516" w:rsidRPr="00274DC7">
        <w:rPr>
          <w:rFonts w:ascii="Century Gothic" w:hAnsi="Century Gothic"/>
          <w:color w:val="auto"/>
          <w:sz w:val="22"/>
          <w:szCs w:val="22"/>
        </w:rPr>
        <w:t xml:space="preserve">concentrations in the </w:t>
      </w:r>
      <w:r w:rsidR="00CE7516">
        <w:rPr>
          <w:rFonts w:ascii="Century Gothic" w:hAnsi="Century Gothic"/>
          <w:color w:val="auto"/>
          <w:sz w:val="22"/>
          <w:szCs w:val="22"/>
        </w:rPr>
        <w:t>Murray River Channel, Lower Lakes and</w:t>
      </w:r>
      <w:r w:rsidR="00A631AE">
        <w:rPr>
          <w:rFonts w:ascii="Century Gothic" w:hAnsi="Century Gothic"/>
          <w:color w:val="auto"/>
          <w:sz w:val="22"/>
          <w:szCs w:val="22"/>
        </w:rPr>
        <w:t>, in particular,</w:t>
      </w:r>
      <w:r w:rsidR="00CE7516">
        <w:rPr>
          <w:rFonts w:ascii="Century Gothic" w:hAnsi="Century Gothic"/>
          <w:color w:val="auto"/>
          <w:sz w:val="22"/>
          <w:szCs w:val="22"/>
        </w:rPr>
        <w:t xml:space="preserve"> the </w:t>
      </w:r>
      <w:r w:rsidR="00CE7516" w:rsidRPr="00274DC7">
        <w:rPr>
          <w:rFonts w:ascii="Century Gothic" w:hAnsi="Century Gothic"/>
          <w:color w:val="auto"/>
          <w:sz w:val="22"/>
          <w:szCs w:val="22"/>
        </w:rPr>
        <w:t>Murray Mouth</w:t>
      </w:r>
      <w:r w:rsidR="00CE7516">
        <w:rPr>
          <w:rFonts w:ascii="Century Gothic" w:hAnsi="Century Gothic"/>
          <w:color w:val="auto"/>
          <w:sz w:val="22"/>
          <w:szCs w:val="22"/>
        </w:rPr>
        <w:t>; i</w:t>
      </w:r>
      <w:r w:rsidR="00CE7516" w:rsidRPr="00274DC7">
        <w:rPr>
          <w:rFonts w:ascii="Century Gothic" w:hAnsi="Century Gothic"/>
          <w:color w:val="auto"/>
          <w:sz w:val="22"/>
          <w:szCs w:val="22"/>
        </w:rPr>
        <w:t xml:space="preserve">ncreased </w:t>
      </w:r>
      <w:r w:rsidR="00CE7516">
        <w:rPr>
          <w:rFonts w:ascii="Century Gothic" w:hAnsi="Century Gothic"/>
          <w:color w:val="auto"/>
          <w:sz w:val="22"/>
          <w:szCs w:val="22"/>
        </w:rPr>
        <w:t xml:space="preserve">salt </w:t>
      </w:r>
      <w:r w:rsidR="00CE7516" w:rsidRPr="00274DC7">
        <w:rPr>
          <w:rFonts w:ascii="Century Gothic" w:hAnsi="Century Gothic"/>
          <w:color w:val="auto"/>
          <w:sz w:val="22"/>
          <w:szCs w:val="22"/>
        </w:rPr>
        <w:t xml:space="preserve">export </w:t>
      </w:r>
      <w:r w:rsidR="00CE7516">
        <w:rPr>
          <w:rFonts w:ascii="Century Gothic" w:hAnsi="Century Gothic"/>
          <w:color w:val="auto"/>
          <w:sz w:val="22"/>
          <w:szCs w:val="22"/>
        </w:rPr>
        <w:t xml:space="preserve">from the Murray River Channel and Lower Lakes; </w:t>
      </w:r>
      <w:r w:rsidR="00CE7516" w:rsidRPr="00274DC7">
        <w:rPr>
          <w:rFonts w:ascii="Century Gothic" w:hAnsi="Century Gothic"/>
          <w:color w:val="auto"/>
          <w:sz w:val="22"/>
          <w:szCs w:val="22"/>
        </w:rPr>
        <w:t xml:space="preserve">and reduced </w:t>
      </w:r>
      <w:r w:rsidR="00CE7516">
        <w:rPr>
          <w:rFonts w:ascii="Century Gothic" w:hAnsi="Century Gothic"/>
          <w:color w:val="auto"/>
          <w:sz w:val="22"/>
          <w:szCs w:val="22"/>
        </w:rPr>
        <w:t xml:space="preserve">salt </w:t>
      </w:r>
      <w:r w:rsidR="00CE7516" w:rsidRPr="00274DC7">
        <w:rPr>
          <w:rFonts w:ascii="Century Gothic" w:hAnsi="Century Gothic"/>
          <w:color w:val="auto"/>
          <w:sz w:val="22"/>
          <w:szCs w:val="22"/>
        </w:rPr>
        <w:t xml:space="preserve">import </w:t>
      </w:r>
      <w:r w:rsidR="00CE7516">
        <w:rPr>
          <w:rFonts w:ascii="Century Gothic" w:hAnsi="Century Gothic"/>
          <w:color w:val="auto"/>
          <w:sz w:val="22"/>
          <w:szCs w:val="22"/>
        </w:rPr>
        <w:t xml:space="preserve">into to </w:t>
      </w:r>
      <w:r>
        <w:rPr>
          <w:rFonts w:ascii="Century Gothic" w:hAnsi="Century Gothic"/>
          <w:color w:val="auto"/>
          <w:sz w:val="22"/>
          <w:szCs w:val="22"/>
        </w:rPr>
        <w:t>the Coorong.</w:t>
      </w:r>
    </w:p>
    <w:p w14:paraId="09BAD647" w14:textId="0B6594B2" w:rsidR="00B61401" w:rsidRDefault="00656FE7" w:rsidP="0037640B">
      <w:pPr>
        <w:rPr>
          <w:rStyle w:val="CharChar7"/>
          <w:rFonts w:ascii="Century Gothic" w:hAnsi="Century Gothic" w:cs="Times New Roman"/>
          <w:color w:val="000000"/>
          <w:spacing w:val="0"/>
          <w:sz w:val="22"/>
          <w:szCs w:val="20"/>
        </w:rPr>
      </w:pPr>
      <w:r>
        <w:rPr>
          <w:rFonts w:cs="Arial"/>
          <w:szCs w:val="22"/>
        </w:rPr>
        <w:t>However, t</w:t>
      </w:r>
      <w:r w:rsidRPr="008C30C7">
        <w:rPr>
          <w:rFonts w:cs="Arial"/>
          <w:szCs w:val="22"/>
        </w:rPr>
        <w:t>here was limited golden perch spawning</w:t>
      </w:r>
      <w:r w:rsidR="0037640B">
        <w:rPr>
          <w:rFonts w:cs="Arial"/>
          <w:szCs w:val="22"/>
        </w:rPr>
        <w:t xml:space="preserve"> and recruitment</w:t>
      </w:r>
      <w:r w:rsidRPr="008C30C7">
        <w:rPr>
          <w:rFonts w:cs="Arial"/>
          <w:szCs w:val="22"/>
        </w:rPr>
        <w:t xml:space="preserve"> </w:t>
      </w:r>
      <w:r w:rsidR="0037640B">
        <w:rPr>
          <w:rFonts w:cs="Arial"/>
          <w:szCs w:val="22"/>
        </w:rPr>
        <w:t xml:space="preserve">in </w:t>
      </w:r>
      <w:r w:rsidRPr="008C30C7">
        <w:rPr>
          <w:rFonts w:cs="Arial"/>
          <w:szCs w:val="22"/>
        </w:rPr>
        <w:t>2014/15</w:t>
      </w:r>
      <w:r w:rsidR="0037640B">
        <w:rPr>
          <w:rFonts w:cs="Arial"/>
          <w:szCs w:val="22"/>
        </w:rPr>
        <w:t xml:space="preserve"> due to the absence of favourable hydrological characteristics, such as spring–summer in-channel flow variability or overbank flows</w:t>
      </w:r>
      <w:r w:rsidRPr="008C30C7">
        <w:rPr>
          <w:rFonts w:cs="Arial"/>
          <w:szCs w:val="22"/>
        </w:rPr>
        <w:t xml:space="preserve">. </w:t>
      </w:r>
      <w:r w:rsidR="00B900C4">
        <w:rPr>
          <w:rFonts w:cs="Arial"/>
          <w:szCs w:val="22"/>
        </w:rPr>
        <w:t>More detail</w:t>
      </w:r>
      <w:r w:rsidR="00116508">
        <w:rPr>
          <w:rFonts w:cs="Arial"/>
          <w:szCs w:val="22"/>
        </w:rPr>
        <w:t xml:space="preserve"> on the</w:t>
      </w:r>
      <w:r w:rsidR="00CC39CD">
        <w:rPr>
          <w:rFonts w:cs="Arial"/>
          <w:szCs w:val="22"/>
        </w:rPr>
        <w:t xml:space="preserve"> outcomes of the 2014/15 monitoring is</w:t>
      </w:r>
      <w:r w:rsidR="00B900C4">
        <w:rPr>
          <w:rFonts w:cs="Arial"/>
          <w:szCs w:val="22"/>
        </w:rPr>
        <w:t xml:space="preserve"> </w:t>
      </w:r>
      <w:r w:rsidR="00116508">
        <w:rPr>
          <w:rFonts w:cs="Arial"/>
          <w:szCs w:val="22"/>
        </w:rPr>
        <w:t>available</w:t>
      </w:r>
      <w:r w:rsidR="00B900C4">
        <w:rPr>
          <w:rFonts w:cs="Arial"/>
          <w:szCs w:val="22"/>
        </w:rPr>
        <w:t xml:space="preserve"> in last year’s annual evaluation report for the LMR Selected Area (Ye </w:t>
      </w:r>
      <w:r w:rsidR="00B900C4" w:rsidRPr="00B900C4">
        <w:rPr>
          <w:rFonts w:cs="Arial"/>
          <w:i/>
          <w:szCs w:val="22"/>
        </w:rPr>
        <w:t>et al.</w:t>
      </w:r>
      <w:r w:rsidR="00B900C4">
        <w:rPr>
          <w:rFonts w:cs="Arial"/>
          <w:szCs w:val="22"/>
        </w:rPr>
        <w:t xml:space="preserve"> 2016</w:t>
      </w:r>
      <w:r w:rsidR="007D5C95">
        <w:rPr>
          <w:rFonts w:cs="Arial"/>
          <w:szCs w:val="22"/>
        </w:rPr>
        <w:t>a</w:t>
      </w:r>
      <w:r w:rsidR="00B900C4">
        <w:rPr>
          <w:rFonts w:cs="Arial"/>
          <w:szCs w:val="22"/>
        </w:rPr>
        <w:t>).</w:t>
      </w:r>
    </w:p>
    <w:p w14:paraId="5FBB22FB" w14:textId="1901EA71" w:rsidR="00B61401" w:rsidRPr="00E87EFC" w:rsidRDefault="000E71B0" w:rsidP="00E87EFC">
      <w:pPr>
        <w:pStyle w:val="Heading2"/>
        <w:rPr>
          <w:rStyle w:val="CharChar7"/>
          <w:rFonts w:ascii="Century Gothic" w:hAnsi="Century Gothic" w:cstheme="majorBidi"/>
          <w:color w:val="1F497D" w:themeColor="text2"/>
          <w:spacing w:val="0"/>
          <w:sz w:val="26"/>
          <w:szCs w:val="26"/>
        </w:rPr>
      </w:pPr>
      <w:bookmarkStart w:id="59" w:name="_Toc474147052"/>
      <w:r w:rsidRPr="00E87EFC">
        <w:rPr>
          <w:rStyle w:val="CharChar7"/>
          <w:rFonts w:ascii="Century Gothic" w:hAnsi="Century Gothic" w:cstheme="majorBidi"/>
          <w:color w:val="1F497D" w:themeColor="text2"/>
          <w:spacing w:val="0"/>
          <w:sz w:val="26"/>
          <w:szCs w:val="26"/>
        </w:rPr>
        <w:lastRenderedPageBreak/>
        <w:t>Purpose</w:t>
      </w:r>
      <w:r w:rsidR="00B61401" w:rsidRPr="00E87EFC">
        <w:rPr>
          <w:rStyle w:val="CharChar7"/>
          <w:rFonts w:ascii="Century Gothic" w:hAnsi="Century Gothic" w:cstheme="majorBidi"/>
          <w:color w:val="1F497D" w:themeColor="text2"/>
          <w:spacing w:val="0"/>
          <w:sz w:val="26"/>
          <w:szCs w:val="26"/>
        </w:rPr>
        <w:t xml:space="preserve"> of </w:t>
      </w:r>
      <w:r w:rsidR="00D7222B" w:rsidRPr="00E87EFC">
        <w:rPr>
          <w:rStyle w:val="CharChar7"/>
          <w:rFonts w:ascii="Century Gothic" w:hAnsi="Century Gothic" w:cstheme="majorBidi"/>
          <w:color w:val="1F497D" w:themeColor="text2"/>
          <w:spacing w:val="0"/>
          <w:sz w:val="26"/>
          <w:szCs w:val="26"/>
        </w:rPr>
        <w:t xml:space="preserve">the </w:t>
      </w:r>
      <w:r w:rsidR="00B900C4" w:rsidRPr="00E87EFC">
        <w:rPr>
          <w:rStyle w:val="CharChar7"/>
          <w:rFonts w:ascii="Century Gothic" w:hAnsi="Century Gothic" w:cstheme="majorBidi"/>
          <w:color w:val="1F497D" w:themeColor="text2"/>
          <w:spacing w:val="0"/>
          <w:sz w:val="26"/>
          <w:szCs w:val="26"/>
        </w:rPr>
        <w:t xml:space="preserve">CEWO </w:t>
      </w:r>
      <w:r w:rsidRPr="00E87EFC">
        <w:rPr>
          <w:rStyle w:val="CharChar7"/>
          <w:rFonts w:ascii="Century Gothic" w:hAnsi="Century Gothic" w:cstheme="majorBidi"/>
          <w:color w:val="1F497D" w:themeColor="text2"/>
          <w:spacing w:val="0"/>
          <w:sz w:val="26"/>
          <w:szCs w:val="26"/>
        </w:rPr>
        <w:t xml:space="preserve">LTIM </w:t>
      </w:r>
      <w:r w:rsidR="00B61401" w:rsidRPr="00E87EFC">
        <w:rPr>
          <w:rStyle w:val="CharChar7"/>
          <w:rFonts w:ascii="Century Gothic" w:hAnsi="Century Gothic" w:cstheme="majorBidi"/>
          <w:color w:val="1F497D" w:themeColor="text2"/>
          <w:spacing w:val="0"/>
          <w:sz w:val="26"/>
          <w:szCs w:val="26"/>
        </w:rPr>
        <w:t>report for Year 2 (2015/16)</w:t>
      </w:r>
      <w:bookmarkEnd w:id="59"/>
    </w:p>
    <w:p w14:paraId="5ADF72B5" w14:textId="7CB325D9" w:rsidR="006B75F1" w:rsidRPr="00C757C7" w:rsidRDefault="00801B54" w:rsidP="009B5D9E">
      <w:r w:rsidRPr="00F03EDB">
        <w:rPr>
          <w:rStyle w:val="CharChar7"/>
          <w:rFonts w:ascii="Century Gothic" w:hAnsi="Century Gothic" w:cs="Times New Roman"/>
          <w:color w:val="000000"/>
          <w:spacing w:val="0"/>
          <w:sz w:val="22"/>
          <w:szCs w:val="20"/>
        </w:rPr>
        <w:t xml:space="preserve">This synthesis report presents a summary of the </w:t>
      </w:r>
      <w:r w:rsidR="006260BC">
        <w:rPr>
          <w:rStyle w:val="CharChar7"/>
          <w:rFonts w:ascii="Century Gothic" w:hAnsi="Century Gothic" w:cs="Times New Roman"/>
          <w:color w:val="000000"/>
          <w:spacing w:val="0"/>
          <w:sz w:val="22"/>
          <w:szCs w:val="20"/>
        </w:rPr>
        <w:t xml:space="preserve">second year’s (2015/16) </w:t>
      </w:r>
      <w:r w:rsidRPr="00F03EDB">
        <w:rPr>
          <w:rStyle w:val="CharChar7"/>
          <w:rFonts w:ascii="Century Gothic" w:hAnsi="Century Gothic" w:cs="Times New Roman"/>
          <w:color w:val="000000"/>
          <w:spacing w:val="0"/>
          <w:sz w:val="22"/>
          <w:szCs w:val="20"/>
        </w:rPr>
        <w:t>key findings of indicator</w:t>
      </w:r>
      <w:r w:rsidR="005A6129">
        <w:rPr>
          <w:rStyle w:val="CharChar7"/>
          <w:rFonts w:ascii="Century Gothic" w:hAnsi="Century Gothic" w:cs="Times New Roman"/>
          <w:color w:val="000000"/>
          <w:spacing w:val="0"/>
          <w:sz w:val="22"/>
          <w:szCs w:val="20"/>
        </w:rPr>
        <w:t>s</w:t>
      </w:r>
      <w:r w:rsidRPr="00F03EDB">
        <w:rPr>
          <w:rStyle w:val="CharChar7"/>
          <w:rFonts w:ascii="Century Gothic" w:hAnsi="Century Gothic" w:cs="Times New Roman"/>
          <w:color w:val="000000"/>
          <w:spacing w:val="0"/>
          <w:sz w:val="22"/>
          <w:szCs w:val="20"/>
        </w:rPr>
        <w:t xml:space="preserve"> for the </w:t>
      </w:r>
      <w:r>
        <w:rPr>
          <w:rStyle w:val="CharChar7"/>
          <w:rFonts w:ascii="Century Gothic" w:hAnsi="Century Gothic" w:cs="Times New Roman"/>
          <w:color w:val="000000"/>
          <w:spacing w:val="0"/>
          <w:sz w:val="22"/>
          <w:szCs w:val="20"/>
        </w:rPr>
        <w:t>LMR</w:t>
      </w:r>
      <w:r w:rsidRPr="00F03EDB">
        <w:rPr>
          <w:rStyle w:val="CharChar7"/>
          <w:rFonts w:ascii="Century Gothic" w:hAnsi="Century Gothic" w:cs="Times New Roman"/>
          <w:color w:val="000000"/>
          <w:spacing w:val="0"/>
          <w:sz w:val="22"/>
          <w:szCs w:val="20"/>
        </w:rPr>
        <w:t xml:space="preserve"> Selected Area</w:t>
      </w:r>
      <w:r>
        <w:rPr>
          <w:rStyle w:val="CharChar7"/>
          <w:rFonts w:ascii="Century Gothic" w:hAnsi="Century Gothic" w:cs="Times New Roman"/>
          <w:color w:val="000000"/>
          <w:spacing w:val="0"/>
          <w:sz w:val="22"/>
          <w:szCs w:val="20"/>
        </w:rPr>
        <w:t xml:space="preserve"> (Section </w:t>
      </w:r>
      <w:r w:rsidR="00394AA8">
        <w:rPr>
          <w:rStyle w:val="CharChar7"/>
          <w:rFonts w:ascii="Century Gothic" w:hAnsi="Century Gothic" w:cs="Times New Roman"/>
          <w:color w:val="000000"/>
          <w:spacing w:val="0"/>
          <w:sz w:val="22"/>
          <w:szCs w:val="20"/>
        </w:rPr>
        <w:fldChar w:fldCharType="begin"/>
      </w:r>
      <w:r>
        <w:rPr>
          <w:rStyle w:val="CharChar7"/>
          <w:rFonts w:ascii="Century Gothic" w:hAnsi="Century Gothic" w:cs="Times New Roman"/>
          <w:color w:val="000000"/>
          <w:spacing w:val="0"/>
          <w:sz w:val="22"/>
          <w:szCs w:val="20"/>
        </w:rPr>
        <w:instrText xml:space="preserve"> REF _Ref434406120 \r \h </w:instrText>
      </w:r>
      <w:r w:rsidR="00394AA8">
        <w:rPr>
          <w:rStyle w:val="CharChar7"/>
          <w:rFonts w:ascii="Century Gothic" w:hAnsi="Century Gothic" w:cs="Times New Roman"/>
          <w:color w:val="000000"/>
          <w:spacing w:val="0"/>
          <w:sz w:val="22"/>
          <w:szCs w:val="20"/>
        </w:rPr>
      </w:r>
      <w:r w:rsidR="00394AA8">
        <w:rPr>
          <w:rStyle w:val="CharChar7"/>
          <w:rFonts w:ascii="Century Gothic" w:hAnsi="Century Gothic" w:cs="Times New Roman"/>
          <w:color w:val="000000"/>
          <w:spacing w:val="0"/>
          <w:sz w:val="22"/>
          <w:szCs w:val="20"/>
        </w:rPr>
        <w:fldChar w:fldCharType="separate"/>
      </w:r>
      <w:r w:rsidR="004260C4">
        <w:rPr>
          <w:rStyle w:val="CharChar7"/>
          <w:rFonts w:ascii="Century Gothic" w:hAnsi="Century Gothic" w:cs="Times New Roman"/>
          <w:color w:val="000000"/>
          <w:spacing w:val="0"/>
          <w:sz w:val="22"/>
          <w:szCs w:val="20"/>
        </w:rPr>
        <w:t>2</w:t>
      </w:r>
      <w:r w:rsidR="00394AA8">
        <w:rPr>
          <w:rStyle w:val="CharChar7"/>
          <w:rFonts w:ascii="Century Gothic" w:hAnsi="Century Gothic" w:cs="Times New Roman"/>
          <w:color w:val="000000"/>
          <w:spacing w:val="0"/>
          <w:sz w:val="22"/>
          <w:szCs w:val="20"/>
        </w:rPr>
        <w:fldChar w:fldCharType="end"/>
      </w:r>
      <w:r>
        <w:rPr>
          <w:rStyle w:val="CharChar7"/>
          <w:rFonts w:ascii="Century Gothic" w:hAnsi="Century Gothic" w:cs="Times New Roman"/>
          <w:color w:val="000000"/>
          <w:spacing w:val="0"/>
          <w:sz w:val="22"/>
          <w:szCs w:val="20"/>
        </w:rPr>
        <w:t xml:space="preserve">), </w:t>
      </w:r>
      <w:r w:rsidR="00911BAD">
        <w:rPr>
          <w:rStyle w:val="CharChar7"/>
          <w:rFonts w:ascii="Century Gothic" w:hAnsi="Century Gothic" w:cs="Times New Roman"/>
          <w:color w:val="000000"/>
          <w:spacing w:val="0"/>
          <w:sz w:val="22"/>
          <w:szCs w:val="20"/>
        </w:rPr>
        <w:t xml:space="preserve">and answers </w:t>
      </w:r>
      <w:r>
        <w:rPr>
          <w:rStyle w:val="CharChar7"/>
          <w:rFonts w:ascii="Century Gothic" w:hAnsi="Century Gothic" w:cs="Times New Roman"/>
          <w:color w:val="000000"/>
          <w:spacing w:val="0"/>
          <w:sz w:val="22"/>
          <w:szCs w:val="20"/>
        </w:rPr>
        <w:t>CEWO short-term (one</w:t>
      </w:r>
      <w:r w:rsidR="00400B8E">
        <w:rPr>
          <w:rStyle w:val="CharChar7"/>
          <w:rFonts w:ascii="Century Gothic" w:hAnsi="Century Gothic" w:cs="Times New Roman"/>
          <w:color w:val="000000"/>
          <w:spacing w:val="0"/>
          <w:sz w:val="22"/>
          <w:szCs w:val="20"/>
        </w:rPr>
        <w:t>-</w:t>
      </w:r>
      <w:r>
        <w:rPr>
          <w:rStyle w:val="CharChar7"/>
          <w:rFonts w:ascii="Century Gothic" w:hAnsi="Century Gothic" w:cs="Times New Roman"/>
          <w:color w:val="000000"/>
          <w:spacing w:val="0"/>
          <w:sz w:val="22"/>
          <w:szCs w:val="20"/>
        </w:rPr>
        <w:t xml:space="preserve">year) evaluation questions (Section </w:t>
      </w:r>
      <w:r w:rsidR="00394AA8">
        <w:rPr>
          <w:rStyle w:val="CharChar7"/>
          <w:rFonts w:ascii="Century Gothic" w:hAnsi="Century Gothic" w:cs="Times New Roman"/>
          <w:color w:val="000000"/>
          <w:spacing w:val="0"/>
          <w:sz w:val="22"/>
          <w:szCs w:val="20"/>
        </w:rPr>
        <w:fldChar w:fldCharType="begin"/>
      </w:r>
      <w:r>
        <w:rPr>
          <w:rStyle w:val="CharChar7"/>
          <w:rFonts w:ascii="Century Gothic" w:hAnsi="Century Gothic" w:cs="Times New Roman"/>
          <w:color w:val="000000"/>
          <w:spacing w:val="0"/>
          <w:sz w:val="22"/>
          <w:szCs w:val="20"/>
        </w:rPr>
        <w:instrText xml:space="preserve"> REF _Ref432499914 \r \h </w:instrText>
      </w:r>
      <w:r w:rsidR="00394AA8">
        <w:rPr>
          <w:rStyle w:val="CharChar7"/>
          <w:rFonts w:ascii="Century Gothic" w:hAnsi="Century Gothic" w:cs="Times New Roman"/>
          <w:color w:val="000000"/>
          <w:spacing w:val="0"/>
          <w:sz w:val="22"/>
          <w:szCs w:val="20"/>
        </w:rPr>
      </w:r>
      <w:r w:rsidR="00394AA8">
        <w:rPr>
          <w:rStyle w:val="CharChar7"/>
          <w:rFonts w:ascii="Century Gothic" w:hAnsi="Century Gothic" w:cs="Times New Roman"/>
          <w:color w:val="000000"/>
          <w:spacing w:val="0"/>
          <w:sz w:val="22"/>
          <w:szCs w:val="20"/>
        </w:rPr>
        <w:fldChar w:fldCharType="separate"/>
      </w:r>
      <w:r w:rsidR="004260C4">
        <w:rPr>
          <w:rStyle w:val="CharChar7"/>
          <w:rFonts w:ascii="Century Gothic" w:hAnsi="Century Gothic" w:cs="Times New Roman"/>
          <w:color w:val="000000"/>
          <w:spacing w:val="0"/>
          <w:sz w:val="22"/>
          <w:szCs w:val="20"/>
        </w:rPr>
        <w:t>3</w:t>
      </w:r>
      <w:r w:rsidR="00394AA8">
        <w:rPr>
          <w:rStyle w:val="CharChar7"/>
          <w:rFonts w:ascii="Century Gothic" w:hAnsi="Century Gothic" w:cs="Times New Roman"/>
          <w:color w:val="000000"/>
          <w:spacing w:val="0"/>
          <w:sz w:val="22"/>
          <w:szCs w:val="20"/>
        </w:rPr>
        <w:fldChar w:fldCharType="end"/>
      </w:r>
      <w:r>
        <w:rPr>
          <w:rStyle w:val="CharChar7"/>
          <w:rFonts w:ascii="Century Gothic" w:hAnsi="Century Gothic" w:cs="Times New Roman"/>
          <w:color w:val="000000"/>
          <w:spacing w:val="0"/>
          <w:sz w:val="22"/>
          <w:szCs w:val="20"/>
        </w:rPr>
        <w:t xml:space="preserve">). </w:t>
      </w:r>
      <w:r w:rsidR="00FC65A9">
        <w:rPr>
          <w:rStyle w:val="CharChar7"/>
          <w:rFonts w:ascii="Century Gothic" w:hAnsi="Century Gothic" w:cs="Times New Roman"/>
          <w:color w:val="000000"/>
          <w:spacing w:val="0"/>
          <w:sz w:val="22"/>
          <w:szCs w:val="20"/>
        </w:rPr>
        <w:t>The Department of Water and Natural Resources (</w:t>
      </w:r>
      <w:r w:rsidR="00EC2438" w:rsidRPr="00EC2438">
        <w:rPr>
          <w:rStyle w:val="CharChar7"/>
          <w:rFonts w:ascii="Century Gothic" w:hAnsi="Century Gothic" w:cs="Times New Roman"/>
          <w:color w:val="000000"/>
          <w:spacing w:val="0"/>
          <w:sz w:val="22"/>
          <w:szCs w:val="20"/>
        </w:rPr>
        <w:t>DEWNR</w:t>
      </w:r>
      <w:r w:rsidR="00FC65A9">
        <w:rPr>
          <w:rStyle w:val="CharChar7"/>
          <w:rFonts w:ascii="Century Gothic" w:hAnsi="Century Gothic" w:cs="Times New Roman"/>
          <w:color w:val="000000"/>
          <w:spacing w:val="0"/>
          <w:sz w:val="22"/>
          <w:szCs w:val="20"/>
        </w:rPr>
        <w:t>)</w:t>
      </w:r>
      <w:r w:rsidR="00EC2438" w:rsidRPr="00EC2438">
        <w:rPr>
          <w:rStyle w:val="CharChar7"/>
          <w:rFonts w:ascii="Century Gothic" w:hAnsi="Century Gothic" w:cs="Times New Roman"/>
          <w:color w:val="000000"/>
          <w:spacing w:val="0"/>
          <w:sz w:val="22"/>
          <w:szCs w:val="20"/>
        </w:rPr>
        <w:t xml:space="preserve"> </w:t>
      </w:r>
      <w:r w:rsidR="00EC2438">
        <w:rPr>
          <w:rStyle w:val="CharChar7"/>
          <w:rFonts w:ascii="Century Gothic" w:hAnsi="Century Gothic" w:cs="Times New Roman"/>
          <w:color w:val="000000"/>
          <w:spacing w:val="0"/>
          <w:sz w:val="22"/>
          <w:szCs w:val="20"/>
        </w:rPr>
        <w:t xml:space="preserve">short-term </w:t>
      </w:r>
      <w:r w:rsidR="00EC2438" w:rsidRPr="00EC2438">
        <w:rPr>
          <w:rStyle w:val="CharChar7"/>
          <w:rFonts w:ascii="Century Gothic" w:hAnsi="Century Gothic" w:cs="Times New Roman"/>
          <w:color w:val="000000"/>
          <w:spacing w:val="0"/>
          <w:sz w:val="22"/>
          <w:szCs w:val="20"/>
        </w:rPr>
        <w:t>evaluation questions, which</w:t>
      </w:r>
      <w:r w:rsidR="00A631AE">
        <w:rPr>
          <w:rStyle w:val="CharChar7"/>
          <w:rFonts w:ascii="Century Gothic" w:hAnsi="Century Gothic" w:cs="Times New Roman"/>
          <w:color w:val="000000"/>
          <w:spacing w:val="0"/>
          <w:sz w:val="22"/>
          <w:szCs w:val="20"/>
        </w:rPr>
        <w:t xml:space="preserve"> serve as additional questions </w:t>
      </w:r>
      <w:r w:rsidR="00911BAD">
        <w:rPr>
          <w:rStyle w:val="CharChar7"/>
          <w:rFonts w:ascii="Century Gothic" w:hAnsi="Century Gothic" w:cs="Times New Roman"/>
          <w:color w:val="000000"/>
          <w:spacing w:val="0"/>
          <w:sz w:val="22"/>
          <w:szCs w:val="20"/>
        </w:rPr>
        <w:t xml:space="preserve">for the LMR </w:t>
      </w:r>
      <w:r w:rsidR="00A631AE">
        <w:rPr>
          <w:rStyle w:val="CharChar7"/>
          <w:rFonts w:ascii="Century Gothic" w:hAnsi="Century Gothic" w:cs="Times New Roman"/>
          <w:color w:val="000000"/>
          <w:spacing w:val="0"/>
          <w:sz w:val="22"/>
          <w:szCs w:val="20"/>
        </w:rPr>
        <w:t>and</w:t>
      </w:r>
      <w:r w:rsidR="00EC2438" w:rsidRPr="00EC2438">
        <w:rPr>
          <w:rStyle w:val="CharChar7"/>
          <w:rFonts w:ascii="Century Gothic" w:hAnsi="Century Gothic" w:cs="Times New Roman"/>
          <w:color w:val="000000"/>
          <w:spacing w:val="0"/>
          <w:sz w:val="22"/>
          <w:szCs w:val="20"/>
        </w:rPr>
        <w:t xml:space="preserve"> relate to ecological targets of the </w:t>
      </w:r>
      <w:r w:rsidR="001E5FAE">
        <w:rPr>
          <w:rStyle w:val="CharChar7"/>
          <w:rFonts w:ascii="Century Gothic" w:hAnsi="Century Gothic" w:cs="Times New Roman"/>
          <w:color w:val="000000"/>
          <w:spacing w:val="0"/>
          <w:sz w:val="22"/>
          <w:szCs w:val="20"/>
        </w:rPr>
        <w:t>South Australian</w:t>
      </w:r>
      <w:r w:rsidR="001E5FAE" w:rsidRPr="00EC2438">
        <w:rPr>
          <w:rStyle w:val="CharChar7"/>
          <w:rFonts w:ascii="Century Gothic" w:hAnsi="Century Gothic" w:cs="Times New Roman"/>
          <w:color w:val="000000"/>
          <w:spacing w:val="0"/>
          <w:sz w:val="22"/>
          <w:szCs w:val="20"/>
        </w:rPr>
        <w:t xml:space="preserve"> </w:t>
      </w:r>
      <w:r w:rsidR="00EC2438" w:rsidRPr="00EC2438">
        <w:rPr>
          <w:rStyle w:val="CharChar7"/>
          <w:rFonts w:ascii="Century Gothic" w:hAnsi="Century Gothic" w:cs="Times New Roman"/>
          <w:color w:val="000000"/>
          <w:spacing w:val="0"/>
          <w:sz w:val="22"/>
          <w:szCs w:val="20"/>
        </w:rPr>
        <w:t>Murray</w:t>
      </w:r>
      <w:r w:rsidR="00D20187">
        <w:rPr>
          <w:rStyle w:val="CharChar7"/>
          <w:rFonts w:ascii="Century Gothic" w:hAnsi="Century Gothic" w:cs="Times New Roman"/>
          <w:color w:val="000000"/>
          <w:spacing w:val="0"/>
          <w:sz w:val="22"/>
          <w:szCs w:val="20"/>
        </w:rPr>
        <w:t xml:space="preserve"> River</w:t>
      </w:r>
      <w:r w:rsidR="00EC2438" w:rsidRPr="00EC2438">
        <w:rPr>
          <w:rStyle w:val="CharChar7"/>
          <w:rFonts w:ascii="Century Gothic" w:hAnsi="Century Gothic" w:cs="Times New Roman"/>
          <w:color w:val="000000"/>
          <w:spacing w:val="0"/>
          <w:sz w:val="22"/>
          <w:szCs w:val="20"/>
        </w:rPr>
        <w:t xml:space="preserve"> Long-Term </w:t>
      </w:r>
      <w:r w:rsidR="00911BAD">
        <w:rPr>
          <w:rStyle w:val="CharChar7"/>
          <w:rFonts w:ascii="Century Gothic" w:hAnsi="Century Gothic" w:cs="Times New Roman"/>
          <w:color w:val="000000"/>
          <w:spacing w:val="0"/>
          <w:sz w:val="22"/>
          <w:szCs w:val="20"/>
        </w:rPr>
        <w:t xml:space="preserve">Environmental </w:t>
      </w:r>
      <w:r w:rsidR="00EC2438" w:rsidRPr="00EC2438">
        <w:rPr>
          <w:rStyle w:val="CharChar7"/>
          <w:rFonts w:ascii="Century Gothic" w:hAnsi="Century Gothic" w:cs="Times New Roman"/>
          <w:color w:val="000000"/>
          <w:spacing w:val="0"/>
          <w:sz w:val="22"/>
          <w:szCs w:val="20"/>
        </w:rPr>
        <w:t>Watering Plan (LTWP), are also discussed in this report</w:t>
      </w:r>
      <w:r w:rsidR="00153809">
        <w:rPr>
          <w:rStyle w:val="CharChar7"/>
          <w:rFonts w:ascii="Century Gothic" w:hAnsi="Century Gothic" w:cs="Times New Roman"/>
          <w:color w:val="000000"/>
          <w:spacing w:val="0"/>
          <w:sz w:val="22"/>
          <w:szCs w:val="20"/>
        </w:rPr>
        <w:t xml:space="preserve"> (Appendix I)</w:t>
      </w:r>
      <w:r w:rsidR="00EC2438">
        <w:rPr>
          <w:rStyle w:val="CharChar7"/>
          <w:rFonts w:ascii="Century Gothic" w:hAnsi="Century Gothic" w:cs="Times New Roman"/>
          <w:color w:val="000000"/>
          <w:spacing w:val="0"/>
          <w:sz w:val="22"/>
          <w:szCs w:val="20"/>
        </w:rPr>
        <w:t>.</w:t>
      </w:r>
      <w:r>
        <w:rPr>
          <w:rStyle w:val="CharChar7"/>
          <w:rFonts w:ascii="Century Gothic" w:hAnsi="Century Gothic" w:cs="Times New Roman"/>
          <w:color w:val="000000"/>
          <w:spacing w:val="0"/>
          <w:sz w:val="22"/>
          <w:szCs w:val="20"/>
        </w:rPr>
        <w:t xml:space="preserve"> </w:t>
      </w:r>
      <w:r w:rsidR="00EC2438">
        <w:rPr>
          <w:rStyle w:val="CharChar7"/>
          <w:rFonts w:ascii="Century Gothic" w:hAnsi="Century Gothic" w:cs="Times New Roman"/>
          <w:color w:val="000000"/>
          <w:spacing w:val="0"/>
          <w:sz w:val="22"/>
          <w:szCs w:val="20"/>
        </w:rPr>
        <w:t xml:space="preserve">Category </w:t>
      </w:r>
      <w:r>
        <w:rPr>
          <w:rStyle w:val="CharChar7"/>
          <w:rFonts w:ascii="Century Gothic" w:hAnsi="Century Gothic" w:cs="Times New Roman"/>
          <w:color w:val="000000"/>
          <w:spacing w:val="0"/>
          <w:sz w:val="22"/>
          <w:szCs w:val="20"/>
        </w:rPr>
        <w:t>1 Hydrology (channel) does</w:t>
      </w:r>
      <w:r w:rsidRPr="00793C6D">
        <w:rPr>
          <w:rStyle w:val="CharChar7"/>
          <w:rFonts w:ascii="Century Gothic" w:hAnsi="Century Gothic" w:cs="Times New Roman"/>
          <w:color w:val="000000"/>
          <w:spacing w:val="0"/>
          <w:sz w:val="22"/>
          <w:szCs w:val="20"/>
        </w:rPr>
        <w:t xml:space="preserve"> not directly address </w:t>
      </w:r>
      <w:r w:rsidR="00A631AE">
        <w:rPr>
          <w:rStyle w:val="CharChar7"/>
          <w:rFonts w:ascii="Century Gothic" w:hAnsi="Century Gothic" w:cs="Times New Roman"/>
          <w:color w:val="000000"/>
          <w:spacing w:val="0"/>
          <w:sz w:val="22"/>
          <w:szCs w:val="20"/>
        </w:rPr>
        <w:t xml:space="preserve">any </w:t>
      </w:r>
      <w:r w:rsidRPr="00793C6D">
        <w:rPr>
          <w:rStyle w:val="CharChar7"/>
          <w:rFonts w:ascii="Century Gothic" w:hAnsi="Century Gothic" w:cs="Times New Roman"/>
          <w:color w:val="000000"/>
          <w:spacing w:val="0"/>
          <w:sz w:val="22"/>
          <w:szCs w:val="20"/>
        </w:rPr>
        <w:t xml:space="preserve">specific </w:t>
      </w:r>
      <w:r w:rsidR="00A631AE">
        <w:rPr>
          <w:rStyle w:val="CharChar7"/>
          <w:rFonts w:ascii="Century Gothic" w:hAnsi="Century Gothic" w:cs="Times New Roman"/>
          <w:color w:val="000000"/>
          <w:spacing w:val="0"/>
          <w:sz w:val="22"/>
          <w:szCs w:val="20"/>
        </w:rPr>
        <w:t>CEWO evaluation question</w:t>
      </w:r>
      <w:r>
        <w:rPr>
          <w:rStyle w:val="CharChar7"/>
          <w:rFonts w:ascii="Century Gothic" w:hAnsi="Century Gothic" w:cs="Times New Roman"/>
          <w:color w:val="000000"/>
          <w:spacing w:val="0"/>
          <w:sz w:val="22"/>
          <w:szCs w:val="20"/>
        </w:rPr>
        <w:t>, but</w:t>
      </w:r>
      <w:r w:rsidRPr="00793C6D">
        <w:rPr>
          <w:rStyle w:val="CharChar7"/>
          <w:rFonts w:ascii="Century Gothic" w:hAnsi="Century Gothic" w:cs="Times New Roman"/>
          <w:color w:val="000000"/>
          <w:spacing w:val="0"/>
          <w:sz w:val="22"/>
          <w:szCs w:val="20"/>
        </w:rPr>
        <w:t xml:space="preserve"> </w:t>
      </w:r>
      <w:r>
        <w:rPr>
          <w:rStyle w:val="CharChar7"/>
          <w:rFonts w:ascii="Century Gothic" w:hAnsi="Century Gothic" w:cs="Times New Roman"/>
          <w:color w:val="000000"/>
          <w:spacing w:val="0"/>
          <w:sz w:val="22"/>
          <w:szCs w:val="20"/>
        </w:rPr>
        <w:t>provides</w:t>
      </w:r>
      <w:r w:rsidRPr="00793C6D">
        <w:rPr>
          <w:rStyle w:val="CharChar7"/>
          <w:rFonts w:ascii="Century Gothic" w:hAnsi="Century Gothic" w:cs="Times New Roman"/>
          <w:color w:val="000000"/>
          <w:spacing w:val="0"/>
          <w:sz w:val="22"/>
          <w:szCs w:val="20"/>
        </w:rPr>
        <w:t xml:space="preserve"> fundamental information for analysis and evaluation of monitoring outcomes against hydrological condi</w:t>
      </w:r>
      <w:r w:rsidR="00315997">
        <w:rPr>
          <w:rStyle w:val="CharChar7"/>
          <w:rFonts w:ascii="Century Gothic" w:hAnsi="Century Gothic" w:cs="Times New Roman"/>
          <w:color w:val="000000"/>
          <w:spacing w:val="0"/>
          <w:sz w:val="22"/>
          <w:szCs w:val="20"/>
        </w:rPr>
        <w:t>tions and environmental water delivery</w:t>
      </w:r>
      <w:r w:rsidRPr="00793C6D">
        <w:rPr>
          <w:rStyle w:val="CharChar7"/>
          <w:rFonts w:ascii="Century Gothic" w:hAnsi="Century Gothic" w:cs="Times New Roman"/>
          <w:color w:val="000000"/>
          <w:spacing w:val="0"/>
          <w:sz w:val="22"/>
          <w:szCs w:val="20"/>
        </w:rPr>
        <w:t xml:space="preserve"> for all</w:t>
      </w:r>
      <w:r>
        <w:rPr>
          <w:rStyle w:val="CharChar7"/>
          <w:rFonts w:ascii="Century Gothic" w:hAnsi="Century Gothic" w:cs="Times New Roman"/>
          <w:color w:val="000000"/>
          <w:spacing w:val="0"/>
          <w:sz w:val="22"/>
          <w:szCs w:val="20"/>
        </w:rPr>
        <w:t xml:space="preserve"> other</w:t>
      </w:r>
      <w:r w:rsidRPr="00793C6D">
        <w:rPr>
          <w:rStyle w:val="CharChar7"/>
          <w:rFonts w:ascii="Century Gothic" w:hAnsi="Century Gothic" w:cs="Times New Roman"/>
          <w:color w:val="000000"/>
          <w:spacing w:val="0"/>
          <w:sz w:val="22"/>
          <w:szCs w:val="20"/>
        </w:rPr>
        <w:t xml:space="preserve"> indicators</w:t>
      </w:r>
      <w:r>
        <w:rPr>
          <w:rStyle w:val="CharChar7"/>
          <w:rFonts w:ascii="Century Gothic" w:hAnsi="Century Gothic" w:cs="Times New Roman"/>
          <w:color w:val="000000"/>
          <w:spacing w:val="0"/>
          <w:sz w:val="22"/>
          <w:szCs w:val="20"/>
        </w:rPr>
        <w:t xml:space="preserve">. Results for this indicator are presented in Section </w:t>
      </w:r>
      <w:r w:rsidR="00394AA8">
        <w:rPr>
          <w:rStyle w:val="CharChar7"/>
          <w:rFonts w:ascii="Century Gothic" w:hAnsi="Century Gothic" w:cs="Times New Roman"/>
          <w:color w:val="000000"/>
          <w:spacing w:val="0"/>
          <w:sz w:val="22"/>
          <w:szCs w:val="20"/>
        </w:rPr>
        <w:fldChar w:fldCharType="begin"/>
      </w:r>
      <w:r>
        <w:rPr>
          <w:rStyle w:val="CharChar7"/>
          <w:rFonts w:ascii="Century Gothic" w:hAnsi="Century Gothic" w:cs="Times New Roman"/>
          <w:color w:val="000000"/>
          <w:spacing w:val="0"/>
          <w:sz w:val="22"/>
          <w:szCs w:val="20"/>
        </w:rPr>
        <w:instrText xml:space="preserve"> REF _Ref432595340 \r \h </w:instrText>
      </w:r>
      <w:r w:rsidR="00394AA8">
        <w:rPr>
          <w:rStyle w:val="CharChar7"/>
          <w:rFonts w:ascii="Century Gothic" w:hAnsi="Century Gothic" w:cs="Times New Roman"/>
          <w:color w:val="000000"/>
          <w:spacing w:val="0"/>
          <w:sz w:val="22"/>
          <w:szCs w:val="20"/>
        </w:rPr>
      </w:r>
      <w:r w:rsidR="00394AA8">
        <w:rPr>
          <w:rStyle w:val="CharChar7"/>
          <w:rFonts w:ascii="Century Gothic" w:hAnsi="Century Gothic" w:cs="Times New Roman"/>
          <w:color w:val="000000"/>
          <w:spacing w:val="0"/>
          <w:sz w:val="22"/>
          <w:szCs w:val="20"/>
        </w:rPr>
        <w:fldChar w:fldCharType="separate"/>
      </w:r>
      <w:r w:rsidR="004260C4">
        <w:rPr>
          <w:rStyle w:val="CharChar7"/>
          <w:rFonts w:ascii="Century Gothic" w:hAnsi="Century Gothic" w:cs="Times New Roman"/>
          <w:color w:val="000000"/>
          <w:spacing w:val="0"/>
          <w:sz w:val="22"/>
          <w:szCs w:val="20"/>
        </w:rPr>
        <w:t>1.2</w:t>
      </w:r>
      <w:r w:rsidR="00394AA8">
        <w:rPr>
          <w:rStyle w:val="CharChar7"/>
          <w:rFonts w:ascii="Century Gothic" w:hAnsi="Century Gothic" w:cs="Times New Roman"/>
          <w:color w:val="000000"/>
          <w:spacing w:val="0"/>
          <w:sz w:val="22"/>
          <w:szCs w:val="20"/>
        </w:rPr>
        <w:fldChar w:fldCharType="end"/>
      </w:r>
      <w:r>
        <w:rPr>
          <w:rStyle w:val="CharChar7"/>
          <w:rFonts w:ascii="Century Gothic" w:hAnsi="Century Gothic" w:cs="Times New Roman"/>
          <w:color w:val="000000"/>
          <w:spacing w:val="0"/>
          <w:sz w:val="22"/>
          <w:szCs w:val="20"/>
        </w:rPr>
        <w:t xml:space="preserve">. </w:t>
      </w:r>
      <w:r w:rsidR="009B5D9E">
        <w:rPr>
          <w:rStyle w:val="CharChar7"/>
          <w:rFonts w:ascii="Century Gothic" w:hAnsi="Century Gothic" w:cs="Times New Roman"/>
          <w:color w:val="000000"/>
          <w:spacing w:val="0"/>
          <w:sz w:val="22"/>
          <w:szCs w:val="20"/>
        </w:rPr>
        <w:t>For the Category 1 Fish (channel) indicator, t</w:t>
      </w:r>
      <w:r w:rsidR="007D41B1">
        <w:rPr>
          <w:rStyle w:val="CharChar7"/>
          <w:rFonts w:ascii="Century Gothic" w:hAnsi="Century Gothic" w:cs="Times New Roman"/>
          <w:color w:val="000000"/>
          <w:spacing w:val="0"/>
          <w:sz w:val="22"/>
          <w:szCs w:val="20"/>
        </w:rPr>
        <w:t xml:space="preserve">here </w:t>
      </w:r>
      <w:r w:rsidR="000C7E02">
        <w:rPr>
          <w:rStyle w:val="CharChar7"/>
          <w:rFonts w:ascii="Century Gothic" w:hAnsi="Century Gothic" w:cs="Times New Roman"/>
          <w:color w:val="000000"/>
          <w:spacing w:val="0"/>
          <w:sz w:val="22"/>
          <w:szCs w:val="20"/>
        </w:rPr>
        <w:t xml:space="preserve">are </w:t>
      </w:r>
      <w:r w:rsidR="007D41B1">
        <w:rPr>
          <w:rStyle w:val="CharChar7"/>
          <w:rFonts w:ascii="Century Gothic" w:hAnsi="Century Gothic" w:cs="Times New Roman"/>
          <w:color w:val="000000"/>
          <w:spacing w:val="0"/>
          <w:sz w:val="22"/>
          <w:szCs w:val="20"/>
        </w:rPr>
        <w:t xml:space="preserve">no </w:t>
      </w:r>
      <w:r w:rsidR="000C7E02">
        <w:rPr>
          <w:rStyle w:val="CharChar7"/>
          <w:rFonts w:ascii="Century Gothic" w:hAnsi="Century Gothic" w:cs="Times New Roman"/>
          <w:color w:val="000000"/>
          <w:spacing w:val="0"/>
          <w:sz w:val="22"/>
          <w:szCs w:val="20"/>
        </w:rPr>
        <w:t>CEWO evaluation questions for this Selected Area</w:t>
      </w:r>
      <w:r w:rsidR="009B5D9E">
        <w:rPr>
          <w:rStyle w:val="CharChar7"/>
          <w:rFonts w:ascii="Century Gothic" w:hAnsi="Century Gothic" w:cs="Times New Roman"/>
          <w:color w:val="000000"/>
          <w:spacing w:val="0"/>
          <w:sz w:val="22"/>
          <w:szCs w:val="20"/>
        </w:rPr>
        <w:t>;</w:t>
      </w:r>
      <w:r w:rsidR="000C7E02">
        <w:rPr>
          <w:rStyle w:val="CharChar7"/>
          <w:rFonts w:ascii="Century Gothic" w:hAnsi="Century Gothic" w:cs="Times New Roman"/>
          <w:color w:val="000000"/>
          <w:spacing w:val="0"/>
          <w:sz w:val="22"/>
          <w:szCs w:val="20"/>
        </w:rPr>
        <w:t xml:space="preserve"> however, fish monitoring data are consolidated to evaluate </w:t>
      </w:r>
      <w:r w:rsidR="009B5D9E">
        <w:rPr>
          <w:rStyle w:val="CharChar7"/>
          <w:rFonts w:ascii="Century Gothic" w:hAnsi="Century Gothic" w:cs="Times New Roman"/>
          <w:color w:val="000000"/>
          <w:spacing w:val="0"/>
          <w:sz w:val="22"/>
          <w:szCs w:val="20"/>
        </w:rPr>
        <w:t>a number of</w:t>
      </w:r>
      <w:r w:rsidR="000C7E02">
        <w:rPr>
          <w:rStyle w:val="CharChar7"/>
          <w:rFonts w:ascii="Century Gothic" w:hAnsi="Century Gothic" w:cs="Times New Roman"/>
          <w:color w:val="000000"/>
          <w:spacing w:val="0"/>
          <w:sz w:val="22"/>
          <w:szCs w:val="20"/>
        </w:rPr>
        <w:t xml:space="preserve"> fish targets of DEWNR’s LTWP (Appendix I). </w:t>
      </w:r>
      <w:r w:rsidR="00A631AE">
        <w:rPr>
          <w:rStyle w:val="CharChar7"/>
          <w:rFonts w:ascii="Century Gothic" w:hAnsi="Century Gothic" w:cs="Times New Roman"/>
          <w:color w:val="000000"/>
          <w:spacing w:val="0"/>
          <w:sz w:val="22"/>
          <w:szCs w:val="20"/>
        </w:rPr>
        <w:t>T</w:t>
      </w:r>
      <w:r w:rsidR="007D41B1">
        <w:rPr>
          <w:rStyle w:val="CharChar7"/>
          <w:rFonts w:ascii="Century Gothic" w:hAnsi="Century Gothic" w:cs="Times New Roman"/>
          <w:color w:val="000000"/>
          <w:spacing w:val="0"/>
          <w:sz w:val="22"/>
          <w:szCs w:val="20"/>
        </w:rPr>
        <w:t xml:space="preserve">he </w:t>
      </w:r>
      <w:r w:rsidR="00153809">
        <w:rPr>
          <w:rStyle w:val="CharChar7"/>
          <w:rFonts w:ascii="Century Gothic" w:hAnsi="Century Gothic" w:cs="Times New Roman"/>
          <w:color w:val="000000"/>
          <w:spacing w:val="0"/>
          <w:sz w:val="22"/>
          <w:szCs w:val="20"/>
        </w:rPr>
        <w:t>B</w:t>
      </w:r>
      <w:r w:rsidR="0095284F">
        <w:rPr>
          <w:rStyle w:val="CharChar7"/>
          <w:rFonts w:ascii="Century Gothic" w:hAnsi="Century Gothic" w:cs="Times New Roman"/>
          <w:color w:val="000000"/>
          <w:spacing w:val="0"/>
          <w:sz w:val="22"/>
          <w:szCs w:val="20"/>
        </w:rPr>
        <w:t xml:space="preserve">asin-scale </w:t>
      </w:r>
      <w:r w:rsidR="00CA1860">
        <w:rPr>
          <w:rStyle w:val="CharChar7"/>
          <w:rFonts w:ascii="Century Gothic" w:hAnsi="Century Gothic" w:cs="Times New Roman"/>
          <w:color w:val="000000"/>
          <w:spacing w:val="0"/>
          <w:sz w:val="22"/>
          <w:szCs w:val="20"/>
        </w:rPr>
        <w:t xml:space="preserve">evaluation for fish </w:t>
      </w:r>
      <w:r w:rsidR="0095284F">
        <w:rPr>
          <w:rStyle w:val="CharChar7"/>
          <w:rFonts w:ascii="Century Gothic" w:hAnsi="Century Gothic" w:cs="Times New Roman"/>
          <w:color w:val="000000"/>
          <w:spacing w:val="0"/>
          <w:sz w:val="22"/>
          <w:szCs w:val="20"/>
        </w:rPr>
        <w:t>community response</w:t>
      </w:r>
      <w:r w:rsidR="007D41B1">
        <w:rPr>
          <w:rStyle w:val="CharChar7"/>
          <w:rFonts w:ascii="Century Gothic" w:hAnsi="Century Gothic" w:cs="Times New Roman"/>
          <w:color w:val="000000"/>
          <w:spacing w:val="0"/>
          <w:sz w:val="22"/>
          <w:szCs w:val="20"/>
        </w:rPr>
        <w:t>s</w:t>
      </w:r>
      <w:r w:rsidR="0095284F">
        <w:rPr>
          <w:rStyle w:val="CharChar7"/>
          <w:rFonts w:ascii="Century Gothic" w:hAnsi="Century Gothic" w:cs="Times New Roman"/>
          <w:color w:val="000000"/>
          <w:spacing w:val="0"/>
          <w:sz w:val="22"/>
          <w:szCs w:val="20"/>
        </w:rPr>
        <w:t xml:space="preserve"> to Commonwealth environmental water </w:t>
      </w:r>
      <w:r w:rsidR="00867B05">
        <w:rPr>
          <w:rStyle w:val="CharChar7"/>
          <w:rFonts w:ascii="Century Gothic" w:hAnsi="Century Gothic" w:cs="Times New Roman"/>
          <w:color w:val="000000"/>
          <w:spacing w:val="0"/>
          <w:sz w:val="22"/>
          <w:szCs w:val="20"/>
        </w:rPr>
        <w:t>are being undertaken</w:t>
      </w:r>
      <w:r w:rsidR="0095284F">
        <w:rPr>
          <w:rStyle w:val="CharChar7"/>
          <w:rFonts w:ascii="Century Gothic" w:hAnsi="Century Gothic" w:cs="Times New Roman"/>
          <w:color w:val="000000"/>
          <w:spacing w:val="0"/>
          <w:sz w:val="22"/>
          <w:szCs w:val="20"/>
        </w:rPr>
        <w:t xml:space="preserve"> by the </w:t>
      </w:r>
      <w:r w:rsidR="00FC65A9">
        <w:rPr>
          <w:rStyle w:val="CharChar7"/>
          <w:rFonts w:ascii="Century Gothic" w:hAnsi="Century Gothic" w:cs="Times New Roman"/>
          <w:color w:val="000000"/>
          <w:spacing w:val="0"/>
          <w:sz w:val="22"/>
          <w:szCs w:val="20"/>
        </w:rPr>
        <w:t>Monitoring and Evaluation (</w:t>
      </w:r>
      <w:r w:rsidR="0095284F">
        <w:rPr>
          <w:rStyle w:val="CharChar7"/>
          <w:rFonts w:ascii="Century Gothic" w:hAnsi="Century Gothic" w:cs="Times New Roman"/>
          <w:color w:val="000000"/>
          <w:spacing w:val="0"/>
          <w:sz w:val="22"/>
          <w:szCs w:val="20"/>
        </w:rPr>
        <w:t>M&amp;E</w:t>
      </w:r>
      <w:r w:rsidR="00FC65A9">
        <w:rPr>
          <w:rStyle w:val="CharChar7"/>
          <w:rFonts w:ascii="Century Gothic" w:hAnsi="Century Gothic" w:cs="Times New Roman"/>
          <w:color w:val="000000"/>
          <w:spacing w:val="0"/>
          <w:sz w:val="22"/>
          <w:szCs w:val="20"/>
        </w:rPr>
        <w:t>)</w:t>
      </w:r>
      <w:r w:rsidR="0095284F">
        <w:rPr>
          <w:rStyle w:val="CharChar7"/>
          <w:rFonts w:ascii="Century Gothic" w:hAnsi="Century Gothic" w:cs="Times New Roman"/>
          <w:color w:val="000000"/>
          <w:spacing w:val="0"/>
          <w:sz w:val="22"/>
          <w:szCs w:val="20"/>
        </w:rPr>
        <w:t xml:space="preserve"> Advisors</w:t>
      </w:r>
      <w:r w:rsidR="00CA1860">
        <w:rPr>
          <w:rStyle w:val="CharChar7"/>
          <w:rFonts w:ascii="Century Gothic" w:hAnsi="Century Gothic" w:cs="Times New Roman"/>
          <w:color w:val="000000"/>
          <w:spacing w:val="0"/>
          <w:sz w:val="22"/>
          <w:szCs w:val="20"/>
        </w:rPr>
        <w:t xml:space="preserve"> (LMR LTIM M&amp;E Plan)</w:t>
      </w:r>
      <w:r w:rsidR="0095284F">
        <w:rPr>
          <w:rStyle w:val="CharChar7"/>
          <w:rFonts w:ascii="Century Gothic" w:hAnsi="Century Gothic" w:cs="Times New Roman"/>
          <w:color w:val="000000"/>
          <w:spacing w:val="0"/>
          <w:sz w:val="22"/>
          <w:szCs w:val="20"/>
        </w:rPr>
        <w:t xml:space="preserve">. </w:t>
      </w:r>
      <w:r>
        <w:rPr>
          <w:rStyle w:val="CharChar7"/>
          <w:rFonts w:ascii="Century Gothic" w:hAnsi="Century Gothic" w:cs="Times New Roman"/>
          <w:color w:val="000000"/>
          <w:spacing w:val="0"/>
          <w:sz w:val="22"/>
          <w:szCs w:val="20"/>
        </w:rPr>
        <w:t>G</w:t>
      </w:r>
      <w:r w:rsidRPr="00F03EDB">
        <w:rPr>
          <w:rStyle w:val="CharChar7"/>
          <w:rFonts w:ascii="Century Gothic" w:hAnsi="Century Gothic" w:cs="Times New Roman"/>
          <w:color w:val="000000"/>
          <w:spacing w:val="0"/>
          <w:sz w:val="22"/>
          <w:szCs w:val="20"/>
        </w:rPr>
        <w:t>eneral recommendations for</w:t>
      </w:r>
      <w:r w:rsidR="00A75928">
        <w:rPr>
          <w:rStyle w:val="CharChar7"/>
          <w:rFonts w:ascii="Century Gothic" w:hAnsi="Century Gothic" w:cs="Times New Roman"/>
          <w:color w:val="000000"/>
          <w:spacing w:val="0"/>
          <w:sz w:val="22"/>
          <w:szCs w:val="20"/>
        </w:rPr>
        <w:t xml:space="preserve"> environmental</w:t>
      </w:r>
      <w:r w:rsidRPr="00F03EDB">
        <w:rPr>
          <w:rStyle w:val="CharChar7"/>
          <w:rFonts w:ascii="Century Gothic" w:hAnsi="Century Gothic" w:cs="Times New Roman"/>
          <w:color w:val="000000"/>
          <w:spacing w:val="0"/>
          <w:sz w:val="22"/>
          <w:szCs w:val="20"/>
        </w:rPr>
        <w:t xml:space="preserve"> flow management in the L</w:t>
      </w:r>
      <w:r w:rsidR="00D60584">
        <w:rPr>
          <w:rStyle w:val="CharChar7"/>
          <w:rFonts w:ascii="Century Gothic" w:hAnsi="Century Gothic" w:cs="Times New Roman"/>
          <w:color w:val="000000"/>
          <w:spacing w:val="0"/>
          <w:sz w:val="22"/>
          <w:szCs w:val="20"/>
        </w:rPr>
        <w:t>M</w:t>
      </w:r>
      <w:r w:rsidRPr="00F03EDB">
        <w:rPr>
          <w:rStyle w:val="CharChar7"/>
          <w:rFonts w:ascii="Century Gothic" w:hAnsi="Century Gothic" w:cs="Times New Roman"/>
          <w:color w:val="000000"/>
          <w:spacing w:val="0"/>
          <w:sz w:val="22"/>
          <w:szCs w:val="20"/>
        </w:rPr>
        <w:t>R</w:t>
      </w:r>
      <w:r>
        <w:rPr>
          <w:rStyle w:val="CharChar7"/>
          <w:rFonts w:ascii="Century Gothic" w:hAnsi="Century Gothic" w:cs="Times New Roman"/>
          <w:color w:val="000000"/>
          <w:spacing w:val="0"/>
          <w:sz w:val="22"/>
          <w:szCs w:val="20"/>
        </w:rPr>
        <w:t xml:space="preserve"> are</w:t>
      </w:r>
      <w:r w:rsidR="00E70115">
        <w:rPr>
          <w:rStyle w:val="CharChar7"/>
          <w:rFonts w:ascii="Century Gothic" w:hAnsi="Century Gothic" w:cs="Times New Roman"/>
          <w:color w:val="000000"/>
          <w:spacing w:val="0"/>
          <w:sz w:val="22"/>
          <w:szCs w:val="20"/>
        </w:rPr>
        <w:t xml:space="preserve"> provided in Section </w:t>
      </w:r>
      <w:r w:rsidR="00E70115">
        <w:rPr>
          <w:rStyle w:val="CharChar7"/>
          <w:rFonts w:ascii="Century Gothic" w:hAnsi="Century Gothic" w:cs="Times New Roman"/>
          <w:color w:val="000000"/>
          <w:spacing w:val="0"/>
          <w:sz w:val="22"/>
          <w:szCs w:val="20"/>
        </w:rPr>
        <w:fldChar w:fldCharType="begin"/>
      </w:r>
      <w:r w:rsidR="00E70115">
        <w:rPr>
          <w:rStyle w:val="CharChar7"/>
          <w:rFonts w:ascii="Century Gothic" w:hAnsi="Century Gothic" w:cs="Times New Roman"/>
          <w:color w:val="000000"/>
          <w:spacing w:val="0"/>
          <w:sz w:val="22"/>
          <w:szCs w:val="20"/>
        </w:rPr>
        <w:instrText xml:space="preserve"> REF _Ref472590168 \r \h </w:instrText>
      </w:r>
      <w:r w:rsidR="00E70115">
        <w:rPr>
          <w:rStyle w:val="CharChar7"/>
          <w:rFonts w:ascii="Century Gothic" w:hAnsi="Century Gothic" w:cs="Times New Roman"/>
          <w:color w:val="000000"/>
          <w:spacing w:val="0"/>
          <w:sz w:val="22"/>
          <w:szCs w:val="20"/>
        </w:rPr>
      </w:r>
      <w:r w:rsidR="00E70115">
        <w:rPr>
          <w:rStyle w:val="CharChar7"/>
          <w:rFonts w:ascii="Century Gothic" w:hAnsi="Century Gothic" w:cs="Times New Roman"/>
          <w:color w:val="000000"/>
          <w:spacing w:val="0"/>
          <w:sz w:val="22"/>
          <w:szCs w:val="20"/>
        </w:rPr>
        <w:fldChar w:fldCharType="separate"/>
      </w:r>
      <w:r w:rsidR="004260C4">
        <w:rPr>
          <w:rStyle w:val="CharChar7"/>
          <w:rFonts w:ascii="Century Gothic" w:hAnsi="Century Gothic" w:cs="Times New Roman"/>
          <w:color w:val="000000"/>
          <w:spacing w:val="0"/>
          <w:sz w:val="22"/>
          <w:szCs w:val="20"/>
        </w:rPr>
        <w:t>4</w:t>
      </w:r>
      <w:r w:rsidR="00E70115">
        <w:rPr>
          <w:rStyle w:val="CharChar7"/>
          <w:rFonts w:ascii="Century Gothic" w:hAnsi="Century Gothic" w:cs="Times New Roman"/>
          <w:color w:val="000000"/>
          <w:spacing w:val="0"/>
          <w:sz w:val="22"/>
          <w:szCs w:val="20"/>
        </w:rPr>
        <w:fldChar w:fldCharType="end"/>
      </w:r>
      <w:r>
        <w:rPr>
          <w:rStyle w:val="CharChar7"/>
          <w:rFonts w:ascii="Century Gothic" w:hAnsi="Century Gothic" w:cs="Times New Roman"/>
          <w:color w:val="000000"/>
          <w:spacing w:val="0"/>
          <w:sz w:val="22"/>
          <w:szCs w:val="20"/>
        </w:rPr>
        <w:t xml:space="preserve">, based on </w:t>
      </w:r>
      <w:r w:rsidRPr="00414FEC">
        <w:rPr>
          <w:rStyle w:val="CharChar7"/>
          <w:rFonts w:ascii="Century Gothic" w:hAnsi="Century Gothic" w:cs="Times New Roman"/>
          <w:color w:val="000000"/>
          <w:spacing w:val="0"/>
          <w:sz w:val="22"/>
          <w:szCs w:val="20"/>
        </w:rPr>
        <w:t>monitoring and evaluation outcomes</w:t>
      </w:r>
      <w:r w:rsidR="00153809">
        <w:rPr>
          <w:rStyle w:val="CharChar7"/>
          <w:rFonts w:ascii="Century Gothic" w:hAnsi="Century Gothic" w:cs="Times New Roman"/>
          <w:color w:val="000000"/>
          <w:spacing w:val="0"/>
          <w:sz w:val="22"/>
          <w:szCs w:val="20"/>
        </w:rPr>
        <w:t>,</w:t>
      </w:r>
      <w:r w:rsidRPr="00414FEC">
        <w:rPr>
          <w:rStyle w:val="CharChar7"/>
          <w:rFonts w:ascii="Century Gothic" w:hAnsi="Century Gothic" w:cs="Times New Roman"/>
          <w:color w:val="000000"/>
          <w:spacing w:val="0"/>
          <w:sz w:val="22"/>
          <w:szCs w:val="20"/>
        </w:rPr>
        <w:t xml:space="preserve"> and expert scientific opinion</w:t>
      </w:r>
      <w:r w:rsidRPr="00F03EDB">
        <w:rPr>
          <w:rStyle w:val="CharChar7"/>
          <w:rFonts w:ascii="Century Gothic" w:hAnsi="Century Gothic" w:cs="Times New Roman"/>
          <w:color w:val="000000"/>
          <w:spacing w:val="0"/>
          <w:sz w:val="22"/>
          <w:szCs w:val="20"/>
        </w:rPr>
        <w:t xml:space="preserve">. </w:t>
      </w:r>
      <w:r w:rsidRPr="00602CE8">
        <w:rPr>
          <w:rStyle w:val="CharChar7"/>
          <w:rFonts w:ascii="Century Gothic" w:hAnsi="Century Gothic" w:cs="Times New Roman"/>
          <w:color w:val="000000"/>
          <w:spacing w:val="0"/>
          <w:sz w:val="22"/>
          <w:szCs w:val="20"/>
        </w:rPr>
        <w:t xml:space="preserve">As stated in the LMR LTIM M&amp;E Plan, monitoring and evaluation of Commonwealth environmental water </w:t>
      </w:r>
      <w:r w:rsidR="0063253A">
        <w:rPr>
          <w:rStyle w:val="CharChar7"/>
          <w:rFonts w:ascii="Century Gothic" w:hAnsi="Century Gothic" w:cs="Times New Roman"/>
          <w:color w:val="000000"/>
          <w:spacing w:val="0"/>
          <w:sz w:val="22"/>
          <w:szCs w:val="20"/>
        </w:rPr>
        <w:t xml:space="preserve">delivery </w:t>
      </w:r>
      <w:r w:rsidRPr="00602CE8">
        <w:rPr>
          <w:rStyle w:val="CharChar7"/>
          <w:rFonts w:ascii="Century Gothic" w:hAnsi="Century Gothic" w:cs="Times New Roman"/>
          <w:color w:val="000000"/>
          <w:spacing w:val="0"/>
          <w:sz w:val="22"/>
          <w:szCs w:val="20"/>
        </w:rPr>
        <w:t>in the LMR Selected Area focused on spring/summer</w:t>
      </w:r>
      <w:r w:rsidR="00D60584">
        <w:rPr>
          <w:rStyle w:val="CharChar7"/>
          <w:rFonts w:ascii="Century Gothic" w:hAnsi="Century Gothic" w:cs="Times New Roman"/>
          <w:color w:val="000000"/>
          <w:spacing w:val="0"/>
          <w:sz w:val="22"/>
          <w:szCs w:val="20"/>
        </w:rPr>
        <w:t xml:space="preserve"> given this was the primary period for biological response monitoring in the LMR</w:t>
      </w:r>
      <w:r w:rsidR="00AD0C5A">
        <w:rPr>
          <w:rStyle w:val="CharChar7"/>
          <w:rFonts w:ascii="Century Gothic" w:hAnsi="Century Gothic" w:cs="Times New Roman"/>
          <w:color w:val="000000"/>
          <w:spacing w:val="0"/>
          <w:sz w:val="22"/>
          <w:szCs w:val="20"/>
        </w:rPr>
        <w:t>;</w:t>
      </w:r>
      <w:r w:rsidRPr="00602CE8">
        <w:rPr>
          <w:rStyle w:val="CharChar7"/>
          <w:rFonts w:ascii="Century Gothic" w:hAnsi="Century Gothic" w:cs="Times New Roman"/>
          <w:color w:val="000000"/>
          <w:spacing w:val="0"/>
          <w:sz w:val="22"/>
          <w:szCs w:val="20"/>
        </w:rPr>
        <w:t xml:space="preserve"> therefore</w:t>
      </w:r>
      <w:r w:rsidR="00AD0C5A">
        <w:rPr>
          <w:rStyle w:val="CharChar7"/>
          <w:rFonts w:ascii="Century Gothic" w:hAnsi="Century Gothic" w:cs="Times New Roman"/>
          <w:color w:val="000000"/>
          <w:spacing w:val="0"/>
          <w:sz w:val="22"/>
          <w:szCs w:val="20"/>
        </w:rPr>
        <w:t>,</w:t>
      </w:r>
      <w:r w:rsidRPr="00602CE8">
        <w:rPr>
          <w:rStyle w:val="CharChar7"/>
          <w:rFonts w:ascii="Century Gothic" w:hAnsi="Century Gothic" w:cs="Times New Roman"/>
          <w:color w:val="000000"/>
          <w:spacing w:val="0"/>
          <w:sz w:val="22"/>
          <w:szCs w:val="20"/>
        </w:rPr>
        <w:t xml:space="preserve"> our findings and recommendations on environmental water management are </w:t>
      </w:r>
      <w:r w:rsidR="0063253A">
        <w:rPr>
          <w:rStyle w:val="CharChar7"/>
          <w:rFonts w:ascii="Century Gothic" w:hAnsi="Century Gothic" w:cs="Times New Roman"/>
          <w:color w:val="000000"/>
          <w:spacing w:val="0"/>
          <w:sz w:val="22"/>
          <w:szCs w:val="20"/>
        </w:rPr>
        <w:t>most relevant</w:t>
      </w:r>
      <w:r w:rsidRPr="00602CE8">
        <w:rPr>
          <w:rStyle w:val="CharChar7"/>
          <w:rFonts w:ascii="Century Gothic" w:hAnsi="Century Gothic" w:cs="Times New Roman"/>
          <w:color w:val="000000"/>
          <w:spacing w:val="0"/>
          <w:sz w:val="22"/>
          <w:szCs w:val="20"/>
        </w:rPr>
        <w:t xml:space="preserve"> to this period. </w:t>
      </w:r>
      <w:r w:rsidR="004A7BA6">
        <w:rPr>
          <w:rStyle w:val="CharChar7"/>
          <w:rFonts w:ascii="Century Gothic" w:hAnsi="Century Gothic" w:cs="Times New Roman"/>
          <w:color w:val="000000"/>
          <w:spacing w:val="0"/>
          <w:sz w:val="22"/>
          <w:szCs w:val="20"/>
        </w:rPr>
        <w:t>Nevertheless,</w:t>
      </w:r>
      <w:r w:rsidRPr="00602CE8">
        <w:rPr>
          <w:rStyle w:val="CharChar7"/>
          <w:rFonts w:ascii="Century Gothic" w:hAnsi="Century Gothic" w:cs="Times New Roman"/>
          <w:color w:val="000000"/>
          <w:spacing w:val="0"/>
          <w:sz w:val="22"/>
          <w:szCs w:val="20"/>
        </w:rPr>
        <w:t xml:space="preserve"> the annual cycle of flow is important for maintaining and restoring ecological integrity of riverine ecosystems </w:t>
      </w:r>
      <w:r w:rsidR="00943C11">
        <w:t xml:space="preserve">thus environmental water </w:t>
      </w:r>
      <w:r w:rsidR="0063253A">
        <w:t xml:space="preserve">allocation </w:t>
      </w:r>
      <w:r w:rsidR="00943C11">
        <w:t xml:space="preserve">may be required beyond spring/summer. </w:t>
      </w:r>
      <w:r w:rsidRPr="00F03EDB">
        <w:rPr>
          <w:rStyle w:val="CharChar7"/>
          <w:rFonts w:ascii="Century Gothic" w:hAnsi="Century Gothic" w:cs="Times New Roman"/>
          <w:color w:val="000000"/>
          <w:spacing w:val="0"/>
          <w:sz w:val="22"/>
          <w:szCs w:val="20"/>
        </w:rPr>
        <w:t>More detailed information (e.g. methodology, statistics</w:t>
      </w:r>
      <w:r w:rsidR="00FC65A9">
        <w:rPr>
          <w:rStyle w:val="CharChar7"/>
          <w:rFonts w:ascii="Century Gothic" w:hAnsi="Century Gothic" w:cs="Times New Roman"/>
          <w:color w:val="000000"/>
          <w:spacing w:val="0"/>
          <w:sz w:val="22"/>
          <w:szCs w:val="20"/>
        </w:rPr>
        <w:t>,</w:t>
      </w:r>
      <w:r w:rsidRPr="00F03EDB">
        <w:rPr>
          <w:rStyle w:val="CharChar7"/>
          <w:rFonts w:ascii="Century Gothic" w:hAnsi="Century Gothic" w:cs="Times New Roman"/>
          <w:color w:val="000000"/>
          <w:spacing w:val="0"/>
          <w:sz w:val="22"/>
          <w:szCs w:val="20"/>
        </w:rPr>
        <w:t xml:space="preserve"> etc.) for each indicator</w:t>
      </w:r>
      <w:r w:rsidR="0063253A">
        <w:rPr>
          <w:rStyle w:val="CharChar7"/>
          <w:rFonts w:ascii="Century Gothic" w:hAnsi="Century Gothic" w:cs="Times New Roman"/>
          <w:color w:val="000000"/>
          <w:spacing w:val="0"/>
          <w:sz w:val="22"/>
          <w:szCs w:val="20"/>
        </w:rPr>
        <w:t xml:space="preserve"> in the LMR</w:t>
      </w:r>
      <w:r w:rsidRPr="00F03EDB">
        <w:rPr>
          <w:rStyle w:val="CharChar7"/>
          <w:rFonts w:ascii="Century Gothic" w:hAnsi="Century Gothic" w:cs="Times New Roman"/>
          <w:color w:val="000000"/>
          <w:spacing w:val="0"/>
          <w:sz w:val="22"/>
          <w:szCs w:val="20"/>
        </w:rPr>
        <w:t xml:space="preserve"> </w:t>
      </w:r>
      <w:r>
        <w:rPr>
          <w:rStyle w:val="CharChar7"/>
          <w:rFonts w:ascii="Century Gothic" w:hAnsi="Century Gothic" w:cs="Times New Roman"/>
          <w:color w:val="000000"/>
          <w:spacing w:val="0"/>
          <w:sz w:val="22"/>
          <w:szCs w:val="20"/>
        </w:rPr>
        <w:t xml:space="preserve">are </w:t>
      </w:r>
      <w:r w:rsidRPr="00F03EDB">
        <w:rPr>
          <w:rStyle w:val="CharChar7"/>
          <w:rFonts w:ascii="Century Gothic" w:hAnsi="Century Gothic" w:cs="Times New Roman"/>
          <w:color w:val="000000"/>
          <w:spacing w:val="0"/>
          <w:sz w:val="22"/>
          <w:szCs w:val="20"/>
        </w:rPr>
        <w:t xml:space="preserve">provided in the </w:t>
      </w:r>
      <w:r>
        <w:rPr>
          <w:rStyle w:val="CharChar7"/>
          <w:rFonts w:ascii="Century Gothic" w:hAnsi="Century Gothic" w:cs="Times New Roman"/>
          <w:color w:val="000000"/>
          <w:spacing w:val="0"/>
          <w:sz w:val="22"/>
          <w:szCs w:val="20"/>
        </w:rPr>
        <w:t>Appendices and LMR LTIM M&amp;E Plan.</w:t>
      </w:r>
    </w:p>
    <w:p w14:paraId="46B80A33" w14:textId="77777777" w:rsidR="00FE56D3" w:rsidRDefault="00FE56D3">
      <w:pPr>
        <w:spacing w:before="0" w:after="200" w:line="276" w:lineRule="auto"/>
        <w:rPr>
          <w:rFonts w:eastAsiaTheme="majorEastAsia" w:cstheme="majorBidi"/>
          <w:b/>
          <w:bCs/>
          <w:caps/>
          <w:color w:val="1F497D" w:themeColor="text2"/>
          <w:sz w:val="32"/>
          <w:szCs w:val="28"/>
        </w:rPr>
      </w:pPr>
      <w:bookmarkStart w:id="60" w:name="_Toc381776104"/>
      <w:bookmarkStart w:id="61" w:name="_Ref423521324"/>
      <w:r>
        <w:br w:type="page"/>
      </w:r>
    </w:p>
    <w:p w14:paraId="1D6C2A69" w14:textId="77777777" w:rsidR="00CC0ABB" w:rsidRDefault="00CC0ABB" w:rsidP="00CC0ABB">
      <w:pPr>
        <w:pStyle w:val="Heading1"/>
      </w:pPr>
      <w:bookmarkStart w:id="62" w:name="_Ref434406120"/>
      <w:bookmarkStart w:id="63" w:name="_Ref437609816"/>
      <w:bookmarkStart w:id="64" w:name="_Ref438468990"/>
      <w:bookmarkStart w:id="65" w:name="_Toc441838728"/>
      <w:bookmarkStart w:id="66" w:name="_Toc474147053"/>
      <w:r>
        <w:lastRenderedPageBreak/>
        <w:t xml:space="preserve">Key </w:t>
      </w:r>
      <w:r w:rsidRPr="00C757C7">
        <w:t>Findings</w:t>
      </w:r>
      <w:bookmarkEnd w:id="60"/>
      <w:bookmarkEnd w:id="61"/>
      <w:bookmarkEnd w:id="62"/>
      <w:bookmarkEnd w:id="63"/>
      <w:bookmarkEnd w:id="64"/>
      <w:bookmarkEnd w:id="65"/>
      <w:bookmarkEnd w:id="66"/>
    </w:p>
    <w:p w14:paraId="59A3B67D" w14:textId="77777777" w:rsidR="00E165A1" w:rsidRPr="00C757C7" w:rsidRDefault="00CC39E2" w:rsidP="00F41737">
      <w:pPr>
        <w:pStyle w:val="Heading2"/>
      </w:pPr>
      <w:bookmarkStart w:id="67" w:name="_Ref441677533"/>
      <w:bookmarkStart w:id="68" w:name="_Toc441838729"/>
      <w:bookmarkStart w:id="69" w:name="_Toc474147054"/>
      <w:r>
        <w:t>Category 1</w:t>
      </w:r>
      <w:bookmarkEnd w:id="67"/>
      <w:bookmarkEnd w:id="68"/>
      <w:bookmarkEnd w:id="69"/>
    </w:p>
    <w:p w14:paraId="789CCA06" w14:textId="77777777" w:rsidR="00DC2298" w:rsidRDefault="00DC2298" w:rsidP="00DC2298">
      <w:pPr>
        <w:pStyle w:val="Heading3"/>
      </w:pPr>
      <w:bookmarkStart w:id="70" w:name="_Toc441838730"/>
      <w:bookmarkStart w:id="71" w:name="_Toc474147055"/>
      <w:bookmarkStart w:id="72" w:name="_Toc381776108"/>
      <w:r w:rsidRPr="00412E7A">
        <w:t>Stream Metabolism</w:t>
      </w:r>
      <w:bookmarkEnd w:id="70"/>
      <w:bookmarkEnd w:id="71"/>
    </w:p>
    <w:p w14:paraId="6A5D0FD4" w14:textId="7BDF22F7" w:rsidR="000B3830" w:rsidRDefault="005E1E37" w:rsidP="000B3830">
      <w:r w:rsidRPr="002D6682">
        <w:t xml:space="preserve">River metabolism measurements estimate </w:t>
      </w:r>
      <w:r>
        <w:t xml:space="preserve">in-stream </w:t>
      </w:r>
      <w:r w:rsidRPr="002D6682">
        <w:t xml:space="preserve">rates of </w:t>
      </w:r>
      <w:r>
        <w:t>gross primary production (GPP)</w:t>
      </w:r>
      <w:r w:rsidRPr="002D6682">
        <w:t xml:space="preserve"> and </w:t>
      </w:r>
      <w:r>
        <w:t xml:space="preserve">ecosystem </w:t>
      </w:r>
      <w:r w:rsidRPr="002D6682">
        <w:t xml:space="preserve">respiration </w:t>
      </w:r>
      <w:r>
        <w:t>(ER)</w:t>
      </w:r>
      <w:r w:rsidR="00D20187">
        <w:t>,</w:t>
      </w:r>
      <w:r>
        <w:t xml:space="preserve"> </w:t>
      </w:r>
      <w:r w:rsidRPr="002D6682">
        <w:t>and</w:t>
      </w:r>
      <w:r w:rsidR="000B3830" w:rsidRPr="002D6682">
        <w:t xml:space="preserve"> provide information on the energy processed through river food webs</w:t>
      </w:r>
      <w:r w:rsidR="000B3830">
        <w:t xml:space="preserve"> (Odum 1956;</w:t>
      </w:r>
      <w:r w:rsidR="000B3830" w:rsidRPr="00404F2F">
        <w:t xml:space="preserve"> Young and Huryn 1996</w:t>
      </w:r>
      <w:r w:rsidR="000B3830">
        <w:t>; Oliver and Merrick 2006)</w:t>
      </w:r>
      <w:r w:rsidR="000B3830" w:rsidRPr="002D6682">
        <w:t>.</w:t>
      </w:r>
      <w:r w:rsidR="000B3830">
        <w:t xml:space="preserve"> In the main channel of the Murray River, the production of organic material is largely due to photosynthesis by phytoplankton (Oliver and Merrick 2006), but this is augmented by the transport of organic material from the floodplain during floods. These food resources are consumed and respired in aquatic food webs. </w:t>
      </w:r>
      <w:r>
        <w:t>Ecosystem net production (ENP)</w:t>
      </w:r>
      <w:r w:rsidR="000B3830">
        <w:t xml:space="preserve">, the difference between the formation and breakdown of organic material by photosynthesis and respiration, respectively, </w:t>
      </w:r>
      <w:r w:rsidR="000B3830" w:rsidRPr="002D6682">
        <w:t>help</w:t>
      </w:r>
      <w:r w:rsidR="000B3830">
        <w:t>s</w:t>
      </w:r>
      <w:r w:rsidR="000B3830" w:rsidRPr="002D6682">
        <w:t xml:space="preserve"> identify whether food resources have come from within the river </w:t>
      </w:r>
      <w:r w:rsidR="000B3830">
        <w:t xml:space="preserve">(autochthonous) </w:t>
      </w:r>
      <w:r w:rsidR="000B3830" w:rsidRPr="002D6682">
        <w:t>or the surrounding landscape</w:t>
      </w:r>
      <w:r w:rsidR="000B3830">
        <w:t xml:space="preserve"> (allochthonous). Analyses of metabolism m</w:t>
      </w:r>
      <w:r w:rsidR="000B3830" w:rsidRPr="002D6682">
        <w:t xml:space="preserve">easurements </w:t>
      </w:r>
      <w:r w:rsidR="000B3830">
        <w:t>enables an assessment of</w:t>
      </w:r>
      <w:r w:rsidR="000B3830" w:rsidRPr="002D6682">
        <w:t xml:space="preserve"> the fundamental trophic </w:t>
      </w:r>
      <w:r w:rsidR="000B3830">
        <w:t xml:space="preserve">energy </w:t>
      </w:r>
      <w:r w:rsidR="000B3830" w:rsidRPr="002D6682">
        <w:t>connections that characterise different food web types (e</w:t>
      </w:r>
      <w:r w:rsidR="000B3830">
        <w:t>.</w:t>
      </w:r>
      <w:r w:rsidR="000B3830" w:rsidRPr="002D6682">
        <w:t>g. detrital, autotrophic, planktonic)</w:t>
      </w:r>
      <w:r w:rsidR="000B3830">
        <w:t xml:space="preserve">, and </w:t>
      </w:r>
      <w:r w:rsidR="000B3830" w:rsidRPr="002D6682">
        <w:t>the size of the food web and its capacity to support higher trophic levels including fish and water birds</w:t>
      </w:r>
      <w:r w:rsidR="000B3830">
        <w:t xml:space="preserve"> (</w:t>
      </w:r>
      <w:r w:rsidR="000B3830" w:rsidRPr="00404F2F">
        <w:t>Odum</w:t>
      </w:r>
      <w:r w:rsidR="000B3830">
        <w:t xml:space="preserve"> 1956; Young and Huryn</w:t>
      </w:r>
      <w:r w:rsidR="000B3830" w:rsidRPr="00404F2F">
        <w:t xml:space="preserve"> 1996</w:t>
      </w:r>
      <w:r w:rsidR="000B3830">
        <w:t xml:space="preserve">; Oliver and Merrick 2006). </w:t>
      </w:r>
      <w:r w:rsidR="000B3830" w:rsidRPr="002D6682">
        <w:t xml:space="preserve"> </w:t>
      </w:r>
    </w:p>
    <w:p w14:paraId="29914909" w14:textId="064B0BD9" w:rsidR="00467E5E" w:rsidRPr="00367995" w:rsidRDefault="00915C9B" w:rsidP="000B3830">
      <w:pPr>
        <w:rPr>
          <w:color w:val="auto"/>
        </w:rPr>
      </w:pPr>
      <w:r>
        <w:rPr>
          <w:rFonts w:cs="Calibri"/>
          <w:szCs w:val="22"/>
        </w:rPr>
        <w:t>F</w:t>
      </w:r>
      <w:r w:rsidR="00895C3B" w:rsidRPr="007C2425">
        <w:rPr>
          <w:rFonts w:cs="Calibri"/>
          <w:szCs w:val="22"/>
        </w:rPr>
        <w:t>or estimating stream metabolism</w:t>
      </w:r>
      <w:r w:rsidR="00895C3B">
        <w:rPr>
          <w:rFonts w:cs="Calibri"/>
          <w:szCs w:val="22"/>
        </w:rPr>
        <w:t>,</w:t>
      </w:r>
      <w:r w:rsidR="00895C3B" w:rsidRPr="007C2425">
        <w:rPr>
          <w:rFonts w:cs="Calibri"/>
          <w:szCs w:val="22"/>
        </w:rPr>
        <w:t xml:space="preserve"> </w:t>
      </w:r>
      <w:r w:rsidR="00895C3B">
        <w:rPr>
          <w:rFonts w:cs="Calibri"/>
          <w:i/>
          <w:szCs w:val="22"/>
        </w:rPr>
        <w:t>i</w:t>
      </w:r>
      <w:r w:rsidR="000B3830" w:rsidRPr="007C2425">
        <w:rPr>
          <w:rFonts w:cs="Calibri"/>
          <w:i/>
          <w:szCs w:val="22"/>
        </w:rPr>
        <w:t>n situ</w:t>
      </w:r>
      <w:r w:rsidR="000B3830" w:rsidRPr="007C2425">
        <w:rPr>
          <w:rFonts w:cs="Calibri"/>
          <w:szCs w:val="22"/>
        </w:rPr>
        <w:t xml:space="preserve"> logging of the dissolved oxygen concentration, water temperature and incident irradiance</w:t>
      </w:r>
      <w:r w:rsidR="00895C3B">
        <w:rPr>
          <w:rFonts w:cs="Calibri"/>
          <w:szCs w:val="22"/>
        </w:rPr>
        <w:t xml:space="preserve"> </w:t>
      </w:r>
      <w:r w:rsidR="000B3830" w:rsidRPr="007C2425">
        <w:rPr>
          <w:rFonts w:cs="Calibri"/>
          <w:szCs w:val="22"/>
        </w:rPr>
        <w:t xml:space="preserve">were undertaken at </w:t>
      </w:r>
      <w:r w:rsidR="000B3830">
        <w:t>single river sites in the gorge (downstream of</w:t>
      </w:r>
      <w:r w:rsidR="00335B22">
        <w:t xml:space="preserve"> (below)</w:t>
      </w:r>
      <w:r w:rsidR="000B3830">
        <w:t xml:space="preserve"> </w:t>
      </w:r>
      <w:r w:rsidR="000B3830" w:rsidRPr="00367995">
        <w:rPr>
          <w:color w:val="auto"/>
        </w:rPr>
        <w:t>Lock 1) and floodplain (</w:t>
      </w:r>
      <w:r w:rsidR="00335B22">
        <w:rPr>
          <w:color w:val="auto"/>
        </w:rPr>
        <w:t>below</w:t>
      </w:r>
      <w:r w:rsidR="000B3830" w:rsidRPr="00367995">
        <w:rPr>
          <w:color w:val="auto"/>
        </w:rPr>
        <w:t xml:space="preserve"> Lock 6) geomorphic zones of the LMR Selected Area in 2015/16 (refer to LMR LTIM M&amp;E Plan). </w:t>
      </w:r>
      <w:r w:rsidR="000B3830" w:rsidRPr="00367995">
        <w:rPr>
          <w:rFonts w:cs="Calibri"/>
          <w:color w:val="auto"/>
          <w:szCs w:val="22"/>
        </w:rPr>
        <w:t>Discrete water quality samples were collected approximately every four weeks and analysed for chlorophyll-</w:t>
      </w:r>
      <w:r w:rsidR="000B3830" w:rsidRPr="00367995">
        <w:rPr>
          <w:rFonts w:cs="Calibri"/>
          <w:i/>
          <w:color w:val="auto"/>
          <w:szCs w:val="22"/>
        </w:rPr>
        <w:t>a</w:t>
      </w:r>
      <w:r w:rsidR="000B3830" w:rsidRPr="00367995">
        <w:rPr>
          <w:rFonts w:cs="Calibri"/>
          <w:color w:val="auto"/>
          <w:szCs w:val="22"/>
        </w:rPr>
        <w:t>, total nitrogen (TN, the sum of all forms of nitrogen), nitrate and nitrite combined (NO</w:t>
      </w:r>
      <w:r w:rsidR="000B3830" w:rsidRPr="00367995">
        <w:rPr>
          <w:rFonts w:cs="Calibri"/>
          <w:color w:val="auto"/>
          <w:szCs w:val="22"/>
          <w:vertAlign w:val="subscript"/>
        </w:rPr>
        <w:t>X,</w:t>
      </w:r>
      <w:r w:rsidR="000B3830" w:rsidRPr="00367995">
        <w:rPr>
          <w:rFonts w:cs="Calibri"/>
          <w:color w:val="auto"/>
          <w:szCs w:val="22"/>
        </w:rPr>
        <w:t xml:space="preserve"> the oxides of nitrogen), ammonium (NH</w:t>
      </w:r>
      <w:r w:rsidR="000B3830" w:rsidRPr="00367995">
        <w:rPr>
          <w:rFonts w:cs="Calibri"/>
          <w:color w:val="auto"/>
          <w:szCs w:val="22"/>
          <w:vertAlign w:val="subscript"/>
        </w:rPr>
        <w:t>4</w:t>
      </w:r>
      <w:r w:rsidR="000B3830" w:rsidRPr="00367995">
        <w:rPr>
          <w:rFonts w:cs="Calibri"/>
          <w:color w:val="auto"/>
          <w:szCs w:val="22"/>
        </w:rPr>
        <w:t>), total phosphorus (TP, the sum of all forms of phosphorus), dissolved forms of phosphorus (PO</w:t>
      </w:r>
      <w:r w:rsidR="000B3830" w:rsidRPr="00367995">
        <w:rPr>
          <w:rFonts w:cs="Calibri"/>
          <w:color w:val="auto"/>
          <w:szCs w:val="22"/>
          <w:vertAlign w:val="subscript"/>
        </w:rPr>
        <w:t>4</w:t>
      </w:r>
      <w:r w:rsidR="000B3830" w:rsidRPr="00367995">
        <w:rPr>
          <w:rFonts w:cs="Calibri"/>
          <w:color w:val="auto"/>
          <w:szCs w:val="22"/>
        </w:rPr>
        <w:t xml:space="preserve">), and dissolved organic carbon (DOC). </w:t>
      </w:r>
      <w:r w:rsidR="000B3830" w:rsidRPr="00367995">
        <w:rPr>
          <w:color w:val="auto"/>
        </w:rPr>
        <w:t xml:space="preserve">The detailed monitoring and analysis protocol described in Hale </w:t>
      </w:r>
      <w:r w:rsidR="000B3830" w:rsidRPr="00367995">
        <w:rPr>
          <w:i/>
          <w:color w:val="auto"/>
        </w:rPr>
        <w:t>et al.</w:t>
      </w:r>
      <w:r w:rsidR="000B3830" w:rsidRPr="00367995">
        <w:rPr>
          <w:color w:val="auto"/>
        </w:rPr>
        <w:t xml:space="preserve"> (2014), including collection of samples for water quality, was consistently followed, but with several small modifications (Appendix C).</w:t>
      </w:r>
    </w:p>
    <w:p w14:paraId="3E153FEA" w14:textId="61235E32" w:rsidR="008B6D70" w:rsidRPr="00367995" w:rsidRDefault="00FC58DF" w:rsidP="008B6D70">
      <w:pPr>
        <w:rPr>
          <w:rFonts w:cstheme="minorHAnsi"/>
          <w:color w:val="auto"/>
        </w:rPr>
      </w:pPr>
      <w:r w:rsidRPr="00367995">
        <w:rPr>
          <w:rFonts w:cstheme="minorHAnsi"/>
          <w:color w:val="auto"/>
        </w:rPr>
        <w:lastRenderedPageBreak/>
        <w:t>During the 2015/16 monitoring period, o</w:t>
      </w:r>
      <w:r w:rsidR="008B6D70" w:rsidRPr="00367995">
        <w:rPr>
          <w:rFonts w:cstheme="minorHAnsi"/>
          <w:color w:val="auto"/>
        </w:rPr>
        <w:t>xygen concentrations were maintained at acceptable levels</w:t>
      </w:r>
      <w:r w:rsidRPr="00367995">
        <w:rPr>
          <w:rFonts w:cstheme="minorHAnsi"/>
          <w:color w:val="auto"/>
        </w:rPr>
        <w:t xml:space="preserve"> (</w:t>
      </w:r>
      <w:r w:rsidR="005E1E37">
        <w:rPr>
          <w:rFonts w:cstheme="minorHAnsi"/>
          <w:color w:val="auto"/>
        </w:rPr>
        <w:t>&gt;50% saturation</w:t>
      </w:r>
      <w:r w:rsidR="00814778">
        <w:rPr>
          <w:rFonts w:cstheme="minorHAnsi"/>
          <w:color w:val="auto"/>
        </w:rPr>
        <w:t xml:space="preserve">, where </w:t>
      </w:r>
      <w:r w:rsidR="00814778">
        <w:t>100% saturation in the Murray River is typically 7–8 mg L</w:t>
      </w:r>
      <w:r w:rsidR="00814778" w:rsidRPr="00814778">
        <w:rPr>
          <w:vertAlign w:val="superscript"/>
        </w:rPr>
        <w:t>-1</w:t>
      </w:r>
      <w:r w:rsidR="00814778">
        <w:t xml:space="preserve"> during summer</w:t>
      </w:r>
      <w:r w:rsidRPr="00814778">
        <w:rPr>
          <w:rFonts w:cstheme="minorHAnsi"/>
          <w:color w:val="auto"/>
        </w:rPr>
        <w:t>)</w:t>
      </w:r>
      <w:r w:rsidR="008B6D70" w:rsidRPr="00814778">
        <w:rPr>
          <w:rFonts w:cstheme="minorHAnsi"/>
          <w:color w:val="auto"/>
        </w:rPr>
        <w:t xml:space="preserve">. </w:t>
      </w:r>
      <w:r w:rsidR="004C6818" w:rsidRPr="00814778">
        <w:rPr>
          <w:rFonts w:cstheme="minorHAnsi"/>
          <w:color w:val="auto"/>
        </w:rPr>
        <w:t>A</w:t>
      </w:r>
      <w:r w:rsidR="008B6D70" w:rsidRPr="00814778">
        <w:rPr>
          <w:rFonts w:cstheme="minorHAnsi"/>
          <w:color w:val="auto"/>
        </w:rPr>
        <w:t xml:space="preserve">t the site </w:t>
      </w:r>
      <w:r w:rsidR="00335B22" w:rsidRPr="00814778">
        <w:rPr>
          <w:rFonts w:cstheme="minorHAnsi"/>
          <w:color w:val="auto"/>
        </w:rPr>
        <w:t>below</w:t>
      </w:r>
      <w:r w:rsidR="008B6D70" w:rsidRPr="00814778">
        <w:rPr>
          <w:rFonts w:cstheme="minorHAnsi"/>
          <w:color w:val="auto"/>
        </w:rPr>
        <w:t xml:space="preserve"> Lock 1, three periods of reduced oxygen concentrat</w:t>
      </w:r>
      <w:r w:rsidR="008B6D70" w:rsidRPr="00367995">
        <w:rPr>
          <w:rFonts w:cstheme="minorHAnsi"/>
          <w:color w:val="auto"/>
        </w:rPr>
        <w:t xml:space="preserve">ion were </w:t>
      </w:r>
      <w:r w:rsidR="00CC238C">
        <w:rPr>
          <w:rFonts w:cstheme="minorHAnsi"/>
          <w:color w:val="auto"/>
        </w:rPr>
        <w:t>recorded</w:t>
      </w:r>
      <w:r w:rsidR="0034001F" w:rsidRPr="00367995">
        <w:rPr>
          <w:rFonts w:cstheme="minorHAnsi"/>
          <w:color w:val="auto"/>
        </w:rPr>
        <w:t xml:space="preserve"> reaching minimum values of 5 </w:t>
      </w:r>
      <w:r w:rsidR="008B6D70" w:rsidRPr="00367995">
        <w:rPr>
          <w:rFonts w:cstheme="minorHAnsi"/>
          <w:color w:val="auto"/>
        </w:rPr>
        <w:t>mg</w:t>
      </w:r>
      <w:r w:rsidR="0034001F" w:rsidRPr="00367995">
        <w:rPr>
          <w:rFonts w:cstheme="minorHAnsi"/>
          <w:color w:val="auto"/>
        </w:rPr>
        <w:t> </w:t>
      </w:r>
      <w:r w:rsidR="008B6D70" w:rsidRPr="00367995">
        <w:rPr>
          <w:rFonts w:cstheme="minorHAnsi"/>
          <w:color w:val="auto"/>
        </w:rPr>
        <w:t>L</w:t>
      </w:r>
      <w:r w:rsidR="0034001F" w:rsidRPr="00367995">
        <w:rPr>
          <w:rFonts w:cstheme="minorHAnsi"/>
          <w:color w:val="auto"/>
          <w:vertAlign w:val="superscript"/>
        </w:rPr>
        <w:t xml:space="preserve">-1 </w:t>
      </w:r>
      <w:r w:rsidR="0034001F" w:rsidRPr="00367995">
        <w:rPr>
          <w:rFonts w:cstheme="minorHAnsi"/>
          <w:color w:val="auto"/>
        </w:rPr>
        <w:t>(Figure C1 in Appendix C)</w:t>
      </w:r>
      <w:r w:rsidR="008B6D70" w:rsidRPr="00367995">
        <w:rPr>
          <w:rFonts w:cstheme="minorHAnsi"/>
          <w:color w:val="auto"/>
        </w:rPr>
        <w:t>.</w:t>
      </w:r>
      <w:r w:rsidR="004C6818">
        <w:rPr>
          <w:rFonts w:cstheme="minorHAnsi"/>
          <w:color w:val="auto"/>
        </w:rPr>
        <w:t xml:space="preserve"> Nevertheless,</w:t>
      </w:r>
      <w:r w:rsidR="008B6D70" w:rsidRPr="00367995">
        <w:rPr>
          <w:rFonts w:cstheme="minorHAnsi"/>
          <w:color w:val="auto"/>
        </w:rPr>
        <w:t xml:space="preserve"> </w:t>
      </w:r>
      <w:r w:rsidR="004C6818">
        <w:rPr>
          <w:rFonts w:cstheme="minorHAnsi"/>
          <w:color w:val="auto"/>
        </w:rPr>
        <w:t>i</w:t>
      </w:r>
      <w:r w:rsidR="001E3FF7">
        <w:rPr>
          <w:rFonts w:cstheme="minorHAnsi"/>
          <w:color w:val="auto"/>
        </w:rPr>
        <w:t>t is suspected that these resulted from biofouling of the oxygen sonde</w:t>
      </w:r>
      <w:r w:rsidR="006D4E95" w:rsidRPr="006D4E95">
        <w:rPr>
          <w:rFonts w:cstheme="minorHAnsi"/>
          <w:color w:val="auto"/>
        </w:rPr>
        <w:t xml:space="preserve"> </w:t>
      </w:r>
      <w:r w:rsidR="009350EE">
        <w:rPr>
          <w:rFonts w:cstheme="minorHAnsi"/>
          <w:color w:val="auto"/>
        </w:rPr>
        <w:t xml:space="preserve">housing </w:t>
      </w:r>
      <w:r w:rsidR="00E70115">
        <w:rPr>
          <w:rFonts w:cstheme="minorHAnsi"/>
          <w:color w:val="auto"/>
        </w:rPr>
        <w:t xml:space="preserve">(probe error) </w:t>
      </w:r>
      <w:r w:rsidR="006D4E95">
        <w:rPr>
          <w:rFonts w:cstheme="minorHAnsi"/>
          <w:color w:val="auto"/>
        </w:rPr>
        <w:t xml:space="preserve">as </w:t>
      </w:r>
      <w:r w:rsidR="003E0A59">
        <w:rPr>
          <w:rFonts w:cstheme="minorHAnsi"/>
          <w:color w:val="auto"/>
        </w:rPr>
        <w:t>extensive</w:t>
      </w:r>
      <w:r w:rsidR="006D4E95">
        <w:rPr>
          <w:rFonts w:cstheme="minorHAnsi"/>
          <w:color w:val="auto"/>
        </w:rPr>
        <w:t xml:space="preserve"> analyses excluded other </w:t>
      </w:r>
      <w:r w:rsidR="009350EE">
        <w:rPr>
          <w:rFonts w:cstheme="minorHAnsi"/>
          <w:color w:val="auto"/>
        </w:rPr>
        <w:t>likely environmental</w:t>
      </w:r>
      <w:r w:rsidR="006D4E95">
        <w:rPr>
          <w:rFonts w:cstheme="minorHAnsi"/>
          <w:color w:val="auto"/>
        </w:rPr>
        <w:t xml:space="preserve"> explanations</w:t>
      </w:r>
      <w:r w:rsidR="00CC238C">
        <w:rPr>
          <w:rFonts w:cstheme="minorHAnsi"/>
          <w:color w:val="auto"/>
        </w:rPr>
        <w:t xml:space="preserve"> (Appendix C)</w:t>
      </w:r>
      <w:r w:rsidR="001E3FF7">
        <w:rPr>
          <w:rFonts w:cstheme="minorHAnsi"/>
          <w:color w:val="auto"/>
        </w:rPr>
        <w:t xml:space="preserve">. </w:t>
      </w:r>
    </w:p>
    <w:p w14:paraId="242CB454" w14:textId="475ADA88" w:rsidR="00A22FED" w:rsidRDefault="00EB5A7F" w:rsidP="008B6D70">
      <w:pPr>
        <w:rPr>
          <w:rFonts w:cstheme="minorHAnsi"/>
          <w:color w:val="auto"/>
        </w:rPr>
      </w:pPr>
      <w:r w:rsidRPr="00367995">
        <w:rPr>
          <w:rFonts w:cstheme="minorHAnsi"/>
          <w:color w:val="auto"/>
        </w:rPr>
        <w:t xml:space="preserve">At both sampling sites, metabolic activity </w:t>
      </w:r>
      <w:r w:rsidR="005E1E37">
        <w:rPr>
          <w:rFonts w:cstheme="minorHAnsi"/>
          <w:color w:val="auto"/>
        </w:rPr>
        <w:t xml:space="preserve">(GPP and ER) </w:t>
      </w:r>
      <w:r w:rsidRPr="00367995">
        <w:rPr>
          <w:rFonts w:cstheme="minorHAnsi"/>
          <w:color w:val="auto"/>
        </w:rPr>
        <w:t xml:space="preserve">gradually increased </w:t>
      </w:r>
      <w:r w:rsidR="005E1E37">
        <w:rPr>
          <w:rFonts w:cstheme="minorHAnsi"/>
          <w:color w:val="auto"/>
        </w:rPr>
        <w:t xml:space="preserve">in magnitude </w:t>
      </w:r>
      <w:r w:rsidRPr="00367995">
        <w:rPr>
          <w:rFonts w:cstheme="minorHAnsi"/>
          <w:color w:val="auto"/>
        </w:rPr>
        <w:t xml:space="preserve">over the sampling period, although there were differences in specific patterns between the two sites (Figures C2 and C6 in Appendix C). </w:t>
      </w:r>
      <w:r w:rsidR="008B6D70" w:rsidRPr="00367995">
        <w:rPr>
          <w:rFonts w:cstheme="minorHAnsi"/>
          <w:color w:val="auto"/>
        </w:rPr>
        <w:t xml:space="preserve">Metabolic activity was enhanced at the site </w:t>
      </w:r>
      <w:r w:rsidR="00335B22">
        <w:rPr>
          <w:rFonts w:cstheme="minorHAnsi"/>
          <w:color w:val="auto"/>
        </w:rPr>
        <w:t>below</w:t>
      </w:r>
      <w:r w:rsidR="008B6D70" w:rsidRPr="00367995">
        <w:rPr>
          <w:rFonts w:cstheme="minorHAnsi"/>
          <w:color w:val="auto"/>
        </w:rPr>
        <w:t xml:space="preserve"> Lock 6 </w:t>
      </w:r>
      <w:r w:rsidR="00B77FBD">
        <w:rPr>
          <w:rFonts w:cstheme="minorHAnsi"/>
          <w:color w:val="auto"/>
        </w:rPr>
        <w:t>(i</w:t>
      </w:r>
      <w:r w:rsidR="00053CC6">
        <w:rPr>
          <w:rFonts w:cstheme="minorHAnsi"/>
          <w:color w:val="auto"/>
        </w:rPr>
        <w:t>.</w:t>
      </w:r>
      <w:r w:rsidR="00B77FBD">
        <w:rPr>
          <w:rFonts w:cstheme="minorHAnsi"/>
          <w:color w:val="auto"/>
        </w:rPr>
        <w:t>e. in</w:t>
      </w:r>
      <w:r w:rsidR="00053CC6">
        <w:rPr>
          <w:rFonts w:cstheme="minorHAnsi"/>
          <w:color w:val="auto"/>
        </w:rPr>
        <w:t xml:space="preserve"> Weir Pool</w:t>
      </w:r>
      <w:r w:rsidR="00B77FBD">
        <w:rPr>
          <w:rFonts w:cstheme="minorHAnsi"/>
          <w:color w:val="auto"/>
        </w:rPr>
        <w:t xml:space="preserve"> 5) </w:t>
      </w:r>
      <w:r w:rsidR="0021002A" w:rsidRPr="00367995">
        <w:rPr>
          <w:rFonts w:cstheme="minorHAnsi"/>
          <w:color w:val="auto"/>
        </w:rPr>
        <w:t>from</w:t>
      </w:r>
      <w:r w:rsidR="0034001F" w:rsidRPr="00367995">
        <w:rPr>
          <w:rFonts w:cstheme="minorHAnsi"/>
          <w:color w:val="auto"/>
        </w:rPr>
        <w:t xml:space="preserve"> </w:t>
      </w:r>
      <w:r w:rsidR="0021002A" w:rsidRPr="00367995">
        <w:rPr>
          <w:rFonts w:cstheme="minorHAnsi"/>
          <w:color w:val="auto"/>
        </w:rPr>
        <w:t xml:space="preserve">early </w:t>
      </w:r>
      <w:r w:rsidR="0034001F" w:rsidRPr="00367995">
        <w:rPr>
          <w:rFonts w:cstheme="minorHAnsi"/>
          <w:color w:val="auto"/>
        </w:rPr>
        <w:t xml:space="preserve">October </w:t>
      </w:r>
      <w:r w:rsidR="0021002A" w:rsidRPr="00367995">
        <w:rPr>
          <w:rFonts w:cstheme="minorHAnsi"/>
          <w:color w:val="auto"/>
        </w:rPr>
        <w:t xml:space="preserve">to early November </w:t>
      </w:r>
      <w:r w:rsidR="0034001F" w:rsidRPr="00367995">
        <w:rPr>
          <w:rFonts w:cstheme="minorHAnsi"/>
          <w:color w:val="auto"/>
        </w:rPr>
        <w:t>201</w:t>
      </w:r>
      <w:r w:rsidR="00263767">
        <w:rPr>
          <w:rFonts w:cstheme="minorHAnsi"/>
          <w:color w:val="auto"/>
        </w:rPr>
        <w:t>5</w:t>
      </w:r>
      <w:r w:rsidR="0034001F" w:rsidRPr="00367995">
        <w:rPr>
          <w:rFonts w:cstheme="minorHAnsi"/>
          <w:color w:val="auto"/>
        </w:rPr>
        <w:t>, when</w:t>
      </w:r>
      <w:r w:rsidR="008B6D70" w:rsidRPr="00367995">
        <w:rPr>
          <w:rFonts w:cstheme="minorHAnsi"/>
          <w:color w:val="auto"/>
        </w:rPr>
        <w:t xml:space="preserve"> </w:t>
      </w:r>
      <w:r w:rsidR="00053CC6">
        <w:rPr>
          <w:rFonts w:cstheme="minorHAnsi"/>
          <w:color w:val="auto"/>
        </w:rPr>
        <w:t>this w</w:t>
      </w:r>
      <w:r w:rsidR="008B6D70" w:rsidRPr="00367995">
        <w:rPr>
          <w:rFonts w:cstheme="minorHAnsi"/>
          <w:color w:val="auto"/>
        </w:rPr>
        <w:t xml:space="preserve">eir </w:t>
      </w:r>
      <w:r w:rsidR="00053CC6">
        <w:rPr>
          <w:rFonts w:cstheme="minorHAnsi"/>
          <w:color w:val="auto"/>
        </w:rPr>
        <w:t>p</w:t>
      </w:r>
      <w:r w:rsidR="008B6D70" w:rsidRPr="00367995">
        <w:rPr>
          <w:rFonts w:cstheme="minorHAnsi"/>
          <w:color w:val="auto"/>
        </w:rPr>
        <w:t xml:space="preserve">ool </w:t>
      </w:r>
      <w:r w:rsidR="00305B73">
        <w:rPr>
          <w:rFonts w:cstheme="minorHAnsi"/>
          <w:color w:val="auto"/>
        </w:rPr>
        <w:t xml:space="preserve">was </w:t>
      </w:r>
      <w:r w:rsidR="008B6D70" w:rsidRPr="00367995">
        <w:rPr>
          <w:rFonts w:cstheme="minorHAnsi"/>
          <w:color w:val="auto"/>
        </w:rPr>
        <w:t>being raised</w:t>
      </w:r>
      <w:r w:rsidR="008B28FD">
        <w:rPr>
          <w:rFonts w:cstheme="minorHAnsi"/>
          <w:color w:val="auto"/>
        </w:rPr>
        <w:t>,</w:t>
      </w:r>
      <w:r w:rsidR="008B6D70" w:rsidRPr="00367995">
        <w:rPr>
          <w:rFonts w:cstheme="minorHAnsi"/>
          <w:color w:val="auto"/>
        </w:rPr>
        <w:t xml:space="preserve"> </w:t>
      </w:r>
      <w:r w:rsidR="00FB0E94">
        <w:rPr>
          <w:rFonts w:cstheme="minorHAnsi"/>
          <w:color w:val="auto"/>
        </w:rPr>
        <w:t xml:space="preserve">supported by </w:t>
      </w:r>
      <w:r w:rsidR="008B6D70" w:rsidRPr="00367995">
        <w:rPr>
          <w:rFonts w:cstheme="minorHAnsi"/>
          <w:color w:val="auto"/>
        </w:rPr>
        <w:t>Commonwealth environmental water</w:t>
      </w:r>
      <w:r w:rsidR="0034001F" w:rsidRPr="00367995">
        <w:rPr>
          <w:rFonts w:cstheme="minorHAnsi"/>
          <w:color w:val="auto"/>
        </w:rPr>
        <w:t xml:space="preserve"> </w:t>
      </w:r>
      <w:r w:rsidR="00A22FED" w:rsidRPr="00367995">
        <w:rPr>
          <w:rFonts w:cstheme="minorHAnsi"/>
          <w:color w:val="auto"/>
        </w:rPr>
        <w:t>(</w:t>
      </w:r>
      <w:r w:rsidR="00C63D36">
        <w:rPr>
          <w:rFonts w:cstheme="minorHAnsi"/>
          <w:color w:val="auto"/>
        </w:rPr>
        <w:fldChar w:fldCharType="begin"/>
      </w:r>
      <w:r w:rsidR="00C63D36">
        <w:rPr>
          <w:rFonts w:cstheme="minorHAnsi"/>
          <w:color w:val="auto"/>
        </w:rPr>
        <w:instrText xml:space="preserve"> REF _Ref468276189 \h </w:instrText>
      </w:r>
      <w:r w:rsidR="00C63D36">
        <w:rPr>
          <w:rFonts w:cstheme="minorHAnsi"/>
          <w:color w:val="auto"/>
        </w:rPr>
      </w:r>
      <w:r w:rsidR="00C63D36">
        <w:rPr>
          <w:rFonts w:cstheme="minorHAnsi"/>
          <w:color w:val="auto"/>
        </w:rPr>
        <w:fldChar w:fldCharType="separate"/>
      </w:r>
      <w:r w:rsidR="004260C4">
        <w:t xml:space="preserve">Figure </w:t>
      </w:r>
      <w:r w:rsidR="004260C4">
        <w:rPr>
          <w:noProof/>
        </w:rPr>
        <w:t>9</w:t>
      </w:r>
      <w:r w:rsidR="00C63D36">
        <w:rPr>
          <w:rFonts w:cstheme="minorHAnsi"/>
          <w:color w:val="auto"/>
        </w:rPr>
        <w:fldChar w:fldCharType="end"/>
      </w:r>
      <w:r w:rsidR="00A22FED">
        <w:rPr>
          <w:rFonts w:cstheme="minorHAnsi"/>
          <w:color w:val="auto"/>
        </w:rPr>
        <w:t xml:space="preserve">; </w:t>
      </w:r>
      <w:r w:rsidR="00A22FED" w:rsidRPr="00367995">
        <w:rPr>
          <w:rFonts w:cstheme="minorHAnsi"/>
          <w:color w:val="auto"/>
        </w:rPr>
        <w:t>Figure B1 in Appendix B)</w:t>
      </w:r>
      <w:r w:rsidR="008B6D70" w:rsidRPr="00367995">
        <w:rPr>
          <w:rFonts w:cstheme="minorHAnsi"/>
          <w:color w:val="auto"/>
        </w:rPr>
        <w:t>. It is suggested that the changes in metabolism reflect</w:t>
      </w:r>
      <w:r w:rsidRPr="00367995">
        <w:rPr>
          <w:rFonts w:cstheme="minorHAnsi"/>
          <w:color w:val="auto"/>
        </w:rPr>
        <w:t>ed</w:t>
      </w:r>
      <w:r w:rsidR="008B6D70" w:rsidRPr="00367995">
        <w:rPr>
          <w:rFonts w:cstheme="minorHAnsi"/>
          <w:color w:val="auto"/>
        </w:rPr>
        <w:t xml:space="preserve"> the increased connection between the river and th</w:t>
      </w:r>
      <w:r w:rsidR="001E29E0">
        <w:rPr>
          <w:rFonts w:cstheme="minorHAnsi"/>
          <w:color w:val="auto"/>
        </w:rPr>
        <w:t>e floodplain resulting from WPR</w:t>
      </w:r>
      <w:r w:rsidR="008B6D70" w:rsidRPr="00367995">
        <w:rPr>
          <w:rFonts w:cstheme="minorHAnsi"/>
          <w:color w:val="auto"/>
        </w:rPr>
        <w:t xml:space="preserve">. </w:t>
      </w:r>
      <w:r w:rsidR="00053CC6">
        <w:rPr>
          <w:rFonts w:cstheme="minorHAnsi"/>
        </w:rPr>
        <w:t>As water levels in Weir Pool 5 began to recede following WPR, there was a decrease in ER to mid-November. However, as the rate of decline slowed, ER began to increase again with a peak occurring ~26 November, aligning with the cessation of water level decline (</w:t>
      </w:r>
      <w:r w:rsidR="00053CC6">
        <w:rPr>
          <w:rFonts w:cstheme="minorHAnsi"/>
        </w:rPr>
        <w:fldChar w:fldCharType="begin"/>
      </w:r>
      <w:r w:rsidR="00053CC6">
        <w:rPr>
          <w:rFonts w:cstheme="minorHAnsi"/>
        </w:rPr>
        <w:instrText xml:space="preserve"> REF _Ref468276189 \h </w:instrText>
      </w:r>
      <w:r w:rsidR="00053CC6">
        <w:rPr>
          <w:rFonts w:cstheme="minorHAnsi"/>
        </w:rPr>
      </w:r>
      <w:r w:rsidR="00053CC6">
        <w:rPr>
          <w:rFonts w:cstheme="minorHAnsi"/>
        </w:rPr>
        <w:fldChar w:fldCharType="separate"/>
      </w:r>
      <w:r w:rsidR="004260C4">
        <w:t xml:space="preserve">Figure </w:t>
      </w:r>
      <w:r w:rsidR="004260C4">
        <w:rPr>
          <w:noProof/>
        </w:rPr>
        <w:t>9</w:t>
      </w:r>
      <w:r w:rsidR="00053CC6">
        <w:rPr>
          <w:rFonts w:cstheme="minorHAnsi"/>
        </w:rPr>
        <w:fldChar w:fldCharType="end"/>
      </w:r>
      <w:r w:rsidR="00053CC6">
        <w:rPr>
          <w:rFonts w:cstheme="minorHAnsi"/>
        </w:rPr>
        <w:t xml:space="preserve">). These increased respiration rates following the return of the weir pool to operating height aligned with </w:t>
      </w:r>
      <w:r w:rsidR="001A3BBB">
        <w:rPr>
          <w:rFonts w:cstheme="minorHAnsi"/>
        </w:rPr>
        <w:t xml:space="preserve">the period of the drawdown of water levels in </w:t>
      </w:r>
      <w:r w:rsidR="00F249BD">
        <w:rPr>
          <w:rFonts w:cstheme="minorHAnsi"/>
        </w:rPr>
        <w:t xml:space="preserve">the Chowilla Anabranch, following a regulated in-channel rise event </w:t>
      </w:r>
      <w:r w:rsidR="00583A16">
        <w:rPr>
          <w:rFonts w:cstheme="minorHAnsi"/>
        </w:rPr>
        <w:t>(</w:t>
      </w:r>
      <w:r w:rsidR="006149D2">
        <w:rPr>
          <w:rFonts w:cstheme="minorHAnsi"/>
        </w:rPr>
        <w:fldChar w:fldCharType="begin"/>
      </w:r>
      <w:r w:rsidR="006149D2">
        <w:rPr>
          <w:rFonts w:cstheme="minorHAnsi"/>
        </w:rPr>
        <w:instrText xml:space="preserve"> REF _Ref470185120 \h </w:instrText>
      </w:r>
      <w:r w:rsidR="006149D2">
        <w:rPr>
          <w:rFonts w:cstheme="minorHAnsi"/>
        </w:rPr>
      </w:r>
      <w:r w:rsidR="006149D2">
        <w:rPr>
          <w:rFonts w:cstheme="minorHAnsi"/>
        </w:rPr>
        <w:fldChar w:fldCharType="separate"/>
      </w:r>
      <w:r w:rsidR="004260C4">
        <w:t xml:space="preserve">Figure </w:t>
      </w:r>
      <w:r w:rsidR="004260C4">
        <w:rPr>
          <w:noProof/>
        </w:rPr>
        <w:t>5</w:t>
      </w:r>
      <w:r w:rsidR="006149D2">
        <w:rPr>
          <w:rFonts w:cstheme="minorHAnsi"/>
        </w:rPr>
        <w:fldChar w:fldCharType="end"/>
      </w:r>
      <w:r w:rsidR="006149D2">
        <w:rPr>
          <w:rFonts w:cstheme="minorHAnsi"/>
        </w:rPr>
        <w:t>;</w:t>
      </w:r>
      <w:r w:rsidR="00583A16">
        <w:rPr>
          <w:rFonts w:cstheme="minorHAnsi"/>
        </w:rPr>
        <w:t xml:space="preserve"> Figure C3b in Appendix C</w:t>
      </w:r>
      <w:r w:rsidR="006149D2">
        <w:rPr>
          <w:rFonts w:cstheme="minorHAnsi"/>
        </w:rPr>
        <w:t>; Appendix B</w:t>
      </w:r>
      <w:r w:rsidR="00583A16">
        <w:rPr>
          <w:rFonts w:cstheme="minorHAnsi"/>
        </w:rPr>
        <w:t>). This return of water from the anabranch was also associated with an increase in GPP</w:t>
      </w:r>
      <w:r w:rsidR="00583A16" w:rsidRPr="0075516A">
        <w:rPr>
          <w:rFonts w:cstheme="minorHAnsi"/>
        </w:rPr>
        <w:t xml:space="preserve"> </w:t>
      </w:r>
      <w:r w:rsidR="00583A16">
        <w:rPr>
          <w:rFonts w:cstheme="minorHAnsi"/>
        </w:rPr>
        <w:t>and so may have contributed to the general increase in metabolism, although the junction is downstream of the sampling site and so its direct influence is difficult to assess.</w:t>
      </w:r>
    </w:p>
    <w:p w14:paraId="5C2BBA9B" w14:textId="0A68B5B8" w:rsidR="00A22FED" w:rsidRDefault="003D0382" w:rsidP="00A22FED">
      <w:pPr>
        <w:rPr>
          <w:rFonts w:cstheme="minorHAnsi"/>
          <w:color w:val="auto"/>
        </w:rPr>
      </w:pPr>
      <w:r w:rsidRPr="003D0382">
        <w:rPr>
          <w:noProof/>
          <w:lang w:eastAsia="en-AU"/>
        </w:rPr>
        <w:lastRenderedPageBreak/>
        <w:drawing>
          <wp:inline distT="0" distB="0" distL="0" distR="0" wp14:anchorId="77EA0498" wp14:editId="77681756">
            <wp:extent cx="5788025" cy="4088765"/>
            <wp:effectExtent l="0" t="0" r="3175" b="698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88025" cy="4088765"/>
                    </a:xfrm>
                    <a:prstGeom prst="rect">
                      <a:avLst/>
                    </a:prstGeom>
                    <a:noFill/>
                    <a:ln>
                      <a:noFill/>
                    </a:ln>
                  </pic:spPr>
                </pic:pic>
              </a:graphicData>
            </a:graphic>
          </wp:inline>
        </w:drawing>
      </w:r>
      <w:r w:rsidRPr="003D0382">
        <w:t xml:space="preserve"> </w:t>
      </w:r>
    </w:p>
    <w:p w14:paraId="14A2BE81" w14:textId="1440E349" w:rsidR="00A22FED" w:rsidRDefault="00C63D36" w:rsidP="008B28FD">
      <w:pPr>
        <w:pStyle w:val="Caption"/>
      </w:pPr>
      <w:bookmarkStart w:id="73" w:name="_Ref468276189"/>
      <w:bookmarkStart w:id="74" w:name="_Toc474147033"/>
      <w:r>
        <w:t xml:space="preserve">Figure </w:t>
      </w:r>
      <w:r w:rsidR="002A5644">
        <w:fldChar w:fldCharType="begin"/>
      </w:r>
      <w:r w:rsidR="002A5644">
        <w:instrText xml:space="preserve"> SEQ Figure \* ARABIC </w:instrText>
      </w:r>
      <w:r w:rsidR="002A5644">
        <w:fldChar w:fldCharType="separate"/>
      </w:r>
      <w:r w:rsidR="004260C4">
        <w:rPr>
          <w:noProof/>
        </w:rPr>
        <w:t>9</w:t>
      </w:r>
      <w:r w:rsidR="002A5644">
        <w:rPr>
          <w:noProof/>
        </w:rPr>
        <w:fldChar w:fldCharType="end"/>
      </w:r>
      <w:bookmarkEnd w:id="73"/>
      <w:r w:rsidR="00A22FED">
        <w:t xml:space="preserve">. </w:t>
      </w:r>
      <w:r w:rsidR="00A22FED" w:rsidRPr="007F5181">
        <w:t>Comparison of time series of rates of gross primary production</w:t>
      </w:r>
      <w:r w:rsidR="00A22FED">
        <w:t xml:space="preserve"> (GPP)</w:t>
      </w:r>
      <w:r w:rsidR="00A22FED" w:rsidRPr="007F5181">
        <w:t xml:space="preserve">, ecosystem respiration </w:t>
      </w:r>
      <w:r w:rsidR="00A22FED">
        <w:t xml:space="preserve">(ER) </w:t>
      </w:r>
      <w:r w:rsidR="00A22FED" w:rsidRPr="007F5181">
        <w:t xml:space="preserve">and ecosystem net production </w:t>
      </w:r>
      <w:r w:rsidR="00A22FED">
        <w:t xml:space="preserve">(ENP) </w:t>
      </w:r>
      <w:r w:rsidR="00A22FED" w:rsidRPr="007F5181">
        <w:t xml:space="preserve">with water levels </w:t>
      </w:r>
      <w:r w:rsidR="00B77FBD">
        <w:t xml:space="preserve">in the weir pool </w:t>
      </w:r>
      <w:r w:rsidR="00A22FED">
        <w:t>upstream of Lock 5 (m AHD)</w:t>
      </w:r>
      <w:r w:rsidR="00A22FED" w:rsidRPr="007F5181">
        <w:t>.</w:t>
      </w:r>
      <w:bookmarkEnd w:id="74"/>
    </w:p>
    <w:p w14:paraId="5041BBB7" w14:textId="1A82ECE6" w:rsidR="008B6D70" w:rsidRPr="00367995" w:rsidRDefault="00335B22" w:rsidP="008B6D70">
      <w:pPr>
        <w:rPr>
          <w:rFonts w:cstheme="minorHAnsi"/>
          <w:color w:val="auto"/>
        </w:rPr>
      </w:pPr>
      <w:r>
        <w:rPr>
          <w:rFonts w:cstheme="minorHAnsi"/>
          <w:color w:val="auto"/>
        </w:rPr>
        <w:t>Below</w:t>
      </w:r>
      <w:r w:rsidR="004C6818">
        <w:rPr>
          <w:rFonts w:cstheme="minorHAnsi"/>
          <w:color w:val="auto"/>
        </w:rPr>
        <w:t xml:space="preserve"> Lock 6, integration of</w:t>
      </w:r>
      <w:r w:rsidR="008B6D70" w:rsidRPr="00367995">
        <w:rPr>
          <w:rFonts w:cstheme="minorHAnsi"/>
          <w:color w:val="auto"/>
        </w:rPr>
        <w:t xml:space="preserve"> the metabolic responses over the </w:t>
      </w:r>
      <w:r w:rsidR="005E1E37">
        <w:rPr>
          <w:rFonts w:cstheme="minorHAnsi"/>
          <w:color w:val="auto"/>
        </w:rPr>
        <w:t>total duration of the</w:t>
      </w:r>
      <w:r w:rsidR="008B6D70" w:rsidRPr="00367995">
        <w:rPr>
          <w:rFonts w:cstheme="minorHAnsi"/>
          <w:color w:val="auto"/>
        </w:rPr>
        <w:t xml:space="preserve"> monitoring period produced an ENP close to zero </w:t>
      </w:r>
      <w:r w:rsidR="0034001F" w:rsidRPr="00367995">
        <w:rPr>
          <w:rFonts w:cstheme="minorHAnsi"/>
          <w:color w:val="auto"/>
        </w:rPr>
        <w:t xml:space="preserve">(Figure C5 in Appendix C), </w:t>
      </w:r>
      <w:r w:rsidR="00F249BD" w:rsidRPr="00367995">
        <w:rPr>
          <w:rFonts w:cstheme="minorHAnsi"/>
          <w:color w:val="auto"/>
        </w:rPr>
        <w:t xml:space="preserve">suggesting that the flooded area was enhancing aquatic phototrophic production, and that this was largely returned to the river. This response is important as intermittent periods of increased supplies of organic material are </w:t>
      </w:r>
      <w:r w:rsidR="00A60763">
        <w:rPr>
          <w:rFonts w:cstheme="minorHAnsi"/>
          <w:color w:val="auto"/>
        </w:rPr>
        <w:t>important</w:t>
      </w:r>
      <w:r w:rsidR="00F249BD" w:rsidRPr="00367995">
        <w:rPr>
          <w:rFonts w:cstheme="minorHAnsi"/>
          <w:color w:val="auto"/>
        </w:rPr>
        <w:t xml:space="preserve"> to the food webs of the Murray River. Their decline in frequency, duration and extent has been proposed as a major cause of reductions of aquatic biota, through </w:t>
      </w:r>
      <w:r w:rsidR="00F249BD">
        <w:rPr>
          <w:rFonts w:cstheme="minorHAnsi"/>
          <w:color w:val="auto"/>
        </w:rPr>
        <w:t>decrease</w:t>
      </w:r>
      <w:r w:rsidR="00F249BD" w:rsidRPr="00367995">
        <w:rPr>
          <w:rFonts w:cstheme="minorHAnsi"/>
          <w:color w:val="auto"/>
        </w:rPr>
        <w:t>s in food supplies (</w:t>
      </w:r>
      <w:r w:rsidR="00F249BD" w:rsidRPr="00367995">
        <w:rPr>
          <w:color w:val="auto"/>
        </w:rPr>
        <w:t>Oliver and Merrick 2006; Oliver and Lorenz 2010</w:t>
      </w:r>
      <w:r w:rsidR="00F249BD" w:rsidRPr="00367995">
        <w:rPr>
          <w:rFonts w:cstheme="minorHAnsi"/>
          <w:color w:val="auto"/>
        </w:rPr>
        <w:t xml:space="preserve">). </w:t>
      </w:r>
    </w:p>
    <w:p w14:paraId="04CB2ECE" w14:textId="5B8EFF85" w:rsidR="008B6D70" w:rsidRPr="00367995" w:rsidRDefault="00335B22" w:rsidP="008B6D70">
      <w:pPr>
        <w:rPr>
          <w:rFonts w:cstheme="minorHAnsi"/>
          <w:color w:val="auto"/>
        </w:rPr>
      </w:pPr>
      <w:r>
        <w:rPr>
          <w:rFonts w:cstheme="minorHAnsi"/>
          <w:color w:val="auto"/>
        </w:rPr>
        <w:t>Below</w:t>
      </w:r>
      <w:r w:rsidR="008B6D70" w:rsidRPr="00367995">
        <w:rPr>
          <w:rFonts w:cstheme="minorHAnsi"/>
          <w:color w:val="auto"/>
        </w:rPr>
        <w:t xml:space="preserve"> Lock 1, there were several cycles of increasing and then </w:t>
      </w:r>
      <w:r w:rsidR="00053CC6">
        <w:rPr>
          <w:rFonts w:cstheme="minorHAnsi"/>
          <w:color w:val="auto"/>
        </w:rPr>
        <w:t xml:space="preserve">decreasing </w:t>
      </w:r>
      <w:r w:rsidR="008B6D70" w:rsidRPr="00367995">
        <w:rPr>
          <w:rFonts w:cstheme="minorHAnsi"/>
          <w:color w:val="auto"/>
        </w:rPr>
        <w:t>metabolic activity that appeared to be responsible</w:t>
      </w:r>
      <w:r w:rsidR="00EB5A7F" w:rsidRPr="00367995">
        <w:rPr>
          <w:rFonts w:cstheme="minorHAnsi"/>
          <w:color w:val="auto"/>
        </w:rPr>
        <w:t>,</w:t>
      </w:r>
      <w:r w:rsidR="008B6D70" w:rsidRPr="00367995">
        <w:rPr>
          <w:rFonts w:cstheme="minorHAnsi"/>
          <w:color w:val="auto"/>
        </w:rPr>
        <w:t xml:space="preserve"> at times</w:t>
      </w:r>
      <w:r w:rsidR="00EB5A7F" w:rsidRPr="00367995">
        <w:rPr>
          <w:rFonts w:cstheme="minorHAnsi"/>
          <w:color w:val="auto"/>
        </w:rPr>
        <w:t>,</w:t>
      </w:r>
      <w:r w:rsidR="008B6D70" w:rsidRPr="00367995">
        <w:rPr>
          <w:rFonts w:cstheme="minorHAnsi"/>
          <w:color w:val="auto"/>
        </w:rPr>
        <w:t xml:space="preserve"> for driving down oxygen concentrations</w:t>
      </w:r>
      <w:r w:rsidR="006E6449" w:rsidRPr="00367995">
        <w:rPr>
          <w:rFonts w:cstheme="minorHAnsi"/>
          <w:color w:val="auto"/>
        </w:rPr>
        <w:t xml:space="preserve"> (Figures C1 and C6 in Appendix C)</w:t>
      </w:r>
      <w:r w:rsidR="008B6D70" w:rsidRPr="00367995">
        <w:rPr>
          <w:rFonts w:cstheme="minorHAnsi"/>
          <w:color w:val="auto"/>
        </w:rPr>
        <w:t xml:space="preserve">. </w:t>
      </w:r>
      <w:r w:rsidR="00053CC6">
        <w:rPr>
          <w:rFonts w:cstheme="minorHAnsi"/>
        </w:rPr>
        <w:t>These results were attributed to the unusual extent of biofouling that was not observed at the site below Lock 6. Further discussion relating to probe error is provided in Appendix C.</w:t>
      </w:r>
    </w:p>
    <w:p w14:paraId="7C5CD5A0" w14:textId="77777777" w:rsidR="00DC2298" w:rsidRDefault="00DC2298" w:rsidP="00DC2298">
      <w:pPr>
        <w:pStyle w:val="Heading3"/>
      </w:pPr>
      <w:bookmarkStart w:id="75" w:name="_Toc441838731"/>
      <w:bookmarkStart w:id="76" w:name="_Toc474147056"/>
      <w:r w:rsidRPr="00412E7A">
        <w:lastRenderedPageBreak/>
        <w:t>Fish (channel)</w:t>
      </w:r>
      <w:bookmarkEnd w:id="75"/>
      <w:bookmarkEnd w:id="76"/>
    </w:p>
    <w:p w14:paraId="01C08F6A" w14:textId="7DA1B594" w:rsidR="008C408A" w:rsidRDefault="002751B8" w:rsidP="00CD55D4">
      <w:pPr>
        <w:rPr>
          <w:lang w:val="en-US"/>
        </w:rPr>
      </w:pPr>
      <w:r w:rsidRPr="003C4AE8">
        <w:rPr>
          <w:lang w:val="en-US"/>
        </w:rPr>
        <w:t xml:space="preserve">The </w:t>
      </w:r>
      <w:r>
        <w:rPr>
          <w:lang w:val="en-US"/>
        </w:rPr>
        <w:t>main channel of the LMR</w:t>
      </w:r>
      <w:r w:rsidRPr="003C4AE8">
        <w:rPr>
          <w:lang w:val="en-US"/>
        </w:rPr>
        <w:t xml:space="preserve"> supports a diverse fish assemblage, which is comprised of small- and large-bodied species that have </w:t>
      </w:r>
      <w:r>
        <w:rPr>
          <w:lang w:val="en-US"/>
        </w:rPr>
        <w:t>various</w:t>
      </w:r>
      <w:r w:rsidRPr="003C4AE8">
        <w:rPr>
          <w:lang w:val="en-US"/>
        </w:rPr>
        <w:t xml:space="preserve"> life history requirements</w:t>
      </w:r>
      <w:r>
        <w:rPr>
          <w:lang w:val="en-US"/>
        </w:rPr>
        <w:t xml:space="preserve"> (e.g. reproduction and habitat use)</w:t>
      </w:r>
      <w:r w:rsidRPr="003C4AE8">
        <w:rPr>
          <w:lang w:val="en-US"/>
        </w:rPr>
        <w:t>.</w:t>
      </w:r>
      <w:r w:rsidR="00867B05">
        <w:rPr>
          <w:lang w:val="en-US"/>
        </w:rPr>
        <w:t xml:space="preserve"> Variation in </w:t>
      </w:r>
      <w:r>
        <w:rPr>
          <w:lang w:val="en-US"/>
        </w:rPr>
        <w:t xml:space="preserve">flow can influence riverine hydraulics and structural habitat, which may influence fish assemblage structure </w:t>
      </w:r>
      <w:r w:rsidR="008C408A">
        <w:rPr>
          <w:lang w:val="en-US"/>
        </w:rPr>
        <w:t xml:space="preserve">(Bice </w:t>
      </w:r>
      <w:r w:rsidR="008C408A" w:rsidRPr="00703415">
        <w:rPr>
          <w:i/>
          <w:lang w:val="en-US"/>
        </w:rPr>
        <w:t xml:space="preserve">et al. </w:t>
      </w:r>
      <w:r w:rsidR="008C408A">
        <w:rPr>
          <w:lang w:val="en-US"/>
        </w:rPr>
        <w:t>2014).</w:t>
      </w:r>
    </w:p>
    <w:p w14:paraId="0D142683" w14:textId="12C98407" w:rsidR="00F96DB8" w:rsidRDefault="002751B8" w:rsidP="00CD55D4">
      <w:pPr>
        <w:rPr>
          <w:lang w:val="en-US"/>
        </w:rPr>
      </w:pPr>
      <w:r>
        <w:rPr>
          <w:lang w:val="en-US"/>
        </w:rPr>
        <w:t>During March–April 2016, small-</w:t>
      </w:r>
      <w:r w:rsidRPr="003E2562">
        <w:rPr>
          <w:lang w:val="en-US"/>
        </w:rPr>
        <w:t xml:space="preserve"> and </w:t>
      </w:r>
      <w:r>
        <w:rPr>
          <w:lang w:val="en-US"/>
        </w:rPr>
        <w:t xml:space="preserve">large-bodied fish assemblages </w:t>
      </w:r>
      <w:r w:rsidRPr="003E2562">
        <w:rPr>
          <w:lang w:val="en-US"/>
        </w:rPr>
        <w:t xml:space="preserve">were sampled </w:t>
      </w:r>
      <w:r>
        <w:rPr>
          <w:lang w:val="en-US"/>
        </w:rPr>
        <w:t>from</w:t>
      </w:r>
      <w:r w:rsidRPr="003E2562">
        <w:rPr>
          <w:lang w:val="en-US"/>
        </w:rPr>
        <w:t xml:space="preserve"> the gorge geomorphic zone of</w:t>
      </w:r>
      <w:r>
        <w:rPr>
          <w:lang w:val="en-US"/>
        </w:rPr>
        <w:t xml:space="preserve"> the LMR Selected Area </w:t>
      </w:r>
      <w:r w:rsidR="005C74BA">
        <w:rPr>
          <w:lang w:val="en-US"/>
        </w:rPr>
        <w:t>(</w:t>
      </w:r>
      <w:r w:rsidR="005C74BA">
        <w:rPr>
          <w:lang w:val="en-US"/>
        </w:rPr>
        <w:fldChar w:fldCharType="begin"/>
      </w:r>
      <w:r w:rsidR="005C74BA">
        <w:rPr>
          <w:lang w:val="en-US"/>
        </w:rPr>
        <w:instrText xml:space="preserve"> REF _Ref382232091 \h </w:instrText>
      </w:r>
      <w:r w:rsidR="005C74BA">
        <w:rPr>
          <w:lang w:val="en-US"/>
        </w:rPr>
      </w:r>
      <w:r w:rsidR="005C74BA">
        <w:rPr>
          <w:lang w:val="en-US"/>
        </w:rPr>
        <w:fldChar w:fldCharType="separate"/>
      </w:r>
      <w:r w:rsidR="004260C4" w:rsidRPr="00C757C7">
        <w:t xml:space="preserve">Figure </w:t>
      </w:r>
      <w:r w:rsidR="004260C4">
        <w:rPr>
          <w:noProof/>
        </w:rPr>
        <w:t>7</w:t>
      </w:r>
      <w:r w:rsidR="005C74BA">
        <w:rPr>
          <w:lang w:val="en-US"/>
        </w:rPr>
        <w:fldChar w:fldCharType="end"/>
      </w:r>
      <w:r w:rsidR="005C74BA">
        <w:rPr>
          <w:lang w:val="en-US"/>
        </w:rPr>
        <w:t>)</w:t>
      </w:r>
      <w:r w:rsidR="004A5D6B">
        <w:rPr>
          <w:lang w:val="en-US"/>
        </w:rPr>
        <w:t xml:space="preserve"> </w:t>
      </w:r>
      <w:r>
        <w:rPr>
          <w:lang w:val="en-US"/>
        </w:rPr>
        <w:t xml:space="preserve">using fyke nets and electrofishing, respectively. Prescribed methods outlined </w:t>
      </w:r>
      <w:r w:rsidRPr="00412E7A">
        <w:rPr>
          <w:color w:val="auto"/>
          <w:lang w:val="en-US"/>
        </w:rPr>
        <w:t xml:space="preserve">in Hale </w:t>
      </w:r>
      <w:r w:rsidRPr="00412E7A">
        <w:rPr>
          <w:i/>
          <w:color w:val="auto"/>
          <w:lang w:val="en-US"/>
        </w:rPr>
        <w:t>et al.</w:t>
      </w:r>
      <w:r w:rsidRPr="00412E7A">
        <w:rPr>
          <w:color w:val="auto"/>
          <w:lang w:val="en-US"/>
        </w:rPr>
        <w:t xml:space="preserve"> (2014)</w:t>
      </w:r>
      <w:r>
        <w:rPr>
          <w:color w:val="auto"/>
          <w:lang w:val="en-US"/>
        </w:rPr>
        <w:t xml:space="preserve"> were used and</w:t>
      </w:r>
      <w:r w:rsidRPr="00412E7A">
        <w:rPr>
          <w:color w:val="auto"/>
          <w:lang w:val="en-US"/>
        </w:rPr>
        <w:t xml:space="preserve"> </w:t>
      </w:r>
      <w:r>
        <w:rPr>
          <w:lang w:val="en-US"/>
        </w:rPr>
        <w:t>p</w:t>
      </w:r>
      <w:r w:rsidRPr="003E2562">
        <w:rPr>
          <w:lang w:val="en-US"/>
        </w:rPr>
        <w:t>o</w:t>
      </w:r>
      <w:r>
        <w:rPr>
          <w:lang w:val="en-US"/>
        </w:rPr>
        <w:t>pulation structure data were obtained for seven target species (Appendix D)</w:t>
      </w:r>
      <w:r w:rsidRPr="003E2562">
        <w:rPr>
          <w:lang w:val="en-US"/>
        </w:rPr>
        <w:t>.</w:t>
      </w:r>
      <w:r>
        <w:rPr>
          <w:lang w:val="en-US"/>
        </w:rPr>
        <w:t xml:space="preserve"> The Category 1 Fish (channel) data were collected to inform </w:t>
      </w:r>
      <w:r w:rsidR="00867B05">
        <w:rPr>
          <w:lang w:val="en-US"/>
        </w:rPr>
        <w:t>B</w:t>
      </w:r>
      <w:r w:rsidRPr="0090257A">
        <w:rPr>
          <w:lang w:val="en-US"/>
        </w:rPr>
        <w:t xml:space="preserve">asin-scale evaluation </w:t>
      </w:r>
      <w:r>
        <w:rPr>
          <w:lang w:val="en-US"/>
        </w:rPr>
        <w:t>of</w:t>
      </w:r>
      <w:r w:rsidRPr="0090257A">
        <w:rPr>
          <w:lang w:val="en-US"/>
        </w:rPr>
        <w:t xml:space="preserve"> fish community responses to Commonwealth environmental water, which </w:t>
      </w:r>
      <w:r w:rsidR="000C079F">
        <w:rPr>
          <w:lang w:val="en-US"/>
        </w:rPr>
        <w:t xml:space="preserve">are being </w:t>
      </w:r>
      <w:r>
        <w:rPr>
          <w:lang w:val="en-US"/>
        </w:rPr>
        <w:t>undertaken</w:t>
      </w:r>
      <w:r w:rsidRPr="0090257A">
        <w:rPr>
          <w:lang w:val="en-US"/>
        </w:rPr>
        <w:t xml:space="preserve"> by the M&amp;E Advisors</w:t>
      </w:r>
      <w:r w:rsidR="00F96DB8" w:rsidRPr="0090257A">
        <w:rPr>
          <w:lang w:val="en-US"/>
        </w:rPr>
        <w:t>.</w:t>
      </w:r>
      <w:r w:rsidR="00F96DB8">
        <w:rPr>
          <w:lang w:val="en-US"/>
        </w:rPr>
        <w:t xml:space="preserve"> While there is no</w:t>
      </w:r>
      <w:r w:rsidR="00422314">
        <w:rPr>
          <w:lang w:val="en-US"/>
        </w:rPr>
        <w:t xml:space="preserve"> CEWO</w:t>
      </w:r>
      <w:r w:rsidR="00F96DB8">
        <w:rPr>
          <w:lang w:val="en-US"/>
        </w:rPr>
        <w:t xml:space="preserve"> local (Selected Area) evaluation </w:t>
      </w:r>
      <w:r w:rsidR="00422314">
        <w:rPr>
          <w:lang w:val="en-US"/>
        </w:rPr>
        <w:t>questions for this indicator</w:t>
      </w:r>
      <w:r w:rsidR="00F96DB8">
        <w:rPr>
          <w:lang w:val="en-US"/>
        </w:rPr>
        <w:t xml:space="preserve">, we analysed monitoring data from the LMR Selected Area to investigate </w:t>
      </w:r>
      <w:r w:rsidR="00F96DB8" w:rsidRPr="00885D1B">
        <w:rPr>
          <w:lang w:val="en-US"/>
        </w:rPr>
        <w:t>temporal variation in fish assemblage and population structure between Year 1 (a</w:t>
      </w:r>
      <w:r w:rsidR="00F96DB8">
        <w:rPr>
          <w:lang w:val="en-US"/>
        </w:rPr>
        <w:t>utumn 2015</w:t>
      </w:r>
      <w:r w:rsidR="002F4673">
        <w:rPr>
          <w:lang w:val="en-US"/>
        </w:rPr>
        <w:t>, herein 2014/15</w:t>
      </w:r>
      <w:r w:rsidR="00F96DB8">
        <w:rPr>
          <w:lang w:val="en-US"/>
        </w:rPr>
        <w:t>) and 2 (autumn 2016</w:t>
      </w:r>
      <w:r w:rsidR="002F4673">
        <w:rPr>
          <w:lang w:val="en-US"/>
        </w:rPr>
        <w:t>, herein 2015/16</w:t>
      </w:r>
      <w:r w:rsidR="00F96DB8">
        <w:rPr>
          <w:lang w:val="en-US"/>
        </w:rPr>
        <w:t>) (Appendix D).</w:t>
      </w:r>
    </w:p>
    <w:p w14:paraId="21E18C0A" w14:textId="770CEE08" w:rsidR="00F96DB8" w:rsidRDefault="00F96DB8" w:rsidP="00F96DB8">
      <w:r>
        <w:t>Relatively low (&lt;15,000 ML day</w:t>
      </w:r>
      <w:r w:rsidRPr="005834D4">
        <w:rPr>
          <w:vertAlign w:val="superscript"/>
        </w:rPr>
        <w:t>-1</w:t>
      </w:r>
      <w:r>
        <w:t xml:space="preserve">), stable flows predominated in the LMR Selected Area during </w:t>
      </w:r>
      <w:r w:rsidR="00867B05">
        <w:t>2014/15</w:t>
      </w:r>
      <w:r>
        <w:t xml:space="preserve"> and 2015/16. Consequently, small-bodied fish abundance and diversity remained high in 2015/16 (</w:t>
      </w:r>
      <w:r w:rsidR="00E16C3F">
        <w:fldChar w:fldCharType="begin"/>
      </w:r>
      <w:r w:rsidR="00E16C3F">
        <w:instrText xml:space="preserve"> REF _Ref438737429 \h </w:instrText>
      </w:r>
      <w:r w:rsidR="00E16C3F">
        <w:fldChar w:fldCharType="separate"/>
      </w:r>
      <w:r w:rsidR="004260C4">
        <w:t xml:space="preserve">Figure </w:t>
      </w:r>
      <w:r w:rsidR="004260C4">
        <w:rPr>
          <w:noProof/>
        </w:rPr>
        <w:t>10</w:t>
      </w:r>
      <w:r w:rsidR="00E16C3F">
        <w:fldChar w:fldCharType="end"/>
      </w:r>
      <w:r>
        <w:t>b; Table D2</w:t>
      </w:r>
      <w:r w:rsidR="006401D3">
        <w:t xml:space="preserve"> in Appendix D</w:t>
      </w:r>
      <w:r>
        <w:t xml:space="preserve">), and there was no significant change in small-bodied fish assemblage structure from 2014/15 to 2015/16. Abundances of flow-cued </w:t>
      </w:r>
      <w:r w:rsidR="00351737">
        <w:t xml:space="preserve">spawning </w:t>
      </w:r>
      <w:r>
        <w:t xml:space="preserve">species (i.e. golden perch and silver perch) remained similar in both years; however, there was a significant change in </w:t>
      </w:r>
      <w:r w:rsidR="00F35B0B">
        <w:t xml:space="preserve">the large-bodied fish </w:t>
      </w:r>
      <w:r>
        <w:t xml:space="preserve">assemblage, driven </w:t>
      </w:r>
      <w:r w:rsidR="00305B73">
        <w:t xml:space="preserve">primarily </w:t>
      </w:r>
      <w:r>
        <w:t xml:space="preserve">by an </w:t>
      </w:r>
      <w:r w:rsidRPr="00F96DB8">
        <w:t>increase in exotic goldfish and a decrease in bony herring, in 2015/16, relative to 2014/15 (</w:t>
      </w:r>
      <w:r w:rsidR="00E16C3F">
        <w:fldChar w:fldCharType="begin"/>
      </w:r>
      <w:r w:rsidR="00E16C3F">
        <w:instrText xml:space="preserve"> REF _Ref438737429 \h </w:instrText>
      </w:r>
      <w:r w:rsidR="00E16C3F">
        <w:fldChar w:fldCharType="separate"/>
      </w:r>
      <w:r w:rsidR="004260C4">
        <w:t xml:space="preserve">Figure </w:t>
      </w:r>
      <w:r w:rsidR="004260C4">
        <w:rPr>
          <w:noProof/>
        </w:rPr>
        <w:t>10</w:t>
      </w:r>
      <w:r w:rsidR="00E16C3F">
        <w:fldChar w:fldCharType="end"/>
      </w:r>
      <w:r w:rsidRPr="00F96DB8">
        <w:t>a; Table D1</w:t>
      </w:r>
      <w:r w:rsidR="006401D3">
        <w:t xml:space="preserve"> in Appendix D</w:t>
      </w:r>
      <w:r w:rsidRPr="00F96DB8">
        <w:t>). Increased abundances of exotic, large-bodied species may reflect their generalist/opportunistic life histories.</w:t>
      </w:r>
    </w:p>
    <w:p w14:paraId="677856D5" w14:textId="140DB381" w:rsidR="00E16C3F" w:rsidRPr="008C0089" w:rsidRDefault="00E16C3F" w:rsidP="00E16C3F">
      <w:r>
        <w:t>Based on length frequency data, there was no recruitment (to age 0+) of native, large-bodied golden perch, silver perch or freshwater catfish in 2015/16 (Figure D4</w:t>
      </w:r>
      <w:r w:rsidR="006401D3">
        <w:t xml:space="preserve"> in Appendix D</w:t>
      </w:r>
      <w:r>
        <w:t>). The absen</w:t>
      </w:r>
      <w:r w:rsidR="00E70115">
        <w:t>t</w:t>
      </w:r>
      <w:r>
        <w:t xml:space="preserve"> recruitment of golden perch and silver perch in association with the 2014/15 and 2015/16 flow regimes (i.e. low, stable flows) is consistent with our contemporary understanding of the life histories of these flow-cued spawners (</w:t>
      </w:r>
      <w:r w:rsidR="00F92DCC" w:rsidRPr="00DA725D">
        <w:rPr>
          <w:bCs/>
        </w:rPr>
        <w:t>Mallen-Cooper and Stuart 2003; Zampatti and Leigh 2013a; 2013b</w:t>
      </w:r>
      <w:r>
        <w:t>)</w:t>
      </w:r>
      <w:r w:rsidRPr="008210DF">
        <w:t xml:space="preserve"> </w:t>
      </w:r>
      <w:r w:rsidRPr="00E16C3F">
        <w:t xml:space="preserve">(also see Section </w:t>
      </w:r>
      <w:r w:rsidRPr="00E16C3F">
        <w:fldChar w:fldCharType="begin"/>
      </w:r>
      <w:r w:rsidRPr="00E16C3F">
        <w:instrText xml:space="preserve"> REF _Ref433384013 \r \h </w:instrText>
      </w:r>
      <w:r>
        <w:instrText xml:space="preserve"> \* MERGEFORMAT </w:instrText>
      </w:r>
      <w:r w:rsidRPr="00E16C3F">
        <w:fldChar w:fldCharType="separate"/>
      </w:r>
      <w:r w:rsidR="004260C4">
        <w:t>2.2</w:t>
      </w:r>
      <w:r w:rsidRPr="00E16C3F">
        <w:fldChar w:fldCharType="end"/>
      </w:r>
      <w:r w:rsidRPr="00E16C3F">
        <w:t xml:space="preserve"> </w:t>
      </w:r>
      <w:r w:rsidRPr="00E16C3F">
        <w:lastRenderedPageBreak/>
        <w:t>Category 3 Fish Spawning and Recruitment).</w:t>
      </w:r>
      <w:r>
        <w:t xml:space="preserve"> For the second consecutive year, small Murray cod (&lt;150 mm TL, likely age 0+) were sampled in the LMR Selected Area during 2015/16 (Figure D4</w:t>
      </w:r>
      <w:r w:rsidR="006401D3">
        <w:t xml:space="preserve"> in Appendix D</w:t>
      </w:r>
      <w:r>
        <w:t xml:space="preserve">), indicating successful recruitment. Furthermore, there was persistence of the age 0+ cohort (100–150 mm TL) from </w:t>
      </w:r>
      <w:r w:rsidR="002751B8">
        <w:t>2014/15 to age 1+ (196–232 m</w:t>
      </w:r>
      <w:r w:rsidR="002751B8" w:rsidRPr="008C0089">
        <w:t xml:space="preserve">m TL) in 2015/16. </w:t>
      </w:r>
      <w:r w:rsidR="002751B8">
        <w:t>I</w:t>
      </w:r>
      <w:r w:rsidR="002751B8" w:rsidRPr="008C0089">
        <w:t>n the main</w:t>
      </w:r>
      <w:r w:rsidR="00351737">
        <w:t xml:space="preserve"> </w:t>
      </w:r>
      <w:r w:rsidR="002751B8" w:rsidRPr="008C0089">
        <w:t>channel of the lower River Murray</w:t>
      </w:r>
      <w:r w:rsidR="002751B8">
        <w:t>,</w:t>
      </w:r>
      <w:r w:rsidR="002751B8" w:rsidRPr="008C0089">
        <w:t xml:space="preserve"> Murray cod recruitment has been poor in association with periods of low flow, particularly 2003–2010. The mechanisms </w:t>
      </w:r>
      <w:r w:rsidR="002751B8">
        <w:t>facilitating</w:t>
      </w:r>
      <w:r w:rsidR="002751B8" w:rsidRPr="008C0089">
        <w:t xml:space="preserve"> the recruitment of cohorts of Murray cod from 2014/15 and 2015/16, </w:t>
      </w:r>
      <w:r w:rsidR="002751B8">
        <w:t>both</w:t>
      </w:r>
      <w:r w:rsidR="002751B8" w:rsidRPr="008C0089">
        <w:t xml:space="preserve"> low</w:t>
      </w:r>
      <w:r w:rsidR="00351737">
        <w:t xml:space="preserve"> </w:t>
      </w:r>
      <w:r w:rsidR="002751B8" w:rsidRPr="008C0089">
        <w:t>flow</w:t>
      </w:r>
      <w:r w:rsidR="002751B8">
        <w:t xml:space="preserve"> years</w:t>
      </w:r>
      <w:r w:rsidR="002751B8" w:rsidRPr="008C0089">
        <w:t>, remain unclear.</w:t>
      </w:r>
    </w:p>
    <w:p w14:paraId="0EA81893" w14:textId="4E055DD9" w:rsidR="00E16C3F" w:rsidRDefault="002612B9" w:rsidP="00E16C3F">
      <w:pPr>
        <w:rPr>
          <w:rFonts w:eastAsiaTheme="majorEastAsia" w:cstheme="majorBidi"/>
          <w:color w:val="1F497D" w:themeColor="text2"/>
          <w:sz w:val="26"/>
          <w:szCs w:val="26"/>
        </w:rPr>
      </w:pPr>
      <w:r w:rsidRPr="008C0089">
        <w:t>In the main channel of the LMR Selected Area, the 2014/15 and 2015/16 fish assemblages were characterised by high abundances of small-bodied species and a lack of recruitment of native</w:t>
      </w:r>
      <w:r>
        <w:t>, large-bodied flow-cued spawners. The current fish assemblage structure is similar to that during drought</w:t>
      </w:r>
      <w:r w:rsidR="00E16C3F">
        <w:t xml:space="preserve"> (i.e. 2007–2010</w:t>
      </w:r>
      <w:r w:rsidR="00E16C3F" w:rsidRPr="00CD2800">
        <w:t xml:space="preserve">) (Bice </w:t>
      </w:r>
      <w:r w:rsidR="00E16C3F" w:rsidRPr="00CD2800">
        <w:rPr>
          <w:i/>
        </w:rPr>
        <w:t>et al.</w:t>
      </w:r>
      <w:r w:rsidR="00E16C3F" w:rsidRPr="00CD2800">
        <w:t xml:space="preserve"> 2014)</w:t>
      </w:r>
      <w:r w:rsidR="00E16C3F">
        <w:t xml:space="preserve"> and characteristic of a low flow scenario. Persistent low flow conditions are likely to favour generalist/opportunistic species (e.g. small-bodied and exotic species) that are adapted to benign hydraulic conditions and abundant aquatic vegetation. Continued low flows in the lower River Murray are likely to have further negative effects on the recruitment of flow-cued spawning species and, in turn, lead to a decline in their population resilience and abundance.</w:t>
      </w:r>
      <w:r w:rsidR="00E16C3F">
        <w:rPr>
          <w:lang w:val="en-US"/>
        </w:rPr>
        <w:t xml:space="preserve"> </w:t>
      </w:r>
      <w:r w:rsidR="00E16C3F">
        <w:t xml:space="preserve">  </w:t>
      </w:r>
    </w:p>
    <w:p w14:paraId="3EB1924C" w14:textId="23669C7A" w:rsidR="001B6753" w:rsidRDefault="00F211AB" w:rsidP="00E16C3F">
      <w:pPr>
        <w:jc w:val="center"/>
        <w:rPr>
          <w:lang w:val="en-US"/>
        </w:rPr>
      </w:pPr>
      <w:r w:rsidRPr="00F211AB">
        <w:rPr>
          <w:lang w:val="en-US"/>
        </w:rPr>
        <w:lastRenderedPageBreak/>
        <w:t xml:space="preserve"> </w:t>
      </w:r>
      <w:r w:rsidRPr="00F211AB">
        <w:rPr>
          <w:noProof/>
          <w:lang w:eastAsia="en-AU"/>
        </w:rPr>
        <w:drawing>
          <wp:inline distT="0" distB="0" distL="0" distR="0" wp14:anchorId="04CBF4ED" wp14:editId="2A29DF41">
            <wp:extent cx="3988426" cy="6134986"/>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t="4429" r="2981" b="1620"/>
                    <a:stretch/>
                  </pic:blipFill>
                  <pic:spPr bwMode="auto">
                    <a:xfrm>
                      <a:off x="0" y="0"/>
                      <a:ext cx="3988800" cy="6135561"/>
                    </a:xfrm>
                    <a:prstGeom prst="rect">
                      <a:avLst/>
                    </a:prstGeom>
                    <a:noFill/>
                    <a:ln>
                      <a:noFill/>
                    </a:ln>
                    <a:extLst>
                      <a:ext uri="{53640926-AAD7-44D8-BBD7-CCE9431645EC}">
                        <a14:shadowObscured xmlns:a14="http://schemas.microsoft.com/office/drawing/2010/main"/>
                      </a:ext>
                    </a:extLst>
                  </pic:spPr>
                </pic:pic>
              </a:graphicData>
            </a:graphic>
          </wp:inline>
        </w:drawing>
      </w:r>
    </w:p>
    <w:p w14:paraId="181E4875" w14:textId="1E5251C8" w:rsidR="000F1913" w:rsidRPr="003A5C39" w:rsidRDefault="000F1913" w:rsidP="000F1913">
      <w:pPr>
        <w:pStyle w:val="Caption"/>
        <w:rPr>
          <w:lang w:val="en-US"/>
        </w:rPr>
      </w:pPr>
      <w:bookmarkStart w:id="77" w:name="_Ref438737429"/>
      <w:bookmarkStart w:id="78" w:name="_Toc442173730"/>
      <w:bookmarkStart w:id="79" w:name="_Toc474147034"/>
      <w:r>
        <w:t xml:space="preserve">Figure </w:t>
      </w:r>
      <w:r w:rsidR="002A5644">
        <w:fldChar w:fldCharType="begin"/>
      </w:r>
      <w:r w:rsidR="002A5644">
        <w:instrText xml:space="preserve"> SEQ Figure \* ARABIC </w:instrText>
      </w:r>
      <w:r w:rsidR="002A5644">
        <w:fldChar w:fldCharType="separate"/>
      </w:r>
      <w:r w:rsidR="004260C4">
        <w:rPr>
          <w:noProof/>
        </w:rPr>
        <w:t>10</w:t>
      </w:r>
      <w:r w:rsidR="002A5644">
        <w:rPr>
          <w:noProof/>
        </w:rPr>
        <w:fldChar w:fldCharType="end"/>
      </w:r>
      <w:bookmarkEnd w:id="77"/>
      <w:r>
        <w:t xml:space="preserve">. </w:t>
      </w:r>
      <w:r w:rsidR="00E16C3F" w:rsidRPr="00641F42">
        <w:t xml:space="preserve">Mean catch-per-unit-effort (CPUE) </w:t>
      </w:r>
      <w:r w:rsidR="00E16C3F" w:rsidRPr="00641F42">
        <w:rPr>
          <w:rFonts w:cstheme="minorHAnsi"/>
        </w:rPr>
        <w:t>±</w:t>
      </w:r>
      <w:r w:rsidR="00E16C3F" w:rsidRPr="00641F42">
        <w:t xml:space="preserve"> standard error of </w:t>
      </w:r>
      <w:r w:rsidR="00E16C3F">
        <w:t>(</w:t>
      </w:r>
      <w:r w:rsidR="00E16C3F" w:rsidRPr="00641F42">
        <w:t xml:space="preserve">a) large-bodied fish species captured using electrofishing (individuals per 90 second shot) and </w:t>
      </w:r>
      <w:r w:rsidR="00E16C3F">
        <w:t>(</w:t>
      </w:r>
      <w:r w:rsidR="00E16C3F" w:rsidRPr="00641F42">
        <w:t>b) small-bodied fish species captured using fine-mesh fyke nets (individuals per net per hour) in the gorge geomorphic zone (10 sites) of the LMR Selected Area</w:t>
      </w:r>
      <w:r w:rsidR="001E33E5">
        <w:t xml:space="preserve"> during 2014/15 and 2015/16</w:t>
      </w:r>
      <w:r w:rsidRPr="000F1913">
        <w:t>.</w:t>
      </w:r>
      <w:bookmarkEnd w:id="78"/>
      <w:bookmarkEnd w:id="79"/>
    </w:p>
    <w:p w14:paraId="37B3F922" w14:textId="77777777" w:rsidR="00DB21D5" w:rsidRPr="00C757C7" w:rsidRDefault="00CC39E2" w:rsidP="00F41737">
      <w:pPr>
        <w:pStyle w:val="Heading2"/>
      </w:pPr>
      <w:bookmarkStart w:id="80" w:name="_Ref433384013"/>
      <w:bookmarkStart w:id="81" w:name="_Ref433384022"/>
      <w:bookmarkStart w:id="82" w:name="_Toc441838732"/>
      <w:bookmarkStart w:id="83" w:name="_Toc474147057"/>
      <w:r>
        <w:t>Category 3</w:t>
      </w:r>
      <w:bookmarkEnd w:id="80"/>
      <w:bookmarkEnd w:id="81"/>
      <w:bookmarkEnd w:id="82"/>
      <w:bookmarkEnd w:id="83"/>
    </w:p>
    <w:p w14:paraId="0E696B77" w14:textId="77777777" w:rsidR="005578F3" w:rsidRPr="00CC39E2" w:rsidRDefault="005578F3" w:rsidP="005578F3">
      <w:pPr>
        <w:pStyle w:val="Heading3"/>
      </w:pPr>
      <w:bookmarkStart w:id="84" w:name="_Toc441838733"/>
      <w:bookmarkStart w:id="85" w:name="_Toc474147058"/>
      <w:r w:rsidRPr="00412E7A">
        <w:t>Hydrological Regime</w:t>
      </w:r>
      <w:bookmarkEnd w:id="84"/>
      <w:bookmarkEnd w:id="85"/>
    </w:p>
    <w:p w14:paraId="695D1A92" w14:textId="4EEBFD1B" w:rsidR="004F6B46" w:rsidRDefault="00BD7720" w:rsidP="00CC0430">
      <w:r w:rsidRPr="00BD7720">
        <w:t xml:space="preserve">Regulation of the lower River Murray, through the construction of weirs, has resulted in significant changes to the hydraulic nature (e.g. water velocity and water level) of </w:t>
      </w:r>
      <w:r w:rsidRPr="00BD7720">
        <w:lastRenderedPageBreak/>
        <w:t>the main river channel. Pre-regulation, the lower River Murray was a lotic riverine environment characterised by water velocities ranging ~0.4–0.8 m s</w:t>
      </w:r>
      <w:r w:rsidRPr="00BD7720">
        <w:rPr>
          <w:vertAlign w:val="superscript"/>
        </w:rPr>
        <w:t>-1</w:t>
      </w:r>
      <w:r w:rsidRPr="00BD7720">
        <w:t>, ev</w:t>
      </w:r>
      <w:r>
        <w:t>en at discharges &lt;10,000 ML day</w:t>
      </w:r>
      <w:r w:rsidRPr="00BD7720">
        <w:rPr>
          <w:vertAlign w:val="superscript"/>
        </w:rPr>
        <w:t>-1</w:t>
      </w:r>
      <w:r w:rsidRPr="00BD7720">
        <w:t>. Post the construction of serial weirs, main channel water velocities have been reduced to ~0.05–0.3 m s</w:t>
      </w:r>
      <w:r w:rsidRPr="00BD7720">
        <w:rPr>
          <w:vertAlign w:val="superscript"/>
        </w:rPr>
        <w:t>-1</w:t>
      </w:r>
      <w:r w:rsidRPr="00BD7720">
        <w:t xml:space="preserve"> and riverine habitats have been converted to predominantly lentic w</w:t>
      </w:r>
      <w:r w:rsidR="00CC0430">
        <w:t>eir pools at discharges &lt;10,000 </w:t>
      </w:r>
      <w:r w:rsidRPr="00BD7720">
        <w:t>ML</w:t>
      </w:r>
      <w:r w:rsidR="00CC0430">
        <w:t> </w:t>
      </w:r>
      <w:r w:rsidRPr="00BD7720">
        <w:t>da</w:t>
      </w:r>
      <w:r>
        <w:t>y</w:t>
      </w:r>
      <w:r w:rsidRPr="00BD7720">
        <w:rPr>
          <w:vertAlign w:val="superscript"/>
        </w:rPr>
        <w:t>-1</w:t>
      </w:r>
      <w:r w:rsidRPr="00BD7720">
        <w:t xml:space="preserve"> (Mallen-Cooper and Zampatti 2015). </w:t>
      </w:r>
      <w:r>
        <w:rPr>
          <w:lang w:val="en-US"/>
        </w:rPr>
        <w:t>L</w:t>
      </w:r>
      <w:r w:rsidR="000759EA">
        <w:rPr>
          <w:lang w:val="en-US"/>
        </w:rPr>
        <w:t>otic</w:t>
      </w:r>
      <w:r>
        <w:rPr>
          <w:lang w:val="en-US"/>
        </w:rPr>
        <w:t xml:space="preserve"> riverine</w:t>
      </w:r>
      <w:r w:rsidR="000759EA">
        <w:rPr>
          <w:lang w:val="en-US"/>
        </w:rPr>
        <w:t xml:space="preserve"> habitats</w:t>
      </w:r>
      <w:r w:rsidR="00296E3F">
        <w:rPr>
          <w:lang w:val="en-US"/>
        </w:rPr>
        <w:t xml:space="preserve"> are important for </w:t>
      </w:r>
      <w:r w:rsidR="00E339F0">
        <w:rPr>
          <w:lang w:val="en-US"/>
        </w:rPr>
        <w:t>ecological and life</w:t>
      </w:r>
      <w:r w:rsidR="00FB3F5E">
        <w:rPr>
          <w:lang w:val="en-US"/>
        </w:rPr>
        <w:t xml:space="preserve"> </w:t>
      </w:r>
      <w:r w:rsidR="00E339F0">
        <w:rPr>
          <w:lang w:val="en-US"/>
        </w:rPr>
        <w:t xml:space="preserve">history processes for many native biota. These include </w:t>
      </w:r>
      <w:r w:rsidR="00296E3F" w:rsidRPr="009C1EE4">
        <w:t>reproductive activity in flow-cued spawning species (e.g. golden perch), facilitat</w:t>
      </w:r>
      <w:r w:rsidR="00E339F0">
        <w:t>ing</w:t>
      </w:r>
      <w:r w:rsidR="00296E3F" w:rsidRPr="009C1EE4">
        <w:t xml:space="preserve"> downstream drift and transportation of </w:t>
      </w:r>
      <w:r w:rsidR="00296E3F">
        <w:t>plankton, macroinve</w:t>
      </w:r>
      <w:r w:rsidR="006A22AC">
        <w:t>r</w:t>
      </w:r>
      <w:r w:rsidR="00296E3F">
        <w:t xml:space="preserve">tebrates and </w:t>
      </w:r>
      <w:r w:rsidR="00296E3F" w:rsidRPr="009C1EE4">
        <w:t>larvae, and provid</w:t>
      </w:r>
      <w:r w:rsidR="00E339F0">
        <w:t>ing</w:t>
      </w:r>
      <w:r w:rsidR="00296E3F" w:rsidRPr="009C1EE4">
        <w:t xml:space="preserve"> </w:t>
      </w:r>
      <w:r w:rsidR="00FB3F5E">
        <w:t xml:space="preserve">diverse </w:t>
      </w:r>
      <w:r w:rsidR="00296E3F" w:rsidRPr="009C1EE4">
        <w:t xml:space="preserve">hydraulic habitats </w:t>
      </w:r>
      <w:r w:rsidR="000D0BA1">
        <w:t xml:space="preserve">that are suitable </w:t>
      </w:r>
      <w:r w:rsidR="00296E3F" w:rsidRPr="009C1EE4">
        <w:t xml:space="preserve">for </w:t>
      </w:r>
      <w:r w:rsidR="000D0BA1">
        <w:t>a range of</w:t>
      </w:r>
      <w:r w:rsidR="00296E3F" w:rsidRPr="009C1EE4">
        <w:t xml:space="preserve"> species</w:t>
      </w:r>
      <w:r w:rsidR="00296E3F">
        <w:t xml:space="preserve"> </w:t>
      </w:r>
      <w:r w:rsidR="00296E3F" w:rsidRPr="009C1EE4">
        <w:t xml:space="preserve">(e.g. Murray cod) (Zampatti </w:t>
      </w:r>
      <w:r w:rsidR="00296E3F" w:rsidRPr="009C1EE4">
        <w:rPr>
          <w:i/>
        </w:rPr>
        <w:t>et al.</w:t>
      </w:r>
      <w:r w:rsidR="00296E3F" w:rsidRPr="009C1EE4">
        <w:t xml:space="preserve"> 2014).</w:t>
      </w:r>
      <w:r w:rsidR="00296E3F" w:rsidRPr="00C627B1">
        <w:t xml:space="preserve"> </w:t>
      </w:r>
      <w:r w:rsidR="00CA1E4D">
        <w:t>Conversely</w:t>
      </w:r>
      <w:r w:rsidR="006A22AC">
        <w:t xml:space="preserve">, </w:t>
      </w:r>
      <w:r w:rsidR="006A22AC">
        <w:rPr>
          <w:lang w:val="en-US"/>
        </w:rPr>
        <w:t>lentic</w:t>
      </w:r>
      <w:r w:rsidR="000759EA" w:rsidRPr="000759EA">
        <w:rPr>
          <w:lang w:val="en-US"/>
        </w:rPr>
        <w:t xml:space="preserve"> habitats provide spawning and nursery areas</w:t>
      </w:r>
      <w:r w:rsidR="000D0BA1">
        <w:rPr>
          <w:lang w:val="en-US"/>
        </w:rPr>
        <w:t xml:space="preserve"> suitable</w:t>
      </w:r>
      <w:r w:rsidR="000759EA" w:rsidRPr="000759EA">
        <w:rPr>
          <w:lang w:val="en-US"/>
        </w:rPr>
        <w:t xml:space="preserve"> for generalist species (e.g. carp gudgeons), </w:t>
      </w:r>
      <w:r w:rsidR="00296E3F">
        <w:rPr>
          <w:lang w:val="en-US"/>
        </w:rPr>
        <w:t xml:space="preserve">particularly at low flows when </w:t>
      </w:r>
      <w:r w:rsidR="000759EA" w:rsidRPr="000759EA">
        <w:rPr>
          <w:lang w:val="en-US"/>
        </w:rPr>
        <w:t xml:space="preserve">aquatic macrophytes </w:t>
      </w:r>
      <w:r w:rsidR="00296E3F" w:rsidRPr="000759EA">
        <w:rPr>
          <w:lang w:val="en-US"/>
        </w:rPr>
        <w:t xml:space="preserve">are abundant </w:t>
      </w:r>
      <w:r w:rsidR="000759EA" w:rsidRPr="000759EA">
        <w:rPr>
          <w:lang w:val="en-US"/>
        </w:rPr>
        <w:t xml:space="preserve">(Bice </w:t>
      </w:r>
      <w:r w:rsidR="000759EA" w:rsidRPr="00296E3F">
        <w:rPr>
          <w:i/>
          <w:lang w:val="en-US"/>
        </w:rPr>
        <w:t>et al.</w:t>
      </w:r>
      <w:r w:rsidR="000759EA" w:rsidRPr="000759EA">
        <w:rPr>
          <w:lang w:val="en-US"/>
        </w:rPr>
        <w:t xml:space="preserve"> 2014). </w:t>
      </w:r>
      <w:r w:rsidR="004C26DB">
        <w:rPr>
          <w:lang w:val="en-US"/>
        </w:rPr>
        <w:t xml:space="preserve">The reduction in the abundance and distribution of lotic biota </w:t>
      </w:r>
      <w:r w:rsidR="000D0BA1">
        <w:rPr>
          <w:lang w:val="en-US"/>
        </w:rPr>
        <w:t xml:space="preserve">(e.g. Macquarie perch </w:t>
      </w:r>
      <w:r w:rsidR="000D0BA1" w:rsidRPr="000D0BA1">
        <w:rPr>
          <w:i/>
          <w:lang w:val="en-US"/>
        </w:rPr>
        <w:t>Macquaria australasica</w:t>
      </w:r>
      <w:r w:rsidR="000D0BA1">
        <w:rPr>
          <w:lang w:val="en-US"/>
        </w:rPr>
        <w:t xml:space="preserve"> and </w:t>
      </w:r>
      <w:r w:rsidR="000D0BA1" w:rsidRPr="000D0BA1">
        <w:rPr>
          <w:lang w:val="en-US"/>
        </w:rPr>
        <w:t>Murray crayfish</w:t>
      </w:r>
      <w:r w:rsidR="000D0BA1">
        <w:rPr>
          <w:lang w:val="en-US"/>
        </w:rPr>
        <w:t xml:space="preserve"> </w:t>
      </w:r>
      <w:r w:rsidR="000D0BA1" w:rsidRPr="000D0BA1">
        <w:rPr>
          <w:i/>
          <w:lang w:val="en-US"/>
        </w:rPr>
        <w:t>Euastacus armatus</w:t>
      </w:r>
      <w:r w:rsidR="000D0BA1">
        <w:rPr>
          <w:lang w:val="en-US"/>
        </w:rPr>
        <w:t xml:space="preserve">) </w:t>
      </w:r>
      <w:r w:rsidR="004C26DB">
        <w:rPr>
          <w:lang w:val="en-US"/>
        </w:rPr>
        <w:t xml:space="preserve">throughout the MDB </w:t>
      </w:r>
      <w:r w:rsidR="000D0BA1">
        <w:rPr>
          <w:lang w:val="en-US"/>
        </w:rPr>
        <w:t xml:space="preserve">(Lintermans 2007) </w:t>
      </w:r>
      <w:r w:rsidR="000759EA" w:rsidRPr="000759EA">
        <w:rPr>
          <w:lang w:val="en-US"/>
        </w:rPr>
        <w:t xml:space="preserve">highlights the importance of </w:t>
      </w:r>
      <w:r w:rsidR="004341AD">
        <w:rPr>
          <w:lang w:val="en-US"/>
        </w:rPr>
        <w:t>r</w:t>
      </w:r>
      <w:r w:rsidR="004F6B46">
        <w:rPr>
          <w:lang w:val="en-US"/>
        </w:rPr>
        <w:t>estor</w:t>
      </w:r>
      <w:r w:rsidR="004341AD">
        <w:rPr>
          <w:lang w:val="en-US"/>
        </w:rPr>
        <w:t>ing</w:t>
      </w:r>
      <w:r w:rsidR="004F6B46">
        <w:rPr>
          <w:lang w:val="en-US"/>
        </w:rPr>
        <w:t xml:space="preserve"> hydraulic conditions (e.g. lotic habitats) in the lower River Murray.</w:t>
      </w:r>
      <w:r w:rsidR="00296E3F" w:rsidRPr="00296E3F">
        <w:rPr>
          <w:lang w:val="en-US"/>
        </w:rPr>
        <w:t xml:space="preserve"> </w:t>
      </w:r>
    </w:p>
    <w:p w14:paraId="4735CC40" w14:textId="3EEE27D2" w:rsidR="00320504" w:rsidRDefault="00E5210F" w:rsidP="00CC0430">
      <w:r>
        <w:t>The Hydrological Regime indicator used models to convert the discharge</w:t>
      </w:r>
      <w:r w:rsidRPr="003851A0">
        <w:t xml:space="preserve"> </w:t>
      </w:r>
      <w:r>
        <w:t xml:space="preserve">delivered to the LMR Selected Area in 2015/16 to water levels and velocities. </w:t>
      </w:r>
      <w:r w:rsidR="002B144D">
        <w:t>These variables were calculated</w:t>
      </w:r>
      <w:r w:rsidR="00ED6C32">
        <w:t xml:space="preserve"> for the observed (with all water, including environmental water) </w:t>
      </w:r>
      <w:r w:rsidR="009D1232">
        <w:t>conditions</w:t>
      </w:r>
      <w:r w:rsidR="00ED6C32">
        <w:t xml:space="preserve">, as well as the without environmental water cases. The models were calibrated to observed discharge, water level and velocity measurements, to ensure they provide an accurate representation of reality. Details of the model calibration are </w:t>
      </w:r>
      <w:r w:rsidR="00ED6C32" w:rsidRPr="00E555C4">
        <w:t xml:space="preserve">presented in </w:t>
      </w:r>
      <w:r w:rsidR="00ED6C32" w:rsidRPr="00412E7A">
        <w:t xml:space="preserve">Appendix </w:t>
      </w:r>
      <w:r w:rsidR="00ED6C32">
        <w:t>E</w:t>
      </w:r>
      <w:r w:rsidR="00320504">
        <w:t>.</w:t>
      </w:r>
    </w:p>
    <w:p w14:paraId="23421666" w14:textId="1670A4ED" w:rsidR="00FE792A" w:rsidRDefault="00D07654" w:rsidP="00412E7A">
      <w:r>
        <w:t>W</w:t>
      </w:r>
      <w:r w:rsidR="005470F1">
        <w:t>ater level</w:t>
      </w:r>
      <w:r>
        <w:t xml:space="preserve"> and velocity </w:t>
      </w:r>
      <w:r w:rsidR="005470F1">
        <w:t>results for a weir pool in the gorge (Weir Pool 1, Lock 1</w:t>
      </w:r>
      <w:r w:rsidR="00B11A0A">
        <w:t>–</w:t>
      </w:r>
      <w:r w:rsidR="005470F1">
        <w:t>2) a</w:t>
      </w:r>
      <w:r w:rsidR="001E0C2D">
        <w:t>nd floodplain (Weir Pool 5</w:t>
      </w:r>
      <w:r>
        <w:t xml:space="preserve">, </w:t>
      </w:r>
      <w:r w:rsidR="001E0C2D">
        <w:t>Lock 5</w:t>
      </w:r>
      <w:r w:rsidR="00B11A0A">
        <w:t>–</w:t>
      </w:r>
      <w:r w:rsidR="001E0C2D">
        <w:t>6</w:t>
      </w:r>
      <w:r w:rsidR="005470F1">
        <w:t xml:space="preserve">) </w:t>
      </w:r>
      <w:r w:rsidR="005E2081">
        <w:t xml:space="preserve">zones </w:t>
      </w:r>
      <w:r w:rsidR="00BC3E93">
        <w:t>(</w:t>
      </w:r>
      <w:r w:rsidR="00394AA8">
        <w:fldChar w:fldCharType="begin"/>
      </w:r>
      <w:r w:rsidR="00BC3E93">
        <w:instrText xml:space="preserve"> REF _Ref382232091 \h </w:instrText>
      </w:r>
      <w:r w:rsidR="00394AA8">
        <w:fldChar w:fldCharType="separate"/>
      </w:r>
      <w:r w:rsidR="004260C4" w:rsidRPr="00C757C7">
        <w:t xml:space="preserve">Figure </w:t>
      </w:r>
      <w:r w:rsidR="004260C4">
        <w:rPr>
          <w:noProof/>
        </w:rPr>
        <w:t>7</w:t>
      </w:r>
      <w:r w:rsidR="00394AA8">
        <w:fldChar w:fldCharType="end"/>
      </w:r>
      <w:r w:rsidR="00BC3E93">
        <w:t xml:space="preserve">) </w:t>
      </w:r>
      <w:r w:rsidR="005470F1">
        <w:t xml:space="preserve">are presented in Figures </w:t>
      </w:r>
      <w:r w:rsidR="00394AA8">
        <w:fldChar w:fldCharType="begin"/>
      </w:r>
      <w:r w:rsidR="00DF2E36">
        <w:instrText xml:space="preserve"> REF _Ref428180558 \# 0 \h </w:instrText>
      </w:r>
      <w:r w:rsidR="006D4B35">
        <w:instrText xml:space="preserve"> \* MERGEFORMAT </w:instrText>
      </w:r>
      <w:r w:rsidR="00394AA8">
        <w:fldChar w:fldCharType="separate"/>
      </w:r>
      <w:r w:rsidR="004260C4">
        <w:t>11</w:t>
      </w:r>
      <w:r w:rsidR="00394AA8">
        <w:fldChar w:fldCharType="end"/>
      </w:r>
      <w:r w:rsidR="005470F1">
        <w:t xml:space="preserve"> and </w:t>
      </w:r>
      <w:r w:rsidR="00394AA8">
        <w:fldChar w:fldCharType="begin"/>
      </w:r>
      <w:r w:rsidR="00DF2E36">
        <w:instrText xml:space="preserve"> REF _Ref428180557 \# 0 \h </w:instrText>
      </w:r>
      <w:r w:rsidR="006D4B35">
        <w:instrText xml:space="preserve"> \* MERGEFORMAT </w:instrText>
      </w:r>
      <w:r w:rsidR="00394AA8">
        <w:fldChar w:fldCharType="separate"/>
      </w:r>
      <w:r w:rsidR="004260C4">
        <w:t>12</w:t>
      </w:r>
      <w:r w:rsidR="00394AA8">
        <w:fldChar w:fldCharType="end"/>
      </w:r>
      <w:r w:rsidR="005470F1">
        <w:t>.</w:t>
      </w:r>
      <w:r w:rsidR="00190621">
        <w:t xml:space="preserve"> </w:t>
      </w:r>
      <w:r w:rsidR="006B48F5">
        <w:t xml:space="preserve">In each plot, the changes </w:t>
      </w:r>
      <w:r w:rsidR="00190621">
        <w:t xml:space="preserve">due to Commonwealth environmental water can be seen between the </w:t>
      </w:r>
      <w:r w:rsidR="005E2081">
        <w:t>‘W</w:t>
      </w:r>
      <w:r w:rsidR="00190621">
        <w:t>ith all water</w:t>
      </w:r>
      <w:r w:rsidR="005E2081">
        <w:t>’</w:t>
      </w:r>
      <w:r w:rsidR="00190621">
        <w:t xml:space="preserve"> case (blue) and the ‘No CEW’ case (green), and the change due to all envir</w:t>
      </w:r>
      <w:r w:rsidR="005E2081">
        <w:t>onmental water by comparing the ‘W</w:t>
      </w:r>
      <w:r w:rsidR="00190621">
        <w:t>ith</w:t>
      </w:r>
      <w:r w:rsidR="005E2081">
        <w:t xml:space="preserve"> all water’</w:t>
      </w:r>
      <w:r w:rsidR="00BF328B">
        <w:t xml:space="preserve"> case to the ‘No eWater’ </w:t>
      </w:r>
      <w:r w:rsidR="00190621">
        <w:t xml:space="preserve">case (orange). </w:t>
      </w:r>
      <w:r w:rsidR="00FE792A">
        <w:t xml:space="preserve">The water level at the upper end of the weir pool (e.g. directly </w:t>
      </w:r>
      <w:r w:rsidR="00335B22">
        <w:t>below</w:t>
      </w:r>
      <w:r w:rsidR="00FE792A">
        <w:t xml:space="preserve"> Lock 2 for the Weir Pool 1 case) has been presented, as the upper end of the weir pool is the least influenced by the lock, and hence most responsive to changes in discharge. </w:t>
      </w:r>
      <w:r w:rsidR="00BB0DAA">
        <w:t xml:space="preserve">Water level results for a location in the middle of the weir pool, </w:t>
      </w:r>
      <w:r w:rsidR="00BB0DAA">
        <w:lastRenderedPageBreak/>
        <w:t xml:space="preserve">and </w:t>
      </w:r>
      <w:r w:rsidR="00016211">
        <w:t xml:space="preserve">at both </w:t>
      </w:r>
      <w:r w:rsidR="00AF5C93">
        <w:t xml:space="preserve">upper and middle </w:t>
      </w:r>
      <w:r w:rsidR="00016211">
        <w:t xml:space="preserve">locations </w:t>
      </w:r>
      <w:r w:rsidR="00BB0DAA">
        <w:t>for all weir pools</w:t>
      </w:r>
      <w:r w:rsidR="00016211">
        <w:t>,</w:t>
      </w:r>
      <w:r w:rsidR="00BB0DAA">
        <w:t xml:space="preserve"> </w:t>
      </w:r>
      <w:r w:rsidR="0060214B">
        <w:t xml:space="preserve">are presented in </w:t>
      </w:r>
      <w:r w:rsidR="00D72B0C">
        <w:t>Appendix </w:t>
      </w:r>
      <w:r w:rsidR="0060214B">
        <w:t>E.</w:t>
      </w:r>
      <w:r w:rsidR="006B48F5">
        <w:t xml:space="preserve"> Further investigation into the Commonwealth environmental water contribution to increase in water levels through the WPR events is provided in Section </w:t>
      </w:r>
      <w:r w:rsidR="006B48F5">
        <w:fldChar w:fldCharType="begin"/>
      </w:r>
      <w:r w:rsidR="006B48F5">
        <w:instrText xml:space="preserve"> REF _Ref472332586 \r \h </w:instrText>
      </w:r>
      <w:r w:rsidR="006B48F5">
        <w:fldChar w:fldCharType="separate"/>
      </w:r>
      <w:r w:rsidR="004260C4">
        <w:t>4</w:t>
      </w:r>
      <w:r w:rsidR="006B48F5">
        <w:fldChar w:fldCharType="end"/>
      </w:r>
      <w:r w:rsidR="006B48F5">
        <w:t>.</w:t>
      </w:r>
    </w:p>
    <w:p w14:paraId="7802531C" w14:textId="2D93F601" w:rsidR="00190621" w:rsidRDefault="000778CB" w:rsidP="00412E7A">
      <w:r>
        <w:t>I</w:t>
      </w:r>
      <w:r w:rsidR="00556ED0">
        <w:t>n 2015/16</w:t>
      </w:r>
      <w:r w:rsidR="000510E3">
        <w:t>,</w:t>
      </w:r>
      <w:r w:rsidR="00556ED0">
        <w:t xml:space="preserve"> C</w:t>
      </w:r>
      <w:r w:rsidR="00DD2812">
        <w:t>ommonwealth environmental water</w:t>
      </w:r>
      <w:r w:rsidR="00556ED0">
        <w:t xml:space="preserve"> was </w:t>
      </w:r>
      <w:r w:rsidR="00923A4F">
        <w:t>critical in</w:t>
      </w:r>
      <w:r w:rsidR="00556ED0">
        <w:t xml:space="preserve"> undertak</w:t>
      </w:r>
      <w:r w:rsidR="00923A4F">
        <w:t>ing</w:t>
      </w:r>
      <w:r w:rsidR="00556ED0">
        <w:t xml:space="preserve"> </w:t>
      </w:r>
      <w:r w:rsidR="001E29E0">
        <w:t>WPR</w:t>
      </w:r>
      <w:r w:rsidR="00556ED0">
        <w:t xml:space="preserve"> at </w:t>
      </w:r>
      <w:r w:rsidR="00AF5C93">
        <w:t xml:space="preserve">Weir Pools </w:t>
      </w:r>
      <w:r w:rsidR="00556ED0">
        <w:t>2 and 5. As</w:t>
      </w:r>
      <w:r w:rsidR="001E29E0">
        <w:t xml:space="preserve"> such, it was assumed that the</w:t>
      </w:r>
      <w:r w:rsidR="00556ED0">
        <w:t xml:space="preserve"> </w:t>
      </w:r>
      <w:r w:rsidR="001E29E0">
        <w:t>WPR</w:t>
      </w:r>
      <w:r w:rsidR="00556ED0">
        <w:t xml:space="preserve"> </w:t>
      </w:r>
      <w:r w:rsidR="0080455F">
        <w:t>would not have</w:t>
      </w:r>
      <w:r w:rsidR="00556ED0">
        <w:t xml:space="preserve"> </w:t>
      </w:r>
      <w:r w:rsidR="009D7D19">
        <w:t>occurred</w:t>
      </w:r>
      <w:r w:rsidR="00556ED0">
        <w:t xml:space="preserve"> in </w:t>
      </w:r>
      <w:r w:rsidR="001A3BBB">
        <w:t>the ‘without environmental water’ cases</w:t>
      </w:r>
      <w:r w:rsidR="00556ED0">
        <w:t xml:space="preserve">. This can be seen in </w:t>
      </w:r>
      <w:r w:rsidR="00556ED0">
        <w:fldChar w:fldCharType="begin"/>
      </w:r>
      <w:r w:rsidR="00556ED0">
        <w:instrText xml:space="preserve"> REF _Ref428180558 \h </w:instrText>
      </w:r>
      <w:r w:rsidR="00556ED0">
        <w:fldChar w:fldCharType="separate"/>
      </w:r>
      <w:r w:rsidR="004260C4">
        <w:t xml:space="preserve">Figure </w:t>
      </w:r>
      <w:r w:rsidR="004260C4">
        <w:rPr>
          <w:noProof/>
        </w:rPr>
        <w:t>11</w:t>
      </w:r>
      <w:r w:rsidR="00556ED0">
        <w:fldChar w:fldCharType="end"/>
      </w:r>
      <w:r w:rsidR="00556ED0">
        <w:t xml:space="preserve"> as the difference in water level of almost 0.7</w:t>
      </w:r>
      <w:r w:rsidR="00DD2812">
        <w:t> </w:t>
      </w:r>
      <w:r w:rsidR="00556ED0">
        <w:t>m in October 2015 in Weir Pool 5</w:t>
      </w:r>
      <w:r w:rsidR="00D84DBA">
        <w:t>, of which 0.45 </w:t>
      </w:r>
      <w:r w:rsidR="001E29E0">
        <w:t>m was due to WPR</w:t>
      </w:r>
      <w:r w:rsidR="00556ED0">
        <w:t>, with the remainder</w:t>
      </w:r>
      <w:r w:rsidR="009D7D19">
        <w:t xml:space="preserve"> of the increase in water level</w:t>
      </w:r>
      <w:r w:rsidR="00556ED0">
        <w:t xml:space="preserve"> due to the increase in </w:t>
      </w:r>
      <w:r w:rsidR="006B4F11">
        <w:t>discharge</w:t>
      </w:r>
      <w:r w:rsidR="00556ED0">
        <w:t xml:space="preserve"> </w:t>
      </w:r>
      <w:r w:rsidR="004A5260">
        <w:t xml:space="preserve">resulting </w:t>
      </w:r>
      <w:r w:rsidR="00556ED0">
        <w:t>from the environmental water.</w:t>
      </w:r>
    </w:p>
    <w:p w14:paraId="1FF5EEE8" w14:textId="7FBFF5BB" w:rsidR="00A27B51" w:rsidRDefault="00311B46" w:rsidP="00C627B1">
      <w:r>
        <w:t>The results indicate</w:t>
      </w:r>
      <w:r w:rsidR="006B4F11" w:rsidRPr="00F87B57">
        <w:t xml:space="preserve"> that environmental water resulted in increases in water level </w:t>
      </w:r>
      <w:r w:rsidR="006B4F11">
        <w:t>of</w:t>
      </w:r>
      <w:r w:rsidR="006B4F11" w:rsidRPr="00F87B57">
        <w:t xml:space="preserve"> up to 0.3 m in the upper reaches of the weir pool for </w:t>
      </w:r>
      <w:r w:rsidR="00AF5C93">
        <w:t>W</w:t>
      </w:r>
      <w:r w:rsidR="006B4F11" w:rsidRPr="00F87B57">
        <w:t xml:space="preserve">eir </w:t>
      </w:r>
      <w:r w:rsidR="00AF5C93">
        <w:t>P</w:t>
      </w:r>
      <w:r w:rsidR="006B4F11" w:rsidRPr="00F87B57">
        <w:t>ools 1 and 4</w:t>
      </w:r>
      <w:r w:rsidR="00272CB4" w:rsidRPr="00272CB4">
        <w:t xml:space="preserve"> </w:t>
      </w:r>
      <w:r w:rsidR="00272CB4" w:rsidRPr="00F87B57">
        <w:t>in</w:t>
      </w:r>
      <w:r w:rsidR="00272CB4">
        <w:t xml:space="preserve"> winter and spring</w:t>
      </w:r>
      <w:r w:rsidR="006B4F11" w:rsidRPr="00F87B57">
        <w:t>. This increased up to 0.</w:t>
      </w:r>
      <w:r w:rsidR="006B4F11">
        <w:t>7</w:t>
      </w:r>
      <w:r w:rsidR="006B4F11" w:rsidRPr="00F87B57">
        <w:t xml:space="preserve"> m </w:t>
      </w:r>
      <w:r w:rsidR="006B4F11">
        <w:t xml:space="preserve">in spring </w:t>
      </w:r>
      <w:r w:rsidR="00204278">
        <w:t>for Weir P</w:t>
      </w:r>
      <w:r w:rsidR="006B4F11" w:rsidRPr="00F87B57">
        <w:t xml:space="preserve">ools 2 and 5, during the </w:t>
      </w:r>
      <w:r w:rsidR="001E29E0">
        <w:t>WPR</w:t>
      </w:r>
      <w:r w:rsidR="006B4F11" w:rsidRPr="00F87B57">
        <w:t xml:space="preserve"> events. </w:t>
      </w:r>
      <w:r w:rsidR="00766C5D">
        <w:t>For velocity, i</w:t>
      </w:r>
      <w:r w:rsidR="008C4482" w:rsidRPr="00603869">
        <w:t xml:space="preserve">t can be seen from </w:t>
      </w:r>
      <w:r w:rsidR="00787356">
        <w:fldChar w:fldCharType="begin"/>
      </w:r>
      <w:r w:rsidR="00787356">
        <w:instrText xml:space="preserve"> REF _Ref428180557 \h </w:instrText>
      </w:r>
      <w:r w:rsidR="00787356">
        <w:fldChar w:fldCharType="separate"/>
      </w:r>
      <w:r w:rsidR="004260C4">
        <w:t xml:space="preserve">Figure </w:t>
      </w:r>
      <w:r w:rsidR="004260C4">
        <w:rPr>
          <w:noProof/>
        </w:rPr>
        <w:t>12</w:t>
      </w:r>
      <w:r w:rsidR="00787356">
        <w:fldChar w:fldCharType="end"/>
      </w:r>
      <w:r w:rsidR="00787356">
        <w:t xml:space="preserve"> and </w:t>
      </w:r>
      <w:r w:rsidR="008C4482" w:rsidRPr="00603869">
        <w:t xml:space="preserve">Figure E8 </w:t>
      </w:r>
      <w:r w:rsidR="00204278">
        <w:t xml:space="preserve">(in Appendix E) </w:t>
      </w:r>
      <w:r w:rsidR="008C4482" w:rsidRPr="00603869">
        <w:t>that</w:t>
      </w:r>
      <w:r w:rsidR="00882587">
        <w:t>,</w:t>
      </w:r>
      <w:r w:rsidR="008C4482" w:rsidRPr="00603869">
        <w:t xml:space="preserve"> without environmental water, the median velocity was less than 0.1 m s</w:t>
      </w:r>
      <w:r w:rsidR="008C4482" w:rsidRPr="00204278">
        <w:rPr>
          <w:vertAlign w:val="superscript"/>
        </w:rPr>
        <w:t>-1</w:t>
      </w:r>
      <w:r w:rsidR="00204278">
        <w:t xml:space="preserve"> </w:t>
      </w:r>
      <w:r w:rsidR="008C4482" w:rsidRPr="00204278">
        <w:t>across</w:t>
      </w:r>
      <w:r w:rsidR="008C4482" w:rsidRPr="00603869">
        <w:t xml:space="preserve"> the weir pools </w:t>
      </w:r>
      <w:r w:rsidR="00272CB4">
        <w:t>for all of 2015/16</w:t>
      </w:r>
      <w:r w:rsidR="008C4482" w:rsidRPr="00603869">
        <w:t xml:space="preserve"> (with some exceptions </w:t>
      </w:r>
      <w:r w:rsidR="004122ED">
        <w:t>in</w:t>
      </w:r>
      <w:r w:rsidR="008C4482" w:rsidRPr="00603869">
        <w:t xml:space="preserve"> </w:t>
      </w:r>
      <w:r w:rsidR="00204278">
        <w:t>Weir P</w:t>
      </w:r>
      <w:r w:rsidR="008C4482" w:rsidRPr="00603869">
        <w:t>ool 5</w:t>
      </w:r>
      <w:r w:rsidR="004122ED">
        <w:t>)</w:t>
      </w:r>
      <w:r w:rsidR="008C4482" w:rsidRPr="00603869">
        <w:t xml:space="preserve">. </w:t>
      </w:r>
      <w:r w:rsidR="006B48F5" w:rsidRPr="00603869">
        <w:t xml:space="preserve">Velocities </w:t>
      </w:r>
      <w:r w:rsidR="006B48F5">
        <w:t>less</w:t>
      </w:r>
      <w:r w:rsidR="006B48F5" w:rsidRPr="00603869">
        <w:t xml:space="preserve"> </w:t>
      </w:r>
      <w:r w:rsidR="008C4482" w:rsidRPr="00603869">
        <w:t>than 0.1 m s</w:t>
      </w:r>
      <w:r w:rsidR="008C4482" w:rsidRPr="00603869">
        <w:rPr>
          <w:vertAlign w:val="superscript"/>
        </w:rPr>
        <w:t>-1</w:t>
      </w:r>
      <w:r w:rsidR="008C4482" w:rsidRPr="00204278">
        <w:t xml:space="preserve"> </w:t>
      </w:r>
      <w:r w:rsidR="00882587">
        <w:t>represent</w:t>
      </w:r>
      <w:r w:rsidR="008C4482" w:rsidRPr="00603869">
        <w:t xml:space="preserve"> slow-flowing habitat, and as such the wi</w:t>
      </w:r>
      <w:r w:rsidR="004D1D47">
        <w:t>thout environmental water case (</w:t>
      </w:r>
      <w:r w:rsidR="001765A2">
        <w:t>i.e.</w:t>
      </w:r>
      <w:r w:rsidR="004D1D47">
        <w:t xml:space="preserve"> </w:t>
      </w:r>
      <w:r w:rsidR="008C4482" w:rsidRPr="00603869">
        <w:t>entitlement flow all year</w:t>
      </w:r>
      <w:r w:rsidR="004D1D47">
        <w:t>)</w:t>
      </w:r>
      <w:r w:rsidR="008C4482" w:rsidRPr="00603869">
        <w:t>, represents close to stagnan</w:t>
      </w:r>
      <w:r w:rsidR="00882587">
        <w:t>t weir pools. In contrast, the ‘W</w:t>
      </w:r>
      <w:r w:rsidR="008C4482" w:rsidRPr="00603869">
        <w:t>ith CEW</w:t>
      </w:r>
      <w:r w:rsidR="00882587">
        <w:t>’</w:t>
      </w:r>
      <w:r w:rsidR="008C4482" w:rsidRPr="00603869">
        <w:t xml:space="preserve"> case represents an increase in weir pool median velocity of ~0.1 m s</w:t>
      </w:r>
      <w:r w:rsidR="008C4482" w:rsidRPr="00603869">
        <w:rPr>
          <w:vertAlign w:val="superscript"/>
        </w:rPr>
        <w:t xml:space="preserve">-1 </w:t>
      </w:r>
      <w:r w:rsidR="008C4482" w:rsidRPr="00603869">
        <w:t xml:space="preserve">in winter and spring across </w:t>
      </w:r>
      <w:r w:rsidR="00272CB4">
        <w:t>all</w:t>
      </w:r>
      <w:r w:rsidR="008C4482" w:rsidRPr="00603869">
        <w:t xml:space="preserve"> weir pools. The shaded blue areas in </w:t>
      </w:r>
      <w:r w:rsidR="001520D9">
        <w:fldChar w:fldCharType="begin"/>
      </w:r>
      <w:r w:rsidR="001520D9">
        <w:instrText xml:space="preserve"> REF _Ref428180557 \h </w:instrText>
      </w:r>
      <w:r w:rsidR="001520D9">
        <w:fldChar w:fldCharType="separate"/>
      </w:r>
      <w:r w:rsidR="004260C4">
        <w:t xml:space="preserve">Figure </w:t>
      </w:r>
      <w:r w:rsidR="004260C4">
        <w:rPr>
          <w:noProof/>
        </w:rPr>
        <w:t>12</w:t>
      </w:r>
      <w:r w:rsidR="001520D9">
        <w:fldChar w:fldCharType="end"/>
      </w:r>
      <w:r w:rsidR="001520D9">
        <w:t xml:space="preserve"> and </w:t>
      </w:r>
      <w:r w:rsidR="00D72B0C">
        <w:t>Figure </w:t>
      </w:r>
      <w:r w:rsidR="008C4482" w:rsidRPr="00603869">
        <w:t xml:space="preserve">E8 </w:t>
      </w:r>
      <w:r w:rsidR="00882587">
        <w:t>(in Appendix E) indicate that, w</w:t>
      </w:r>
      <w:r w:rsidR="008C4482" w:rsidRPr="00603869">
        <w:t>ith C</w:t>
      </w:r>
      <w:r w:rsidR="00882587">
        <w:t>ommonwealth environmental water,</w:t>
      </w:r>
      <w:r w:rsidR="008C4482" w:rsidRPr="00603869">
        <w:t xml:space="preserve"> there </w:t>
      </w:r>
      <w:r w:rsidR="00F2200C">
        <w:t>were</w:t>
      </w:r>
      <w:r w:rsidR="00F2200C" w:rsidRPr="00603869">
        <w:t xml:space="preserve"> </w:t>
      </w:r>
      <w:r w:rsidR="008C4482" w:rsidRPr="00603869">
        <w:t xml:space="preserve">some cross sections in each weir pool (typically the upper reaches) </w:t>
      </w:r>
      <w:r w:rsidR="001777BD">
        <w:t>greater than 0.17</w:t>
      </w:r>
      <w:r w:rsidR="00F249BD" w:rsidRPr="00603869">
        <w:t xml:space="preserve"> m s</w:t>
      </w:r>
      <w:r w:rsidR="00F249BD" w:rsidRPr="00603869">
        <w:rPr>
          <w:vertAlign w:val="superscript"/>
        </w:rPr>
        <w:t>-1</w:t>
      </w:r>
      <w:r w:rsidR="00F249BD" w:rsidRPr="00603869">
        <w:t>,</w:t>
      </w:r>
      <w:r w:rsidR="00F249BD">
        <w:t xml:space="preserve"> </w:t>
      </w:r>
      <w:r w:rsidR="008C4482" w:rsidRPr="00603869">
        <w:t xml:space="preserve">between July and November 2015 as well as </w:t>
      </w:r>
      <w:r w:rsidR="00DF56A9">
        <w:t xml:space="preserve">in </w:t>
      </w:r>
      <w:r w:rsidR="008C4482" w:rsidRPr="00603869">
        <w:t>February 2016, coinciding with the delivery of C</w:t>
      </w:r>
      <w:r w:rsidR="00882587">
        <w:t xml:space="preserve">ommonwealth environmental water </w:t>
      </w:r>
      <w:r w:rsidR="008C4482" w:rsidRPr="00603869">
        <w:t xml:space="preserve">increasing </w:t>
      </w:r>
      <w:r w:rsidR="00305B73">
        <w:t xml:space="preserve">over the </w:t>
      </w:r>
      <w:r w:rsidR="001E5FAE">
        <w:t>South Australian</w:t>
      </w:r>
      <w:r w:rsidR="00305B73">
        <w:t xml:space="preserve"> border (</w:t>
      </w:r>
      <w:r w:rsidR="008C4482" w:rsidRPr="00603869">
        <w:t>QSA</w:t>
      </w:r>
      <w:r w:rsidR="00305B73">
        <w:t>)</w:t>
      </w:r>
      <w:r w:rsidR="008C4482" w:rsidRPr="00603869">
        <w:t xml:space="preserve"> to over 9</w:t>
      </w:r>
      <w:r w:rsidR="00DD2812">
        <w:t>,</w:t>
      </w:r>
      <w:r w:rsidR="008C4482" w:rsidRPr="00603869">
        <w:t>000 ML day</w:t>
      </w:r>
      <w:r w:rsidR="008C4482" w:rsidRPr="00603869">
        <w:rPr>
          <w:vertAlign w:val="superscript"/>
        </w:rPr>
        <w:t>-1</w:t>
      </w:r>
      <w:r w:rsidR="0030553D">
        <w:rPr>
          <w:vertAlign w:val="superscript"/>
        </w:rPr>
        <w:t xml:space="preserve"> </w:t>
      </w:r>
      <w:r w:rsidR="0030553D">
        <w:t>(</w:t>
      </w:r>
      <w:r w:rsidR="0030553D">
        <w:fldChar w:fldCharType="begin"/>
      </w:r>
      <w:r w:rsidR="0030553D">
        <w:instrText xml:space="preserve"> REF _Ref416335496 \h </w:instrText>
      </w:r>
      <w:r w:rsidR="0030553D">
        <w:fldChar w:fldCharType="separate"/>
      </w:r>
      <w:r w:rsidR="004260C4" w:rsidRPr="00160EF9">
        <w:t xml:space="preserve">Figure </w:t>
      </w:r>
      <w:r w:rsidR="004260C4">
        <w:rPr>
          <w:noProof/>
        </w:rPr>
        <w:t>3</w:t>
      </w:r>
      <w:r w:rsidR="0030553D">
        <w:fldChar w:fldCharType="end"/>
      </w:r>
      <w:r w:rsidR="0030553D">
        <w:t>)</w:t>
      </w:r>
      <w:r w:rsidR="008C4482" w:rsidRPr="00603869">
        <w:t>.</w:t>
      </w:r>
      <w:r w:rsidR="00591FF1">
        <w:t xml:space="preserve"> Hydraulic diversity, if defined as the range between the 10</w:t>
      </w:r>
      <w:r w:rsidR="00591FF1" w:rsidRPr="00591FF1">
        <w:rPr>
          <w:vertAlign w:val="superscript"/>
        </w:rPr>
        <w:t>th</w:t>
      </w:r>
      <w:r w:rsidR="00591FF1">
        <w:t xml:space="preserve"> and 90</w:t>
      </w:r>
      <w:r w:rsidR="00591FF1" w:rsidRPr="00591FF1">
        <w:rPr>
          <w:vertAlign w:val="superscript"/>
        </w:rPr>
        <w:t>th</w:t>
      </w:r>
      <w:r w:rsidR="00591FF1">
        <w:t xml:space="preserve"> percentile velocities (i.e. the shaded areas in </w:t>
      </w:r>
      <w:r w:rsidR="00591FF1">
        <w:fldChar w:fldCharType="begin"/>
      </w:r>
      <w:r w:rsidR="00591FF1">
        <w:instrText xml:space="preserve"> REF _Ref428180557 \h </w:instrText>
      </w:r>
      <w:r w:rsidR="00591FF1">
        <w:fldChar w:fldCharType="separate"/>
      </w:r>
      <w:r w:rsidR="004260C4">
        <w:t xml:space="preserve">Figure </w:t>
      </w:r>
      <w:r w:rsidR="004260C4">
        <w:rPr>
          <w:noProof/>
        </w:rPr>
        <w:t>12</w:t>
      </w:r>
      <w:r w:rsidR="00591FF1">
        <w:fldChar w:fldCharType="end"/>
      </w:r>
      <w:r w:rsidR="00591FF1">
        <w:t xml:space="preserve"> and </w:t>
      </w:r>
      <w:r w:rsidR="00591FF1" w:rsidRPr="00603869">
        <w:t>Figure E8</w:t>
      </w:r>
      <w:r w:rsidR="00882587">
        <w:t xml:space="preserve"> in Appendix E</w:t>
      </w:r>
      <w:r w:rsidR="00591FF1">
        <w:t xml:space="preserve">), can be seen to have been increased by the </w:t>
      </w:r>
      <w:r w:rsidR="00892250">
        <w:t xml:space="preserve">contribution of </w:t>
      </w:r>
      <w:r w:rsidR="00591FF1">
        <w:t>C</w:t>
      </w:r>
      <w:r w:rsidR="00882587">
        <w:t>ommonwealth environmental water</w:t>
      </w:r>
      <w:r w:rsidR="00892250">
        <w:t xml:space="preserve"> to the LMR</w:t>
      </w:r>
      <w:r w:rsidR="00591FF1">
        <w:t xml:space="preserve">. </w:t>
      </w:r>
    </w:p>
    <w:p w14:paraId="5687CCDA" w14:textId="77777777" w:rsidR="00C0731E" w:rsidRDefault="00C0731E" w:rsidP="00C627B1">
      <w:pPr>
        <w:keepNext/>
        <w:spacing w:before="0" w:after="200" w:line="276" w:lineRule="auto"/>
        <w:sectPr w:rsidR="00C0731E" w:rsidSect="00775646">
          <w:pgSz w:w="11900" w:h="16840" w:code="9"/>
          <w:pgMar w:top="1440" w:right="1440" w:bottom="1440" w:left="1440" w:header="709" w:footer="709" w:gutter="0"/>
          <w:cols w:space="708"/>
          <w:docGrid w:linePitch="360"/>
        </w:sectPr>
      </w:pPr>
    </w:p>
    <w:p w14:paraId="316472EC" w14:textId="6DD3198B" w:rsidR="001B6753" w:rsidRDefault="00F02ADA" w:rsidP="00C0731E">
      <w:pPr>
        <w:keepNext/>
        <w:spacing w:before="0" w:after="200" w:line="276" w:lineRule="auto"/>
        <w:jc w:val="center"/>
      </w:pPr>
      <w:r>
        <w:rPr>
          <w:noProof/>
          <w:lang w:eastAsia="en-AU"/>
        </w:rPr>
        <w:lastRenderedPageBreak/>
        <w:drawing>
          <wp:inline distT="0" distB="0" distL="0" distR="0" wp14:anchorId="453326DF" wp14:editId="76CB4FAE">
            <wp:extent cx="7979458" cy="4554000"/>
            <wp:effectExtent l="0" t="0" r="2540" b="0"/>
            <wp:docPr id="8" name="Picture 8" descr="D:\Documents\Dropbox\LTIM\LTIM\Assessment\Output\WaterLevelUpper_Sub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ropbox\LTIM\LTIM\Assessment\Output\WaterLevelUpper_Subset.png"/>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t="8776"/>
                    <a:stretch/>
                  </pic:blipFill>
                  <pic:spPr bwMode="auto">
                    <a:xfrm>
                      <a:off x="0" y="0"/>
                      <a:ext cx="7979458" cy="4554000"/>
                    </a:xfrm>
                    <a:prstGeom prst="rect">
                      <a:avLst/>
                    </a:prstGeom>
                    <a:noFill/>
                    <a:ln>
                      <a:noFill/>
                    </a:ln>
                    <a:extLst>
                      <a:ext uri="{53640926-AAD7-44D8-BBD7-CCE9431645EC}">
                        <a14:shadowObscured xmlns:a14="http://schemas.microsoft.com/office/drawing/2010/main"/>
                      </a:ext>
                    </a:extLst>
                  </pic:spPr>
                </pic:pic>
              </a:graphicData>
            </a:graphic>
          </wp:inline>
        </w:drawing>
      </w:r>
    </w:p>
    <w:p w14:paraId="753A8AC4" w14:textId="4E2AE730" w:rsidR="00051C18" w:rsidRDefault="00EF3022" w:rsidP="001B384B">
      <w:pPr>
        <w:pStyle w:val="Caption"/>
      </w:pPr>
      <w:bookmarkStart w:id="86" w:name="_Ref428180558"/>
      <w:bookmarkStart w:id="87" w:name="_Toc442173732"/>
      <w:bookmarkStart w:id="88" w:name="_Toc474147035"/>
      <w:r>
        <w:t xml:space="preserve">Figure </w:t>
      </w:r>
      <w:r w:rsidR="002A5644">
        <w:fldChar w:fldCharType="begin"/>
      </w:r>
      <w:r w:rsidR="002A5644">
        <w:instrText xml:space="preserve"> SEQ Figure \* ARABIC </w:instrText>
      </w:r>
      <w:r w:rsidR="002A5644">
        <w:fldChar w:fldCharType="separate"/>
      </w:r>
      <w:r w:rsidR="004260C4">
        <w:rPr>
          <w:noProof/>
        </w:rPr>
        <w:t>11</w:t>
      </w:r>
      <w:r w:rsidR="002A5644">
        <w:rPr>
          <w:noProof/>
        </w:rPr>
        <w:fldChar w:fldCharType="end"/>
      </w:r>
      <w:bookmarkEnd w:id="86"/>
      <w:r w:rsidR="00412E7A">
        <w:rPr>
          <w:noProof/>
        </w:rPr>
        <w:t>.</w:t>
      </w:r>
      <w:r>
        <w:t xml:space="preserve"> Water levels at the upper end of the weir pool for</w:t>
      </w:r>
      <w:r w:rsidRPr="002206D7">
        <w:t xml:space="preserve"> a weir pool in the floodplain zone (Weir Pool </w:t>
      </w:r>
      <w:r w:rsidR="00BB7CA5">
        <w:t>5</w:t>
      </w:r>
      <w:r w:rsidRPr="002206D7">
        <w:t>) and gorge zone (Weir Pool 1) representing observed conditions (</w:t>
      </w:r>
      <w:r w:rsidR="00CB59AA">
        <w:t>W</w:t>
      </w:r>
      <w:r w:rsidRPr="002206D7">
        <w:t xml:space="preserve">ith </w:t>
      </w:r>
      <w:r w:rsidR="00CB59AA">
        <w:t>all w</w:t>
      </w:r>
      <w:r w:rsidRPr="002206D7">
        <w:t>ater)</w:t>
      </w:r>
      <w:r>
        <w:t>, without C</w:t>
      </w:r>
      <w:r w:rsidR="005F0C3D">
        <w:t>ommonwealth environmental water (No C</w:t>
      </w:r>
      <w:r>
        <w:t>EW</w:t>
      </w:r>
      <w:r w:rsidR="005F0C3D">
        <w:t>)</w:t>
      </w:r>
      <w:r>
        <w:t xml:space="preserve"> and without any environmental w</w:t>
      </w:r>
      <w:r w:rsidRPr="002206D7">
        <w:t>ater</w:t>
      </w:r>
      <w:r w:rsidR="005F0C3D">
        <w:t xml:space="preserve"> (No eWater)</w:t>
      </w:r>
      <w:r w:rsidRPr="002206D7">
        <w:t xml:space="preserve"> for 201</w:t>
      </w:r>
      <w:r w:rsidR="006557F9">
        <w:t>5/16</w:t>
      </w:r>
      <w:r w:rsidRPr="002206D7">
        <w:t>.</w:t>
      </w:r>
      <w:bookmarkEnd w:id="87"/>
      <w:bookmarkEnd w:id="88"/>
      <w:r w:rsidR="00C627B1" w:rsidRPr="00C627B1">
        <w:t xml:space="preserve"> </w:t>
      </w:r>
    </w:p>
    <w:p w14:paraId="21C1B141" w14:textId="77777777" w:rsidR="00C0731E" w:rsidRDefault="00C0731E" w:rsidP="001B384B">
      <w:pPr>
        <w:pStyle w:val="Caption"/>
        <w:rPr>
          <w:noProof/>
          <w:lang w:eastAsia="en-AU"/>
        </w:rPr>
        <w:sectPr w:rsidR="00C0731E" w:rsidSect="00C0731E">
          <w:pgSz w:w="16840" w:h="11900" w:orient="landscape" w:code="9"/>
          <w:pgMar w:top="1440" w:right="1440" w:bottom="1440" w:left="1440" w:header="709" w:footer="709" w:gutter="0"/>
          <w:cols w:space="708"/>
          <w:docGrid w:linePitch="360"/>
        </w:sectPr>
      </w:pPr>
    </w:p>
    <w:p w14:paraId="4EBF06C4" w14:textId="32CA9BA4" w:rsidR="001B6753" w:rsidRDefault="00F02ADA" w:rsidP="00C0731E">
      <w:pPr>
        <w:pStyle w:val="Caption"/>
        <w:jc w:val="center"/>
        <w:rPr>
          <w:noProof/>
          <w:lang w:eastAsia="en-AU"/>
        </w:rPr>
      </w:pPr>
      <w:r>
        <w:rPr>
          <w:noProof/>
          <w:lang w:eastAsia="en-AU"/>
        </w:rPr>
        <w:lastRenderedPageBreak/>
        <w:drawing>
          <wp:inline distT="0" distB="0" distL="0" distR="0" wp14:anchorId="2328F9BA" wp14:editId="3DA4D772">
            <wp:extent cx="8003969" cy="4554671"/>
            <wp:effectExtent l="0" t="0" r="0" b="0"/>
            <wp:docPr id="1" name="Picture 1" descr="D:\Documents\Dropbox\LTIM\LTIM\Assessment\Output\Velocity_Sub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ropbox\LTIM\LTIM\Assessment\Output\Velocity_Subset.png"/>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t="9043"/>
                    <a:stretch/>
                  </pic:blipFill>
                  <pic:spPr bwMode="auto">
                    <a:xfrm>
                      <a:off x="0" y="0"/>
                      <a:ext cx="8015147" cy="4561032"/>
                    </a:xfrm>
                    <a:prstGeom prst="rect">
                      <a:avLst/>
                    </a:prstGeom>
                    <a:noFill/>
                    <a:ln>
                      <a:noFill/>
                    </a:ln>
                    <a:extLst>
                      <a:ext uri="{53640926-AAD7-44D8-BBD7-CCE9431645EC}">
                        <a14:shadowObscured xmlns:a14="http://schemas.microsoft.com/office/drawing/2010/main"/>
                      </a:ext>
                    </a:extLst>
                  </pic:spPr>
                </pic:pic>
              </a:graphicData>
            </a:graphic>
          </wp:inline>
        </w:drawing>
      </w:r>
    </w:p>
    <w:p w14:paraId="401D2409" w14:textId="785902C8" w:rsidR="00797A15" w:rsidRDefault="00797A15" w:rsidP="00B46038">
      <w:pPr>
        <w:pStyle w:val="Captions"/>
      </w:pPr>
      <w:bookmarkStart w:id="89" w:name="_Ref428180557"/>
      <w:bookmarkStart w:id="90" w:name="_Toc442173733"/>
      <w:bookmarkStart w:id="91" w:name="_Toc474147036"/>
      <w:r>
        <w:t xml:space="preserve">Figure </w:t>
      </w:r>
      <w:r w:rsidR="00C63D36">
        <w:fldChar w:fldCharType="begin"/>
      </w:r>
      <w:r w:rsidR="00C63D36">
        <w:instrText xml:space="preserve"> SEQ Figure \* ARABIC </w:instrText>
      </w:r>
      <w:r w:rsidR="00C63D36">
        <w:fldChar w:fldCharType="separate"/>
      </w:r>
      <w:r w:rsidR="004260C4">
        <w:rPr>
          <w:noProof/>
        </w:rPr>
        <w:t>12</w:t>
      </w:r>
      <w:r w:rsidR="00C63D36">
        <w:fldChar w:fldCharType="end"/>
      </w:r>
      <w:bookmarkEnd w:id="89"/>
      <w:r w:rsidR="00412E7A">
        <w:rPr>
          <w:noProof/>
        </w:rPr>
        <w:t>.</w:t>
      </w:r>
      <w:r>
        <w:t xml:space="preserve"> </w:t>
      </w:r>
      <w:r w:rsidR="00E83842">
        <w:t>Cross section averaged v</w:t>
      </w:r>
      <w:r>
        <w:t xml:space="preserve">elocities in a weir pool in the floodplain </w:t>
      </w:r>
      <w:r w:rsidR="00955676">
        <w:t xml:space="preserve">zone </w:t>
      </w:r>
      <w:r w:rsidR="005659A1">
        <w:t>(Weir Pool 5</w:t>
      </w:r>
      <w:r>
        <w:t xml:space="preserve">) and </w:t>
      </w:r>
      <w:r w:rsidR="00955676">
        <w:t xml:space="preserve">gorge zone </w:t>
      </w:r>
      <w:r>
        <w:t>(Weir Pool 1)</w:t>
      </w:r>
      <w:r w:rsidR="00955676">
        <w:t xml:space="preserve"> representing observed conditions (</w:t>
      </w:r>
      <w:r w:rsidR="00CB59AA">
        <w:t>W</w:t>
      </w:r>
      <w:r w:rsidR="00955676">
        <w:t xml:space="preserve">ith </w:t>
      </w:r>
      <w:r w:rsidR="00CB59AA">
        <w:t>all w</w:t>
      </w:r>
      <w:r w:rsidR="00955676">
        <w:t>ater), without</w:t>
      </w:r>
      <w:r w:rsidR="00970D9E">
        <w:t xml:space="preserve"> Commonwealth environmental water (No</w:t>
      </w:r>
      <w:r w:rsidR="00955676">
        <w:t xml:space="preserve"> CEW</w:t>
      </w:r>
      <w:r w:rsidR="00970D9E">
        <w:t>)</w:t>
      </w:r>
      <w:r w:rsidR="00955676">
        <w:t xml:space="preserve"> and without any </w:t>
      </w:r>
      <w:r w:rsidR="006E4464">
        <w:t>environmental w</w:t>
      </w:r>
      <w:r w:rsidR="00955676">
        <w:t>ater</w:t>
      </w:r>
      <w:r w:rsidR="00970D9E">
        <w:t xml:space="preserve"> (No eWater)</w:t>
      </w:r>
      <w:r w:rsidR="006557F9">
        <w:t xml:space="preserve"> for 2015/16</w:t>
      </w:r>
      <w:r w:rsidR="00955676">
        <w:t>. The median velocity in the weir</w:t>
      </w:r>
      <w:r w:rsidR="006E4464">
        <w:t xml:space="preserve"> </w:t>
      </w:r>
      <w:r w:rsidR="00955676">
        <w:t>pool is represented by the solid line, and the range (as the 10</w:t>
      </w:r>
      <w:r w:rsidR="00955676" w:rsidRPr="00955676">
        <w:rPr>
          <w:vertAlign w:val="superscript"/>
        </w:rPr>
        <w:t>th</w:t>
      </w:r>
      <w:r w:rsidR="00955676">
        <w:t xml:space="preserve"> and 90</w:t>
      </w:r>
      <w:r w:rsidR="00955676" w:rsidRPr="00955676">
        <w:rPr>
          <w:vertAlign w:val="superscript"/>
        </w:rPr>
        <w:t>th</w:t>
      </w:r>
      <w:r w:rsidR="00955676">
        <w:t xml:space="preserve"> percentiles) represented by the shaded area.</w:t>
      </w:r>
      <w:bookmarkEnd w:id="90"/>
      <w:bookmarkEnd w:id="91"/>
    </w:p>
    <w:p w14:paraId="5AE5DA2D" w14:textId="77777777" w:rsidR="00C0731E" w:rsidRDefault="00C0731E" w:rsidP="00990451">
      <w:pPr>
        <w:pStyle w:val="Heading3"/>
        <w:sectPr w:rsidR="00C0731E" w:rsidSect="00C0731E">
          <w:pgSz w:w="16840" w:h="11900" w:orient="landscape" w:code="9"/>
          <w:pgMar w:top="1440" w:right="1440" w:bottom="1440" w:left="1440" w:header="709" w:footer="709" w:gutter="0"/>
          <w:cols w:space="708"/>
          <w:docGrid w:linePitch="360"/>
        </w:sectPr>
      </w:pPr>
      <w:bookmarkStart w:id="92" w:name="_Toc441838734"/>
    </w:p>
    <w:p w14:paraId="38FC4D1B" w14:textId="1EB9D9D1" w:rsidR="00990451" w:rsidRPr="00031925" w:rsidRDefault="00990451" w:rsidP="00990451">
      <w:pPr>
        <w:pStyle w:val="Heading3"/>
      </w:pPr>
      <w:bookmarkStart w:id="93" w:name="_Toc474147059"/>
      <w:r w:rsidRPr="00031925">
        <w:lastRenderedPageBreak/>
        <w:t>Matter Transport</w:t>
      </w:r>
      <w:bookmarkEnd w:id="92"/>
      <w:bookmarkEnd w:id="93"/>
    </w:p>
    <w:p w14:paraId="6ADE5BDC" w14:textId="2FCC6D04" w:rsidR="00CE7516" w:rsidRDefault="00CE7516" w:rsidP="00CE7516">
      <w:pPr>
        <w:rPr>
          <w:lang w:val="en-US"/>
        </w:rPr>
      </w:pPr>
      <w:r w:rsidRPr="00A67C76">
        <w:rPr>
          <w:rFonts w:eastAsia="Arial Unicode MS"/>
          <w:lang w:eastAsia="en-AU"/>
        </w:rPr>
        <w:t xml:space="preserve">Altering the flow regime of riverine systems has </w:t>
      </w:r>
      <w:r>
        <w:rPr>
          <w:rFonts w:eastAsia="Arial Unicode MS"/>
          <w:lang w:eastAsia="en-AU"/>
        </w:rPr>
        <w:t xml:space="preserve">altered </w:t>
      </w:r>
      <w:r w:rsidRPr="00A67C76">
        <w:rPr>
          <w:rFonts w:eastAsia="Arial Unicode MS"/>
          <w:lang w:eastAsia="en-AU"/>
        </w:rPr>
        <w:t xml:space="preserve">the concentrations and transport of dissolved and particulate </w:t>
      </w:r>
      <w:r>
        <w:rPr>
          <w:rFonts w:eastAsia="Arial Unicode MS"/>
          <w:lang w:eastAsia="en-AU"/>
        </w:rPr>
        <w:t>matter (</w:t>
      </w:r>
      <w:r>
        <w:rPr>
          <w:lang w:val="en-US"/>
        </w:rPr>
        <w:t>Appendix F)</w:t>
      </w:r>
      <w:r>
        <w:rPr>
          <w:rFonts w:eastAsia="Arial Unicode MS"/>
          <w:lang w:eastAsia="en-AU"/>
        </w:rPr>
        <w:t xml:space="preserve">. </w:t>
      </w:r>
      <w:r w:rsidRPr="00A67C76">
        <w:rPr>
          <w:rFonts w:eastAsia="Arial Unicode MS"/>
          <w:lang w:eastAsia="en-AU"/>
        </w:rPr>
        <w:t>For example, reduced flow can result in</w:t>
      </w:r>
      <w:r>
        <w:rPr>
          <w:rFonts w:eastAsia="Arial Unicode MS"/>
          <w:lang w:eastAsia="en-AU"/>
        </w:rPr>
        <w:t>:</w:t>
      </w:r>
      <w:r w:rsidRPr="00A67C76">
        <w:rPr>
          <w:rFonts w:eastAsia="Arial Unicode MS"/>
          <w:lang w:eastAsia="en-AU"/>
        </w:rPr>
        <w:t xml:space="preserve"> salinisation through the intrusion of saline water; reduced nutrient </w:t>
      </w:r>
      <w:r>
        <w:rPr>
          <w:rFonts w:eastAsia="Arial Unicode MS"/>
          <w:lang w:eastAsia="en-AU"/>
        </w:rPr>
        <w:t xml:space="preserve">availability </w:t>
      </w:r>
      <w:r w:rsidRPr="00A67C76">
        <w:rPr>
          <w:rFonts w:eastAsia="Arial Unicode MS"/>
          <w:lang w:eastAsia="en-AU"/>
        </w:rPr>
        <w:t xml:space="preserve">due to decreased mobilisation of nutrients from the floodplain; </w:t>
      </w:r>
      <w:r>
        <w:rPr>
          <w:rFonts w:eastAsia="Arial Unicode MS"/>
          <w:lang w:eastAsia="en-AU"/>
        </w:rPr>
        <w:t xml:space="preserve">and </w:t>
      </w:r>
      <w:r w:rsidRPr="00A67C76">
        <w:rPr>
          <w:rFonts w:eastAsia="Arial Unicode MS"/>
          <w:lang w:eastAsia="en-AU"/>
        </w:rPr>
        <w:t xml:space="preserve">reduced primary productivity because of nutrient limitation. </w:t>
      </w:r>
      <w:r w:rsidRPr="00A67C76">
        <w:t>Environmental flow</w:t>
      </w:r>
      <w:r>
        <w:t>s</w:t>
      </w:r>
      <w:r w:rsidRPr="00A67C76">
        <w:t xml:space="preserve"> may be used to reinstate some of the natural processes that control the </w:t>
      </w:r>
      <w:r>
        <w:t xml:space="preserve">availability </w:t>
      </w:r>
      <w:r w:rsidRPr="00A67C76">
        <w:t xml:space="preserve">and transport of dissolved and particulate </w:t>
      </w:r>
      <w:r>
        <w:t>matter</w:t>
      </w:r>
      <w:r w:rsidRPr="00A67C76">
        <w:t xml:space="preserve">. In doing so, these flows may provide ecological benefits through the provision of habitat and resources for biota. </w:t>
      </w:r>
    </w:p>
    <w:p w14:paraId="741F4284" w14:textId="665BF68A" w:rsidR="003622B7" w:rsidRDefault="00CE7516" w:rsidP="0020216D">
      <w:r>
        <w:rPr>
          <w:lang w:val="en-US"/>
        </w:rPr>
        <w:t xml:space="preserve">To assess the </w:t>
      </w:r>
      <w:r>
        <w:t>contribution of environmental water use</w:t>
      </w:r>
      <w:r>
        <w:rPr>
          <w:lang w:val="en-US"/>
        </w:rPr>
        <w:t xml:space="preserve"> to matter transport, a hydrodynamic-biogeochemical model was applied for the region below Lock 1 to the Murray Mouth (see Appendix F). </w:t>
      </w:r>
      <w:r w:rsidRPr="00A67C76">
        <w:t xml:space="preserve">Assumptions </w:t>
      </w:r>
      <w:r>
        <w:t>made within the model</w:t>
      </w:r>
      <w:r w:rsidRPr="00A67C76">
        <w:t xml:space="preserve"> result in uncertainty in the model outputs and so outputs </w:t>
      </w:r>
      <w:r>
        <w:t xml:space="preserve">should not be considered to be </w:t>
      </w:r>
      <w:r w:rsidRPr="00A67C76">
        <w:t xml:space="preserve">absolute </w:t>
      </w:r>
      <w:r>
        <w:t xml:space="preserve">values </w:t>
      </w:r>
      <w:r>
        <w:rPr>
          <w:lang w:val="en-US"/>
        </w:rPr>
        <w:t>(</w:t>
      </w:r>
      <w:r w:rsidRPr="00A67C76">
        <w:rPr>
          <w:noProof/>
        </w:rPr>
        <w:t>for more detail refer to Aldridge</w:t>
      </w:r>
      <w:r w:rsidRPr="00A67C76">
        <w:rPr>
          <w:i/>
          <w:noProof/>
        </w:rPr>
        <w:t xml:space="preserve"> et al.</w:t>
      </w:r>
      <w:r w:rsidRPr="00A67C76">
        <w:rPr>
          <w:noProof/>
        </w:rPr>
        <w:t xml:space="preserve"> 2013 </w:t>
      </w:r>
      <w:r>
        <w:rPr>
          <w:noProof/>
        </w:rPr>
        <w:t xml:space="preserve">and </w:t>
      </w:r>
      <w:r>
        <w:rPr>
          <w:lang w:val="en-US"/>
        </w:rPr>
        <w:t>Appendix F</w:t>
      </w:r>
      <w:r w:rsidRPr="00A67C76">
        <w:rPr>
          <w:noProof/>
        </w:rPr>
        <w:t>)</w:t>
      </w:r>
      <w:r w:rsidRPr="00A67C76">
        <w:t xml:space="preserve">. </w:t>
      </w:r>
      <w:r>
        <w:t>Instead, t</w:t>
      </w:r>
      <w:r w:rsidRPr="00A67C76">
        <w:t>he model outputs are used to assess the general re</w:t>
      </w:r>
      <w:r>
        <w:t>sponse to environmental water delivery</w:t>
      </w:r>
      <w:r w:rsidRPr="00A67C76">
        <w:t>.</w:t>
      </w:r>
      <w:r>
        <w:t xml:space="preserve"> For this, three simulations were run and compared for 1</w:t>
      </w:r>
      <w:r w:rsidRPr="00A67C76">
        <w:t xml:space="preserve"> </w:t>
      </w:r>
      <w:r>
        <w:t xml:space="preserve">July 2015 to </w:t>
      </w:r>
      <w:r w:rsidRPr="00A67C76">
        <w:t>30 June 201</w:t>
      </w:r>
      <w:r>
        <w:t>6</w:t>
      </w:r>
      <w:r w:rsidR="003622B7" w:rsidRPr="00A67C76">
        <w:t>:</w:t>
      </w:r>
      <w:r w:rsidR="0020216D">
        <w:t xml:space="preserve"> (1) ‘</w:t>
      </w:r>
      <w:r w:rsidR="003622B7">
        <w:t>W</w:t>
      </w:r>
      <w:r w:rsidR="003622B7" w:rsidRPr="00A67C76">
        <w:t xml:space="preserve">ith </w:t>
      </w:r>
      <w:r w:rsidR="003622B7">
        <w:t xml:space="preserve">all </w:t>
      </w:r>
      <w:r w:rsidR="003622B7" w:rsidRPr="00A67C76">
        <w:t>water</w:t>
      </w:r>
      <w:r w:rsidR="0020216D">
        <w:t>’</w:t>
      </w:r>
      <w:r w:rsidR="003622B7">
        <w:t xml:space="preserve"> (i.e. observed, including all environmental </w:t>
      </w:r>
      <w:r w:rsidR="00D27358">
        <w:t xml:space="preserve">and consumptive </w:t>
      </w:r>
      <w:r w:rsidR="003622B7">
        <w:t>water)</w:t>
      </w:r>
      <w:r w:rsidR="003622B7" w:rsidRPr="00A67C76">
        <w:t xml:space="preserve">; </w:t>
      </w:r>
      <w:r w:rsidR="0020216D">
        <w:t xml:space="preserve">(2) </w:t>
      </w:r>
      <w:r w:rsidR="003622B7">
        <w:t>W</w:t>
      </w:r>
      <w:r w:rsidR="003622B7" w:rsidRPr="00A67C76">
        <w:t>ith</w:t>
      </w:r>
      <w:r w:rsidR="003622B7">
        <w:t>out C</w:t>
      </w:r>
      <w:r w:rsidR="003622B7" w:rsidRPr="00A67C76">
        <w:t xml:space="preserve">ommonwealth environmental </w:t>
      </w:r>
      <w:r w:rsidRPr="00A67C76">
        <w:t>water</w:t>
      </w:r>
      <w:r>
        <w:t xml:space="preserve"> (</w:t>
      </w:r>
      <w:r w:rsidR="0020216D">
        <w:t>‘</w:t>
      </w:r>
      <w:r>
        <w:t>No CEW</w:t>
      </w:r>
      <w:r w:rsidR="0020216D">
        <w:t>’</w:t>
      </w:r>
      <w:r>
        <w:t>);</w:t>
      </w:r>
      <w:r w:rsidRPr="00A67C76">
        <w:t xml:space="preserve"> </w:t>
      </w:r>
      <w:r>
        <w:t>and</w:t>
      </w:r>
      <w:r w:rsidR="0020216D">
        <w:t xml:space="preserve"> (3) </w:t>
      </w:r>
      <w:r w:rsidR="003622B7">
        <w:t>W</w:t>
      </w:r>
      <w:r w:rsidR="003622B7" w:rsidRPr="00A67C76">
        <w:t xml:space="preserve">ithout </w:t>
      </w:r>
      <w:r w:rsidR="003622B7">
        <w:t>any</w:t>
      </w:r>
      <w:r w:rsidR="003622B7" w:rsidRPr="00A67C76">
        <w:t xml:space="preserve"> environmental </w:t>
      </w:r>
      <w:r w:rsidRPr="00A67C76">
        <w:t>water</w:t>
      </w:r>
      <w:r>
        <w:t xml:space="preserve"> (</w:t>
      </w:r>
      <w:r w:rsidR="0020216D">
        <w:t>‘</w:t>
      </w:r>
      <w:r>
        <w:t>No eWater</w:t>
      </w:r>
      <w:r w:rsidR="0020216D">
        <w:t>’</w:t>
      </w:r>
      <w:r>
        <w:t>)</w:t>
      </w:r>
      <w:r w:rsidR="003622B7">
        <w:t>.</w:t>
      </w:r>
    </w:p>
    <w:p w14:paraId="6E47A634" w14:textId="77777777" w:rsidR="00990451" w:rsidRPr="00031925" w:rsidRDefault="00990451" w:rsidP="00990451">
      <w:pPr>
        <w:pStyle w:val="Heading4"/>
        <w:numPr>
          <w:ilvl w:val="0"/>
          <w:numId w:val="0"/>
        </w:numPr>
      </w:pPr>
      <w:r w:rsidRPr="00031925">
        <w:t>Salinity</w:t>
      </w:r>
    </w:p>
    <w:p w14:paraId="435C96CC" w14:textId="61919509" w:rsidR="00381288" w:rsidRDefault="00CE7516" w:rsidP="00381288">
      <w:r w:rsidRPr="003F53C1">
        <w:t>The modelling sugg</w:t>
      </w:r>
      <w:r>
        <w:t>ests that environmental water</w:t>
      </w:r>
      <w:r w:rsidRPr="003F53C1">
        <w:t xml:space="preserve"> had </w:t>
      </w:r>
      <w:r>
        <w:t>a minor</w:t>
      </w:r>
      <w:r w:rsidRPr="003F53C1">
        <w:t xml:space="preserve"> effect on salinity levels </w:t>
      </w:r>
      <w:r>
        <w:t>in</w:t>
      </w:r>
      <w:r w:rsidRPr="003F53C1">
        <w:t xml:space="preserve"> the </w:t>
      </w:r>
      <w:r w:rsidRPr="00102896">
        <w:t>Murray River Channel</w:t>
      </w:r>
      <w:r>
        <w:t xml:space="preserve"> (i.e. Wellington) in 2015/16 </w:t>
      </w:r>
      <w:r w:rsidR="00102896">
        <w:t>(</w:t>
      </w:r>
      <w:r w:rsidR="00394AA8">
        <w:rPr>
          <w:highlight w:val="yellow"/>
        </w:rPr>
        <w:fldChar w:fldCharType="begin"/>
      </w:r>
      <w:r w:rsidR="00423927">
        <w:instrText xml:space="preserve"> REF _Ref433030827 \h </w:instrText>
      </w:r>
      <w:r w:rsidR="00394AA8">
        <w:rPr>
          <w:highlight w:val="yellow"/>
        </w:rPr>
      </w:r>
      <w:r w:rsidR="00394AA8">
        <w:rPr>
          <w:highlight w:val="yellow"/>
        </w:rPr>
        <w:fldChar w:fldCharType="separate"/>
      </w:r>
      <w:r w:rsidR="004260C4">
        <w:t xml:space="preserve">Table </w:t>
      </w:r>
      <w:r w:rsidR="004260C4">
        <w:rPr>
          <w:noProof/>
        </w:rPr>
        <w:t>2</w:t>
      </w:r>
      <w:r w:rsidR="00394AA8">
        <w:rPr>
          <w:highlight w:val="yellow"/>
        </w:rPr>
        <w:fldChar w:fldCharType="end"/>
      </w:r>
      <w:r w:rsidR="00102896">
        <w:t>)</w:t>
      </w:r>
      <w:r w:rsidR="00102896" w:rsidRPr="003F53C1">
        <w:t xml:space="preserve">. </w:t>
      </w:r>
      <w:r w:rsidR="00381288">
        <w:t xml:space="preserve">This was also the case for </w:t>
      </w:r>
      <w:r w:rsidR="00381288" w:rsidRPr="003F53C1">
        <w:t>Lake Alexandrina, wit</w:t>
      </w:r>
      <w:r w:rsidR="00381288">
        <w:t>h all environmental water reducing median salinities over 2015/</w:t>
      </w:r>
      <w:r w:rsidR="00381288" w:rsidRPr="003F53C1">
        <w:t>1</w:t>
      </w:r>
      <w:r w:rsidR="00381288">
        <w:t>6</w:t>
      </w:r>
      <w:r w:rsidR="00381288" w:rsidRPr="003F53C1">
        <w:t xml:space="preserve"> </w:t>
      </w:r>
      <w:r w:rsidR="00381288">
        <w:t xml:space="preserve">from 0.50 </w:t>
      </w:r>
      <w:r w:rsidR="00C95D6E">
        <w:t>practical salinity units (</w:t>
      </w:r>
      <w:r w:rsidR="00381288">
        <w:t>PSU</w:t>
      </w:r>
      <w:r w:rsidR="00C95D6E">
        <w:t>)</w:t>
      </w:r>
      <w:r w:rsidR="00C0269F">
        <w:rPr>
          <w:rStyle w:val="FootnoteReference"/>
        </w:rPr>
        <w:footnoteReference w:id="2"/>
      </w:r>
      <w:r w:rsidR="00381288">
        <w:t xml:space="preserve"> to</w:t>
      </w:r>
      <w:r w:rsidR="00381288" w:rsidRPr="003F53C1">
        <w:t xml:space="preserve"> 0.3</w:t>
      </w:r>
      <w:r w:rsidR="00381288">
        <w:t>9</w:t>
      </w:r>
      <w:r w:rsidR="00381288" w:rsidRPr="003F53C1">
        <w:t xml:space="preserve"> </w:t>
      </w:r>
      <w:r w:rsidR="00381288">
        <w:t>PSU</w:t>
      </w:r>
      <w:r w:rsidR="00381288" w:rsidRPr="00A67C76">
        <w:t xml:space="preserve">. </w:t>
      </w:r>
      <w:r w:rsidR="00381288">
        <w:t xml:space="preserve">Salinity within </w:t>
      </w:r>
      <w:r w:rsidR="00381288" w:rsidRPr="00A67C76">
        <w:t xml:space="preserve">the </w:t>
      </w:r>
      <w:r w:rsidR="00381288">
        <w:t xml:space="preserve">Murray Mouth was significantly lower with environmental water, with median salinities of </w:t>
      </w:r>
      <w:r w:rsidR="00C338BF">
        <w:t>27.73 PSU with all water, 35.23 </w:t>
      </w:r>
      <w:r w:rsidR="00381288">
        <w:t xml:space="preserve">PSU without Commonwealth environmental water and 35.33 PSU without any environmental water. </w:t>
      </w:r>
    </w:p>
    <w:p w14:paraId="5211DD82" w14:textId="7142F552" w:rsidR="00381288" w:rsidRDefault="00381288" w:rsidP="00381288">
      <w:r w:rsidRPr="00A67C76">
        <w:lastRenderedPageBreak/>
        <w:t>Based on the modelling outputs</w:t>
      </w:r>
      <w:r>
        <w:t>,</w:t>
      </w:r>
      <w:r w:rsidRPr="00A67C76">
        <w:t xml:space="preserve"> </w:t>
      </w:r>
      <w:r>
        <w:t>environmental water contributed to 117,861 tonnes (47%) and 257,485 tonnes (89%) of the</w:t>
      </w:r>
      <w:r w:rsidRPr="00A67C76">
        <w:t xml:space="preserve"> total mo</w:t>
      </w:r>
      <w:r>
        <w:t xml:space="preserve">delled export of salt from the </w:t>
      </w:r>
      <w:r w:rsidRPr="00622496">
        <w:t>Murray River Channel</w:t>
      </w:r>
      <w:r w:rsidRPr="003F53C1">
        <w:t xml:space="preserve"> </w:t>
      </w:r>
      <w:r>
        <w:t>and</w:t>
      </w:r>
      <w:r w:rsidRPr="00A67C76">
        <w:t xml:space="preserve"> Lower Lakes</w:t>
      </w:r>
      <w:r>
        <w:t>,</w:t>
      </w:r>
      <w:r w:rsidRPr="00A67C76">
        <w:t xml:space="preserve"> </w:t>
      </w:r>
      <w:r>
        <w:t>respectively (</w:t>
      </w:r>
      <w:r>
        <w:fldChar w:fldCharType="begin"/>
      </w:r>
      <w:r>
        <w:instrText xml:space="preserve"> REF _Ref433030800 \h </w:instrText>
      </w:r>
      <w:r>
        <w:fldChar w:fldCharType="separate"/>
      </w:r>
      <w:r w:rsidR="004260C4">
        <w:t xml:space="preserve">Table </w:t>
      </w:r>
      <w:r w:rsidR="004260C4">
        <w:rPr>
          <w:noProof/>
        </w:rPr>
        <w:t>3</w:t>
      </w:r>
      <w:r>
        <w:fldChar w:fldCharType="end"/>
      </w:r>
      <w:r w:rsidR="00C338BF">
        <w:t xml:space="preserve">; </w:t>
      </w:r>
      <w:r w:rsidR="00C338BF">
        <w:fldChar w:fldCharType="begin"/>
      </w:r>
      <w:r w:rsidR="00C338BF">
        <w:instrText xml:space="preserve"> REF _Ref469926813 \h </w:instrText>
      </w:r>
      <w:r w:rsidR="00C338BF">
        <w:fldChar w:fldCharType="separate"/>
      </w:r>
      <w:r w:rsidR="004260C4">
        <w:t xml:space="preserve">Figure </w:t>
      </w:r>
      <w:r w:rsidR="004260C4">
        <w:rPr>
          <w:noProof/>
        </w:rPr>
        <w:t>13</w:t>
      </w:r>
      <w:r w:rsidR="00C338BF">
        <w:fldChar w:fldCharType="end"/>
      </w:r>
      <w:r>
        <w:t>). There was a modelled net import of 1,850,028 tonnes of salt to the Coorong during 2015/16 with all water. Without any environmental water there was a modelled net import of 6,649,380 tonnes of salt to the Coorong and without Commonwealth environmental water there was a modelled net import of 6,441,297 tonnes.</w:t>
      </w:r>
    </w:p>
    <w:p w14:paraId="23B92175" w14:textId="1045481E" w:rsidR="005A4C65" w:rsidRDefault="005A4C65" w:rsidP="005A4C65">
      <w:pPr>
        <w:jc w:val="center"/>
      </w:pPr>
      <w:r>
        <w:rPr>
          <w:noProof/>
          <w:lang w:eastAsia="en-AU"/>
        </w:rPr>
        <w:drawing>
          <wp:inline distT="0" distB="0" distL="0" distR="0" wp14:anchorId="4CEC6CBB" wp14:editId="251426DD">
            <wp:extent cx="3048000" cy="5991225"/>
            <wp:effectExtent l="0" t="0" r="0" b="9525"/>
            <wp:docPr id="16" name="Picture 16" descr="E:\Upload 20161114\Sal_Fl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pload 20161114\Sal_Flux.pn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048000" cy="5991225"/>
                    </a:xfrm>
                    <a:prstGeom prst="rect">
                      <a:avLst/>
                    </a:prstGeom>
                    <a:noFill/>
                    <a:ln>
                      <a:noFill/>
                    </a:ln>
                  </pic:spPr>
                </pic:pic>
              </a:graphicData>
            </a:graphic>
          </wp:inline>
        </w:drawing>
      </w:r>
    </w:p>
    <w:p w14:paraId="3653392A" w14:textId="69BC7015" w:rsidR="005A4C65" w:rsidRPr="005A4C65" w:rsidRDefault="00C338BF" w:rsidP="00C338BF">
      <w:pPr>
        <w:pStyle w:val="Caption"/>
      </w:pPr>
      <w:bookmarkStart w:id="94" w:name="_Ref469926813"/>
      <w:bookmarkStart w:id="95" w:name="_Toc474147037"/>
      <w:r>
        <w:t xml:space="preserve">Figure </w:t>
      </w:r>
      <w:r w:rsidR="002A5644">
        <w:fldChar w:fldCharType="begin"/>
      </w:r>
      <w:r w:rsidR="002A5644">
        <w:instrText xml:space="preserve"> SEQ Figure \* ARABIC </w:instrText>
      </w:r>
      <w:r w:rsidR="002A5644">
        <w:fldChar w:fldCharType="separate"/>
      </w:r>
      <w:r w:rsidR="004260C4">
        <w:rPr>
          <w:noProof/>
        </w:rPr>
        <w:t>13</w:t>
      </w:r>
      <w:r w:rsidR="002A5644">
        <w:rPr>
          <w:noProof/>
        </w:rPr>
        <w:fldChar w:fldCharType="end"/>
      </w:r>
      <w:bookmarkEnd w:id="94"/>
      <w:r w:rsidR="005A4C65" w:rsidRPr="005A4C65">
        <w:t>. Modelled cumulative salt exports (net) with and without environmental water delivery. Scenarios include with all water, without Commonwealth environmental water (No CEW) and without any environmental water (No eWater).</w:t>
      </w:r>
      <w:bookmarkEnd w:id="95"/>
      <w:r w:rsidR="005A4C65" w:rsidRPr="005A4C65">
        <w:t xml:space="preserve">   </w:t>
      </w:r>
    </w:p>
    <w:p w14:paraId="029A1E68" w14:textId="186DB244" w:rsidR="005E65B4" w:rsidRPr="00031925" w:rsidRDefault="005E65B4" w:rsidP="00381288">
      <w:pPr>
        <w:pStyle w:val="Heading4"/>
        <w:numPr>
          <w:ilvl w:val="0"/>
          <w:numId w:val="0"/>
        </w:numPr>
      </w:pPr>
      <w:r w:rsidRPr="00031925">
        <w:lastRenderedPageBreak/>
        <w:t>Dissolved nutrients</w:t>
      </w:r>
    </w:p>
    <w:p w14:paraId="6D8D2703" w14:textId="50B126B6" w:rsidR="00102896" w:rsidRDefault="00121F16" w:rsidP="00102896">
      <w:r>
        <w:t>There were only minor</w:t>
      </w:r>
      <w:r w:rsidRPr="00A67C76">
        <w:t xml:space="preserve"> differences in the modelled dissolved nutrient concentrations </w:t>
      </w:r>
      <w:r>
        <w:t>between scenarios</w:t>
      </w:r>
      <w:r w:rsidR="00102896">
        <w:t xml:space="preserve"> (</w:t>
      </w:r>
      <w:r w:rsidR="00C0033E">
        <w:fldChar w:fldCharType="begin"/>
      </w:r>
      <w:r w:rsidR="00C0033E">
        <w:instrText xml:space="preserve"> REF _Ref433030827 \h  \* MERGEFORMAT </w:instrText>
      </w:r>
      <w:r w:rsidR="00C0033E">
        <w:fldChar w:fldCharType="separate"/>
      </w:r>
      <w:r w:rsidR="004260C4">
        <w:t>Table 2</w:t>
      </w:r>
      <w:r w:rsidR="00C0033E">
        <w:fldChar w:fldCharType="end"/>
      </w:r>
      <w:r w:rsidR="00423927" w:rsidRPr="00423927">
        <w:t>;</w:t>
      </w:r>
      <w:r w:rsidR="00102896" w:rsidRPr="00423927">
        <w:t xml:space="preserve"> Appendix </w:t>
      </w:r>
      <w:r w:rsidR="003B170A">
        <w:t>F</w:t>
      </w:r>
      <w:r w:rsidR="00ED7AE8">
        <w:t>).</w:t>
      </w:r>
      <w:r w:rsidR="008B7790" w:rsidRPr="008B7790">
        <w:t xml:space="preserve"> </w:t>
      </w:r>
      <w:r w:rsidR="008B7790" w:rsidRPr="00423927">
        <w:t>The</w:t>
      </w:r>
      <w:r w:rsidR="008B7790">
        <w:t xml:space="preserve"> most apparent differences were higher silica concentrations wit</w:t>
      </w:r>
      <w:r w:rsidR="00ED7AE8">
        <w:t>h</w:t>
      </w:r>
      <w:r w:rsidR="008B7790">
        <w:t xml:space="preserve"> environmental </w:t>
      </w:r>
      <w:r w:rsidR="00ED7AE8">
        <w:t xml:space="preserve">water </w:t>
      </w:r>
      <w:r w:rsidR="008B7790">
        <w:t>within the Lower Lakes.</w:t>
      </w:r>
    </w:p>
    <w:p w14:paraId="5B1E96E0" w14:textId="0DF70B5B" w:rsidR="00102896" w:rsidRDefault="00121F16" w:rsidP="00102896">
      <w:r>
        <w:t xml:space="preserve">Since there were only small differences in concentrations of dissolved nutrients, </w:t>
      </w:r>
      <w:r w:rsidRPr="00A67C76">
        <w:t>differences in modelled exports between the scenarios were largely a result of differences in discharge</w:t>
      </w:r>
      <w:r>
        <w:t xml:space="preserve"> </w:t>
      </w:r>
      <w:r w:rsidR="00102896">
        <w:t>(</w:t>
      </w:r>
      <w:r w:rsidR="00394AA8">
        <w:rPr>
          <w:highlight w:val="yellow"/>
        </w:rPr>
        <w:fldChar w:fldCharType="begin"/>
      </w:r>
      <w:r w:rsidR="00423927">
        <w:instrText xml:space="preserve"> REF _Ref433030800 \h </w:instrText>
      </w:r>
      <w:r w:rsidR="00394AA8">
        <w:rPr>
          <w:highlight w:val="yellow"/>
        </w:rPr>
      </w:r>
      <w:r w:rsidR="00394AA8">
        <w:rPr>
          <w:highlight w:val="yellow"/>
        </w:rPr>
        <w:fldChar w:fldCharType="separate"/>
      </w:r>
      <w:r w:rsidR="004260C4">
        <w:t xml:space="preserve">Table </w:t>
      </w:r>
      <w:r w:rsidR="004260C4">
        <w:rPr>
          <w:noProof/>
        </w:rPr>
        <w:t>3</w:t>
      </w:r>
      <w:r w:rsidR="00394AA8">
        <w:rPr>
          <w:highlight w:val="yellow"/>
        </w:rPr>
        <w:fldChar w:fldCharType="end"/>
      </w:r>
      <w:r w:rsidR="00102896">
        <w:t>)</w:t>
      </w:r>
      <w:r w:rsidR="00102896" w:rsidRPr="00A67C76">
        <w:t xml:space="preserve">. </w:t>
      </w:r>
      <w:r w:rsidR="00AB4693">
        <w:t xml:space="preserve">This may have been associated with a combination of three factors. Firstly, the wetting of ephemeral habitats associated with higher discharges can mobilise additional nutrients from soils and organic material. Secondly, increased flow velocities associated with higher discharges can resuspend </w:t>
      </w:r>
      <w:r w:rsidR="00CC3253">
        <w:t xml:space="preserve">nutrients (e.g. </w:t>
      </w:r>
      <w:r w:rsidR="00AB4693">
        <w:t>silica</w:t>
      </w:r>
      <w:r w:rsidR="00CC3253">
        <w:t>)</w:t>
      </w:r>
      <w:r w:rsidR="00AB4693">
        <w:t xml:space="preserve"> deposited in river sediments. Thirdly, larger volumes of water passing downstream associated with higher discharges (total export is a function of the concentration and volume). </w:t>
      </w:r>
      <w:r w:rsidR="008B7790">
        <w:t xml:space="preserve">Environmental water increased exports of all dissolved nutrients from the </w:t>
      </w:r>
      <w:r w:rsidR="008B7790" w:rsidRPr="00622496">
        <w:t>Murray River Channel</w:t>
      </w:r>
      <w:r w:rsidR="008B7790">
        <w:t xml:space="preserve"> and Lower Lakes</w:t>
      </w:r>
      <w:r w:rsidR="00ED7AE8">
        <w:t>, and this was also the case in the</w:t>
      </w:r>
      <w:r w:rsidR="008B7790">
        <w:t xml:space="preserve"> Murray Mouth for ammonium. For phosphate and silica, there was net export from the Murray Mouth with environmental water but a net import to the Coorong without environmental water. The most apparent differences in exports associated with environmental water were for silica, with Commonwealth</w:t>
      </w:r>
      <w:r w:rsidR="00C67DB0">
        <w:t xml:space="preserve"> environmental water contributing</w:t>
      </w:r>
      <w:r w:rsidR="008B7790">
        <w:t xml:space="preserve"> to 41</w:t>
      </w:r>
      <w:r w:rsidR="00ED7AE8">
        <w:t>% and</w:t>
      </w:r>
      <w:r w:rsidR="008B7790">
        <w:t xml:space="preserve"> 95% of total silica exports from the </w:t>
      </w:r>
      <w:r w:rsidR="008B7790" w:rsidRPr="00622496">
        <w:t>Murray River Channel</w:t>
      </w:r>
      <w:r w:rsidR="008B7790">
        <w:t xml:space="preserve"> and Lower Lakes, respectively</w:t>
      </w:r>
      <w:r w:rsidR="008B7790" w:rsidRPr="003B25CF">
        <w:rPr>
          <w:szCs w:val="22"/>
        </w:rPr>
        <w:t xml:space="preserve">. Silica is a particularly important nutrient </w:t>
      </w:r>
      <w:r w:rsidR="008B7790">
        <w:rPr>
          <w:szCs w:val="22"/>
        </w:rPr>
        <w:t>for</w:t>
      </w:r>
      <w:r w:rsidR="008B7790" w:rsidRPr="003B25CF">
        <w:rPr>
          <w:szCs w:val="22"/>
        </w:rPr>
        <w:t xml:space="preserve"> support</w:t>
      </w:r>
      <w:r w:rsidR="008B7790">
        <w:rPr>
          <w:szCs w:val="22"/>
        </w:rPr>
        <w:t>ing</w:t>
      </w:r>
      <w:r w:rsidR="008B7790" w:rsidRPr="003B25CF">
        <w:rPr>
          <w:szCs w:val="22"/>
        </w:rPr>
        <w:t xml:space="preserve"> the growth of diatoms, a phytoplankton group that is generally considered to be of high nutritional quality in coastal and riverine systems. As such, the increased export of silica </w:t>
      </w:r>
      <w:r w:rsidR="008B7790">
        <w:rPr>
          <w:szCs w:val="22"/>
        </w:rPr>
        <w:t xml:space="preserve">associated with </w:t>
      </w:r>
      <w:r w:rsidR="00AB4693">
        <w:rPr>
          <w:szCs w:val="22"/>
        </w:rPr>
        <w:t>environmental water may have</w:t>
      </w:r>
      <w:r w:rsidR="00AB4693" w:rsidRPr="003B25CF">
        <w:rPr>
          <w:szCs w:val="22"/>
        </w:rPr>
        <w:t xml:space="preserve"> </w:t>
      </w:r>
      <w:r w:rsidR="00AB4693">
        <w:rPr>
          <w:szCs w:val="22"/>
        </w:rPr>
        <w:t xml:space="preserve">supported increased secondary productivity along the Murray River Channel, Lower Lakes and </w:t>
      </w:r>
      <w:r w:rsidR="00AB4693" w:rsidRPr="003B25CF">
        <w:rPr>
          <w:szCs w:val="22"/>
        </w:rPr>
        <w:t>Coorong and near</w:t>
      </w:r>
      <w:r w:rsidR="00AB4693">
        <w:rPr>
          <w:szCs w:val="22"/>
        </w:rPr>
        <w:t>-</w:t>
      </w:r>
      <w:r w:rsidR="00AB4693" w:rsidRPr="003B25CF">
        <w:rPr>
          <w:szCs w:val="22"/>
        </w:rPr>
        <w:t>shore environment.</w:t>
      </w:r>
    </w:p>
    <w:p w14:paraId="3F8EF8CD" w14:textId="77777777" w:rsidR="005E65B4" w:rsidRPr="00031925" w:rsidRDefault="005E65B4" w:rsidP="00AF5A5A">
      <w:pPr>
        <w:pStyle w:val="Heading4"/>
        <w:numPr>
          <w:ilvl w:val="0"/>
          <w:numId w:val="0"/>
        </w:numPr>
      </w:pPr>
      <w:r w:rsidRPr="00031925">
        <w:t>Particulate organic nutrients</w:t>
      </w:r>
    </w:p>
    <w:p w14:paraId="6AEB99C0" w14:textId="59992C7A" w:rsidR="00102896" w:rsidRPr="00A67C76" w:rsidRDefault="008B7790" w:rsidP="009E1B52">
      <w:r w:rsidRPr="00A67C76">
        <w:t xml:space="preserve">There were </w:t>
      </w:r>
      <w:r>
        <w:t>no apparent</w:t>
      </w:r>
      <w:r w:rsidRPr="00A67C76">
        <w:t xml:space="preserve"> differences in the modelled </w:t>
      </w:r>
      <w:r>
        <w:t xml:space="preserve">particulate </w:t>
      </w:r>
      <w:r w:rsidRPr="00A67C76">
        <w:t xml:space="preserve">nutrient concentrations with and without </w:t>
      </w:r>
      <w:r>
        <w:t>environmental water</w:t>
      </w:r>
      <w:r w:rsidR="00102896" w:rsidRPr="00423927">
        <w:t xml:space="preserve"> (</w:t>
      </w:r>
      <w:r w:rsidR="00C0033E">
        <w:fldChar w:fldCharType="begin"/>
      </w:r>
      <w:r w:rsidR="00C0033E">
        <w:instrText xml:space="preserve"> REF _Ref433030827 \h  \* MERGEFORMAT </w:instrText>
      </w:r>
      <w:r w:rsidR="00C0033E">
        <w:fldChar w:fldCharType="separate"/>
      </w:r>
      <w:r w:rsidR="004260C4">
        <w:t>Table 2</w:t>
      </w:r>
      <w:r w:rsidR="00C0033E">
        <w:fldChar w:fldCharType="end"/>
      </w:r>
      <w:r w:rsidR="00102896" w:rsidRPr="00423927">
        <w:t xml:space="preserve">). </w:t>
      </w:r>
      <w:r w:rsidR="00C67DB0">
        <w:t>As such</w:t>
      </w:r>
      <w:r>
        <w:t xml:space="preserve">, </w:t>
      </w:r>
      <w:r w:rsidRPr="00A67C76">
        <w:t>differences in modelled exports between the scenarios were largely a result of differences in discharge</w:t>
      </w:r>
      <w:r>
        <w:t xml:space="preserve"> (</w:t>
      </w:r>
      <w:r>
        <w:fldChar w:fldCharType="begin"/>
      </w:r>
      <w:r>
        <w:instrText xml:space="preserve"> REF _Ref433030800 \h </w:instrText>
      </w:r>
      <w:r>
        <w:fldChar w:fldCharType="separate"/>
      </w:r>
      <w:r w:rsidR="004260C4">
        <w:t xml:space="preserve">Table </w:t>
      </w:r>
      <w:r w:rsidR="004260C4">
        <w:rPr>
          <w:noProof/>
        </w:rPr>
        <w:t>3</w:t>
      </w:r>
      <w:r>
        <w:fldChar w:fldCharType="end"/>
      </w:r>
      <w:r>
        <w:t>)</w:t>
      </w:r>
      <w:r w:rsidR="00C67DB0">
        <w:t>, with environmental water increasing exports</w:t>
      </w:r>
      <w:r>
        <w:t xml:space="preserve">. </w:t>
      </w:r>
      <w:r w:rsidR="00C67DB0">
        <w:t>This modelling suggests that during 2015/16,</w:t>
      </w:r>
      <w:r w:rsidRPr="00A67C76">
        <w:t xml:space="preserve"> </w:t>
      </w:r>
      <w:r>
        <w:t>Commonwealth environmental water</w:t>
      </w:r>
      <w:r w:rsidRPr="00A67C76">
        <w:t xml:space="preserve"> </w:t>
      </w:r>
      <w:r>
        <w:t>contributed to 46</w:t>
      </w:r>
      <w:r w:rsidRPr="00A67C76">
        <w:t>%</w:t>
      </w:r>
      <w:r w:rsidR="009A68A7">
        <w:t xml:space="preserve"> and</w:t>
      </w:r>
      <w:r>
        <w:t xml:space="preserve"> 90% of</w:t>
      </w:r>
      <w:r w:rsidRPr="00A67C76">
        <w:t xml:space="preserve"> </w:t>
      </w:r>
      <w:r>
        <w:t xml:space="preserve">the total exports </w:t>
      </w:r>
      <w:r w:rsidRPr="00A67C76">
        <w:t xml:space="preserve">of particulate </w:t>
      </w:r>
      <w:r>
        <w:t>organic nitrogen</w:t>
      </w:r>
      <w:r w:rsidRPr="00A67C76">
        <w:t xml:space="preserve"> from the </w:t>
      </w:r>
      <w:r w:rsidRPr="00622496">
        <w:t xml:space="preserve">Murray River </w:t>
      </w:r>
      <w:r w:rsidRPr="00622496">
        <w:lastRenderedPageBreak/>
        <w:t>Channel</w:t>
      </w:r>
      <w:r>
        <w:t xml:space="preserve"> and </w:t>
      </w:r>
      <w:r w:rsidRPr="00A67C76">
        <w:t>Lower Lakes</w:t>
      </w:r>
      <w:r>
        <w:t xml:space="preserve">, </w:t>
      </w:r>
      <w:r w:rsidRPr="00A67C76">
        <w:t>respectively</w:t>
      </w:r>
      <w:r>
        <w:t>. With all environmental water</w:t>
      </w:r>
      <w:r w:rsidR="009A68A7">
        <w:t>,</w:t>
      </w:r>
      <w:r>
        <w:t xml:space="preserve"> there was a net export of 538 tonnes of particulate organic nitrogen from the Murray Mouth, but without Commonwealth environmental water there</w:t>
      </w:r>
      <w:r w:rsidR="009A68A7">
        <w:t xml:space="preserve"> was a net import of 224 tonnes</w:t>
      </w:r>
      <w:r w:rsidRPr="00A67C76">
        <w:t xml:space="preserve">. </w:t>
      </w:r>
      <w:r w:rsidR="00C67DB0">
        <w:t>Similar observations were found f</w:t>
      </w:r>
      <w:r>
        <w:t>or particulate organic phosphorus,</w:t>
      </w:r>
      <w:r w:rsidR="00C67DB0">
        <w:t xml:space="preserve"> although total exports were lower (</w:t>
      </w:r>
      <w:r w:rsidR="00C67DB0">
        <w:fldChar w:fldCharType="begin"/>
      </w:r>
      <w:r w:rsidR="00C67DB0">
        <w:instrText xml:space="preserve"> REF _Ref433030800 \h </w:instrText>
      </w:r>
      <w:r w:rsidR="00C67DB0">
        <w:fldChar w:fldCharType="separate"/>
      </w:r>
      <w:r w:rsidR="004260C4">
        <w:t xml:space="preserve">Table </w:t>
      </w:r>
      <w:r w:rsidR="004260C4">
        <w:rPr>
          <w:noProof/>
        </w:rPr>
        <w:t>3</w:t>
      </w:r>
      <w:r w:rsidR="00C67DB0">
        <w:fldChar w:fldCharType="end"/>
      </w:r>
      <w:r w:rsidR="00C67DB0">
        <w:t>) owing to lower concentrations.</w:t>
      </w:r>
      <w:r>
        <w:t xml:space="preserve"> </w:t>
      </w:r>
      <w:r w:rsidR="00AB4693" w:rsidRPr="003B25CF">
        <w:rPr>
          <w:szCs w:val="22"/>
        </w:rPr>
        <w:t xml:space="preserve">The increased export of organic nutrients associated with environmental water </w:t>
      </w:r>
      <w:r w:rsidR="00AB4693">
        <w:rPr>
          <w:szCs w:val="22"/>
        </w:rPr>
        <w:t>may have</w:t>
      </w:r>
      <w:r w:rsidR="00AB4693" w:rsidRPr="003B25CF">
        <w:rPr>
          <w:szCs w:val="22"/>
        </w:rPr>
        <w:t xml:space="preserve"> provide</w:t>
      </w:r>
      <w:r w:rsidR="00AB4693">
        <w:rPr>
          <w:szCs w:val="22"/>
        </w:rPr>
        <w:t>d</w:t>
      </w:r>
      <w:r w:rsidR="00AB4693" w:rsidRPr="003B25CF">
        <w:rPr>
          <w:szCs w:val="22"/>
        </w:rPr>
        <w:t xml:space="preserve"> benefits for the Lower Lakes, Coorong and near</w:t>
      </w:r>
      <w:r w:rsidR="00AB4693">
        <w:rPr>
          <w:szCs w:val="22"/>
        </w:rPr>
        <w:t>-</w:t>
      </w:r>
      <w:r w:rsidR="00AB4693" w:rsidRPr="003B25CF">
        <w:rPr>
          <w:szCs w:val="22"/>
        </w:rPr>
        <w:t>shore environment</w:t>
      </w:r>
      <w:r w:rsidR="00AB4693">
        <w:rPr>
          <w:szCs w:val="22"/>
        </w:rPr>
        <w:t xml:space="preserve"> by providing energy to support secondary productivity.</w:t>
      </w:r>
    </w:p>
    <w:p w14:paraId="6B764D50" w14:textId="1ACBAF26" w:rsidR="005E65B4" w:rsidRPr="00031925" w:rsidRDefault="005E65B4" w:rsidP="00031925">
      <w:pPr>
        <w:pStyle w:val="Heading4"/>
        <w:numPr>
          <w:ilvl w:val="0"/>
          <w:numId w:val="0"/>
        </w:numPr>
      </w:pPr>
      <w:r w:rsidRPr="00031925">
        <w:t xml:space="preserve">Chlorophyll </w:t>
      </w:r>
      <w:r w:rsidR="008B7790" w:rsidRPr="00031925">
        <w:t>a</w:t>
      </w:r>
    </w:p>
    <w:p w14:paraId="3480EBED" w14:textId="644C1A90" w:rsidR="00AF5A5A" w:rsidRDefault="008B7790" w:rsidP="00990451">
      <w:pPr>
        <w:sectPr w:rsidR="00AF5A5A" w:rsidSect="00775646">
          <w:footnotePr>
            <w:numFmt w:val="lowerLetter"/>
          </w:footnotePr>
          <w:pgSz w:w="11900" w:h="16840" w:code="9"/>
          <w:pgMar w:top="1440" w:right="1440" w:bottom="1440" w:left="1440" w:header="709" w:footer="709" w:gutter="0"/>
          <w:cols w:space="708"/>
          <w:docGrid w:linePitch="360"/>
        </w:sectPr>
      </w:pPr>
      <w:r>
        <w:t>There were no apparent</w:t>
      </w:r>
      <w:r w:rsidRPr="00A67C76">
        <w:t xml:space="preserve"> differences in the modelled chlorophyll </w:t>
      </w:r>
      <w:r w:rsidRPr="00A67C76">
        <w:rPr>
          <w:i/>
        </w:rPr>
        <w:t>a</w:t>
      </w:r>
      <w:r w:rsidRPr="00A67C76">
        <w:t xml:space="preserve"> concentrations</w:t>
      </w:r>
      <w:r>
        <w:t xml:space="preserve"> between scenarios</w:t>
      </w:r>
      <w:r w:rsidR="00102896" w:rsidRPr="00423927">
        <w:t xml:space="preserve"> (</w:t>
      </w:r>
      <w:r w:rsidR="00C0033E">
        <w:fldChar w:fldCharType="begin"/>
      </w:r>
      <w:r w:rsidR="00C0033E">
        <w:instrText xml:space="preserve"> REF _Ref433030827 \h  \* MERGEFORMAT </w:instrText>
      </w:r>
      <w:r w:rsidR="00C0033E">
        <w:fldChar w:fldCharType="separate"/>
      </w:r>
      <w:r w:rsidR="004260C4">
        <w:t>Table 2</w:t>
      </w:r>
      <w:r w:rsidR="00C0033E">
        <w:fldChar w:fldCharType="end"/>
      </w:r>
      <w:r w:rsidR="00102896" w:rsidRPr="00423927">
        <w:t xml:space="preserve">). </w:t>
      </w:r>
      <w:r w:rsidR="00121F16" w:rsidRPr="00423927">
        <w:t xml:space="preserve">As a result, differences in modelled exports reflected that of </w:t>
      </w:r>
      <w:r w:rsidR="00121F16">
        <w:t>discharge, with environmental water</w:t>
      </w:r>
      <w:r w:rsidR="00121F16" w:rsidRPr="00423927">
        <w:t xml:space="preserve"> resulting in additional exports</w:t>
      </w:r>
      <w:r w:rsidR="00102896" w:rsidRPr="00423927">
        <w:t xml:space="preserve"> (</w:t>
      </w:r>
      <w:r w:rsidR="00C0033E">
        <w:fldChar w:fldCharType="begin"/>
      </w:r>
      <w:r w:rsidR="00C0033E">
        <w:instrText xml:space="preserve"> REF _Ref433030800 \h  \* MERGEFORMAT </w:instrText>
      </w:r>
      <w:r w:rsidR="00C0033E">
        <w:fldChar w:fldCharType="separate"/>
      </w:r>
      <w:r w:rsidR="004260C4">
        <w:t>Table 3</w:t>
      </w:r>
      <w:r w:rsidR="00C0033E">
        <w:fldChar w:fldCharType="end"/>
      </w:r>
      <w:r w:rsidR="00102896" w:rsidRPr="00423927">
        <w:t xml:space="preserve">). </w:t>
      </w:r>
      <w:r w:rsidRPr="00423927">
        <w:t xml:space="preserve">Overall, </w:t>
      </w:r>
      <w:r>
        <w:t>Commonwealth environmental water contributed to 44</w:t>
      </w:r>
      <w:r w:rsidRPr="00423927">
        <w:t xml:space="preserve">%, </w:t>
      </w:r>
      <w:r>
        <w:t>9</w:t>
      </w:r>
      <w:r w:rsidRPr="00423927">
        <w:t xml:space="preserve">2% and </w:t>
      </w:r>
      <w:r>
        <w:t>93</w:t>
      </w:r>
      <w:r w:rsidRPr="00423927">
        <w:t xml:space="preserve">% of the total exports of phytoplankton biomass from the Murray River Channel, Lower Lakes and Murray Mouth, respectively. </w:t>
      </w:r>
      <w:r w:rsidR="00AB4693" w:rsidRPr="003B25CF">
        <w:rPr>
          <w:szCs w:val="22"/>
        </w:rPr>
        <w:t xml:space="preserve">The increased export of </w:t>
      </w:r>
      <w:r w:rsidR="00AB4693">
        <w:rPr>
          <w:szCs w:val="22"/>
        </w:rPr>
        <w:t>phytoplankton biomass</w:t>
      </w:r>
      <w:r w:rsidR="00AB4693" w:rsidRPr="003B25CF">
        <w:rPr>
          <w:szCs w:val="22"/>
        </w:rPr>
        <w:t xml:space="preserve"> associated with environmental water </w:t>
      </w:r>
      <w:r w:rsidR="00AB4693">
        <w:rPr>
          <w:szCs w:val="22"/>
        </w:rPr>
        <w:t>may have</w:t>
      </w:r>
      <w:r w:rsidR="00AB4693" w:rsidRPr="003B25CF">
        <w:rPr>
          <w:szCs w:val="22"/>
        </w:rPr>
        <w:t xml:space="preserve"> provide</w:t>
      </w:r>
      <w:r w:rsidR="00AB4693">
        <w:rPr>
          <w:szCs w:val="22"/>
        </w:rPr>
        <w:t>d</w:t>
      </w:r>
      <w:r w:rsidR="00AB4693" w:rsidRPr="003B25CF">
        <w:rPr>
          <w:szCs w:val="22"/>
        </w:rPr>
        <w:t xml:space="preserve"> benefits for the Lower Lakes, Coorong and near</w:t>
      </w:r>
      <w:r w:rsidR="00AB4693">
        <w:rPr>
          <w:szCs w:val="22"/>
        </w:rPr>
        <w:t>-</w:t>
      </w:r>
      <w:r w:rsidR="00AB4693" w:rsidRPr="003B25CF">
        <w:rPr>
          <w:szCs w:val="22"/>
        </w:rPr>
        <w:t>shore environment</w:t>
      </w:r>
      <w:r w:rsidR="00AB4693">
        <w:rPr>
          <w:szCs w:val="22"/>
        </w:rPr>
        <w:t xml:space="preserve"> by providing energy to support secondary </w:t>
      </w:r>
      <w:r w:rsidR="00AB4693" w:rsidRPr="003209C2">
        <w:rPr>
          <w:szCs w:val="22"/>
        </w:rPr>
        <w:t>productivity</w:t>
      </w:r>
      <w:r w:rsidR="00AB4693">
        <w:rPr>
          <w:szCs w:val="22"/>
        </w:rPr>
        <w:t>,</w:t>
      </w:r>
      <w:r w:rsidR="00AB4693" w:rsidRPr="003209C2">
        <w:rPr>
          <w:szCs w:val="22"/>
        </w:rPr>
        <w:t xml:space="preserve"> as phytoplankton are consumed by higher troph</w:t>
      </w:r>
      <w:r w:rsidR="00AB4693">
        <w:rPr>
          <w:szCs w:val="22"/>
        </w:rPr>
        <w:t>ic organisms (e.g. zooplankton)</w:t>
      </w:r>
      <w:r w:rsidR="00AB4693">
        <w:t xml:space="preserve">.  </w:t>
      </w:r>
    </w:p>
    <w:p w14:paraId="50E7B24C" w14:textId="2C7D2196" w:rsidR="00AF5A5A" w:rsidRDefault="00B532B9" w:rsidP="00B46038">
      <w:pPr>
        <w:pStyle w:val="Captions"/>
      </w:pPr>
      <w:bookmarkStart w:id="96" w:name="_Ref433030827"/>
      <w:bookmarkStart w:id="97" w:name="_Toc442086405"/>
      <w:bookmarkStart w:id="98" w:name="_Toc474147020"/>
      <w:r>
        <w:lastRenderedPageBreak/>
        <w:t xml:space="preserve">Table </w:t>
      </w:r>
      <w:r w:rsidR="00394AA8">
        <w:fldChar w:fldCharType="begin"/>
      </w:r>
      <w:r w:rsidR="009D45C9">
        <w:instrText xml:space="preserve"> SEQ Table \* ARABIC </w:instrText>
      </w:r>
      <w:r w:rsidR="00394AA8">
        <w:fldChar w:fldCharType="separate"/>
      </w:r>
      <w:r w:rsidR="004260C4">
        <w:rPr>
          <w:noProof/>
        </w:rPr>
        <w:t>2</w:t>
      </w:r>
      <w:r w:rsidR="00394AA8">
        <w:rPr>
          <w:noProof/>
        </w:rPr>
        <w:fldChar w:fldCharType="end"/>
      </w:r>
      <w:bookmarkEnd w:id="96"/>
      <w:r>
        <w:t xml:space="preserve">. </w:t>
      </w:r>
      <w:r w:rsidR="00102896">
        <w:t xml:space="preserve">Median concentration of </w:t>
      </w:r>
      <w:r w:rsidR="008B7790">
        <w:t xml:space="preserve">salinity, nutrients and chlorophyll </w:t>
      </w:r>
      <w:r w:rsidR="008B7790" w:rsidRPr="0059240F">
        <w:rPr>
          <w:i/>
        </w:rPr>
        <w:t>a</w:t>
      </w:r>
      <w:r w:rsidR="008B7790">
        <w:t xml:space="preserve"> during 2015/16 for </w:t>
      </w:r>
      <w:r w:rsidR="00102896">
        <w:t xml:space="preserve">the modelled scenarios at three selected sites. </w:t>
      </w:r>
      <w:r w:rsidR="00121F16" w:rsidRPr="00121F16">
        <w:t>Scenarios include with all water, without Commonwealth environmental water (No CEW) and without any environmental water (No eWater). BDL represents model outputs that are below the analytical detection level.</w:t>
      </w:r>
      <w:bookmarkEnd w:id="97"/>
      <w:bookmarkEnd w:id="98"/>
    </w:p>
    <w:tbl>
      <w:tblPr>
        <w:tblStyle w:val="TableGrid"/>
        <w:tblW w:w="5000" w:type="pct"/>
        <w:tblLook w:val="04A0" w:firstRow="1" w:lastRow="0" w:firstColumn="1" w:lastColumn="0" w:noHBand="0" w:noVBand="1"/>
      </w:tblPr>
      <w:tblGrid>
        <w:gridCol w:w="1611"/>
        <w:gridCol w:w="1646"/>
        <w:gridCol w:w="1417"/>
        <w:gridCol w:w="1417"/>
        <w:gridCol w:w="1417"/>
        <w:gridCol w:w="1275"/>
        <w:gridCol w:w="1844"/>
        <w:gridCol w:w="1984"/>
        <w:gridCol w:w="1339"/>
      </w:tblGrid>
      <w:tr w:rsidR="008B7790" w:rsidRPr="00FE56D3" w14:paraId="4C714871" w14:textId="77777777" w:rsidTr="00396077">
        <w:trPr>
          <w:trHeight w:val="227"/>
        </w:trPr>
        <w:tc>
          <w:tcPr>
            <w:tcW w:w="577" w:type="pct"/>
            <w:vAlign w:val="center"/>
          </w:tcPr>
          <w:p w14:paraId="059281B0" w14:textId="77777777" w:rsidR="008B7790" w:rsidRPr="00777399" w:rsidRDefault="008B7790" w:rsidP="00677F69">
            <w:pPr>
              <w:spacing w:before="0" w:after="0"/>
              <w:contextualSpacing/>
              <w:rPr>
                <w:b/>
                <w:sz w:val="19"/>
                <w:szCs w:val="19"/>
              </w:rPr>
            </w:pPr>
            <w:r w:rsidRPr="00777399">
              <w:rPr>
                <w:b/>
                <w:sz w:val="19"/>
                <w:szCs w:val="19"/>
              </w:rPr>
              <w:t>Site</w:t>
            </w:r>
          </w:p>
        </w:tc>
        <w:tc>
          <w:tcPr>
            <w:tcW w:w="590" w:type="pct"/>
            <w:vAlign w:val="center"/>
          </w:tcPr>
          <w:p w14:paraId="6085F6DB" w14:textId="77777777" w:rsidR="008B7790" w:rsidRPr="00777399" w:rsidRDefault="008B7790" w:rsidP="00677F69">
            <w:pPr>
              <w:spacing w:before="0" w:after="0"/>
              <w:contextualSpacing/>
              <w:rPr>
                <w:b/>
                <w:sz w:val="19"/>
                <w:szCs w:val="19"/>
              </w:rPr>
            </w:pPr>
            <w:r w:rsidRPr="00777399">
              <w:rPr>
                <w:b/>
                <w:sz w:val="19"/>
                <w:szCs w:val="19"/>
              </w:rPr>
              <w:t>Scenario</w:t>
            </w:r>
          </w:p>
        </w:tc>
        <w:tc>
          <w:tcPr>
            <w:tcW w:w="508" w:type="pct"/>
            <w:vAlign w:val="center"/>
          </w:tcPr>
          <w:p w14:paraId="0E5C1910" w14:textId="77777777" w:rsidR="008B7790" w:rsidRPr="00777399" w:rsidRDefault="008B7790" w:rsidP="00677F69">
            <w:pPr>
              <w:spacing w:before="0" w:after="200"/>
              <w:contextualSpacing/>
              <w:jc w:val="center"/>
              <w:rPr>
                <w:b/>
                <w:sz w:val="19"/>
                <w:szCs w:val="19"/>
              </w:rPr>
            </w:pPr>
            <w:r w:rsidRPr="00777399">
              <w:rPr>
                <w:b/>
                <w:sz w:val="19"/>
                <w:szCs w:val="19"/>
              </w:rPr>
              <w:t>Salinity (PSU)</w:t>
            </w:r>
          </w:p>
        </w:tc>
        <w:tc>
          <w:tcPr>
            <w:tcW w:w="508" w:type="pct"/>
            <w:vAlign w:val="center"/>
          </w:tcPr>
          <w:p w14:paraId="7E3A24B2" w14:textId="77777777" w:rsidR="008B7790" w:rsidRPr="00777399" w:rsidRDefault="008B7790" w:rsidP="00677F69">
            <w:pPr>
              <w:spacing w:before="0" w:after="200"/>
              <w:contextualSpacing/>
              <w:jc w:val="center"/>
              <w:rPr>
                <w:b/>
                <w:sz w:val="19"/>
                <w:szCs w:val="19"/>
              </w:rPr>
            </w:pPr>
            <w:r w:rsidRPr="00777399">
              <w:rPr>
                <w:b/>
                <w:sz w:val="19"/>
                <w:szCs w:val="19"/>
              </w:rPr>
              <w:t>Ammonium (mg/L)</w:t>
            </w:r>
          </w:p>
        </w:tc>
        <w:tc>
          <w:tcPr>
            <w:tcW w:w="508" w:type="pct"/>
            <w:vAlign w:val="center"/>
          </w:tcPr>
          <w:p w14:paraId="179EAF1C" w14:textId="77777777" w:rsidR="008B7790" w:rsidRPr="00777399" w:rsidRDefault="008B7790" w:rsidP="00677F69">
            <w:pPr>
              <w:spacing w:before="0" w:after="200"/>
              <w:contextualSpacing/>
              <w:jc w:val="center"/>
              <w:rPr>
                <w:b/>
                <w:sz w:val="19"/>
                <w:szCs w:val="19"/>
              </w:rPr>
            </w:pPr>
            <w:r w:rsidRPr="00777399">
              <w:rPr>
                <w:b/>
                <w:sz w:val="19"/>
                <w:szCs w:val="19"/>
              </w:rPr>
              <w:t>Phosphate (mg/L)</w:t>
            </w:r>
          </w:p>
        </w:tc>
        <w:tc>
          <w:tcPr>
            <w:tcW w:w="457" w:type="pct"/>
            <w:vAlign w:val="center"/>
          </w:tcPr>
          <w:p w14:paraId="3DB0951F" w14:textId="77777777" w:rsidR="008B7790" w:rsidRPr="00777399" w:rsidRDefault="008B7790" w:rsidP="00677F69">
            <w:pPr>
              <w:spacing w:before="0" w:after="200"/>
              <w:contextualSpacing/>
              <w:jc w:val="center"/>
              <w:rPr>
                <w:b/>
                <w:sz w:val="19"/>
                <w:szCs w:val="19"/>
              </w:rPr>
            </w:pPr>
            <w:r w:rsidRPr="00777399">
              <w:rPr>
                <w:b/>
                <w:sz w:val="19"/>
                <w:szCs w:val="19"/>
              </w:rPr>
              <w:t>Silica (mg/L)</w:t>
            </w:r>
          </w:p>
        </w:tc>
        <w:tc>
          <w:tcPr>
            <w:tcW w:w="661" w:type="pct"/>
            <w:vAlign w:val="center"/>
          </w:tcPr>
          <w:p w14:paraId="3A5598D5" w14:textId="77777777" w:rsidR="008B7790" w:rsidRPr="00777399" w:rsidRDefault="008B7790" w:rsidP="00677F69">
            <w:pPr>
              <w:spacing w:before="0" w:after="200"/>
              <w:contextualSpacing/>
              <w:jc w:val="center"/>
              <w:rPr>
                <w:b/>
                <w:sz w:val="19"/>
                <w:szCs w:val="19"/>
              </w:rPr>
            </w:pPr>
            <w:r w:rsidRPr="00777399">
              <w:rPr>
                <w:b/>
                <w:sz w:val="19"/>
                <w:szCs w:val="19"/>
              </w:rPr>
              <w:t>Particulate organic nitrogen (mg/L)</w:t>
            </w:r>
          </w:p>
        </w:tc>
        <w:tc>
          <w:tcPr>
            <w:tcW w:w="711" w:type="pct"/>
            <w:vAlign w:val="center"/>
          </w:tcPr>
          <w:p w14:paraId="00D503AA" w14:textId="77777777" w:rsidR="008B7790" w:rsidRPr="00777399" w:rsidRDefault="008B7790" w:rsidP="00677F69">
            <w:pPr>
              <w:spacing w:before="0" w:after="200"/>
              <w:contextualSpacing/>
              <w:jc w:val="center"/>
              <w:rPr>
                <w:b/>
                <w:sz w:val="19"/>
                <w:szCs w:val="19"/>
              </w:rPr>
            </w:pPr>
            <w:r w:rsidRPr="00777399">
              <w:rPr>
                <w:b/>
                <w:sz w:val="19"/>
                <w:szCs w:val="19"/>
              </w:rPr>
              <w:t>Particulate organic phosphorus (mg/L)</w:t>
            </w:r>
          </w:p>
        </w:tc>
        <w:tc>
          <w:tcPr>
            <w:tcW w:w="480" w:type="pct"/>
            <w:vAlign w:val="center"/>
          </w:tcPr>
          <w:p w14:paraId="06FA53E6" w14:textId="77777777" w:rsidR="008B7790" w:rsidRPr="00777399" w:rsidRDefault="008B7790" w:rsidP="00677F69">
            <w:pPr>
              <w:spacing w:before="0" w:after="200"/>
              <w:contextualSpacing/>
              <w:jc w:val="center"/>
              <w:rPr>
                <w:b/>
                <w:sz w:val="19"/>
                <w:szCs w:val="19"/>
              </w:rPr>
            </w:pPr>
            <w:r w:rsidRPr="00777399">
              <w:rPr>
                <w:b/>
                <w:sz w:val="19"/>
                <w:szCs w:val="19"/>
              </w:rPr>
              <w:t xml:space="preserve">Chlorophyll </w:t>
            </w:r>
            <w:r w:rsidRPr="00777399">
              <w:rPr>
                <w:b/>
                <w:i/>
                <w:sz w:val="19"/>
                <w:szCs w:val="19"/>
              </w:rPr>
              <w:t xml:space="preserve">a </w:t>
            </w:r>
            <w:r w:rsidRPr="00777399">
              <w:rPr>
                <w:b/>
                <w:sz w:val="19"/>
                <w:szCs w:val="19"/>
              </w:rPr>
              <w:t>(mg/L)</w:t>
            </w:r>
          </w:p>
        </w:tc>
      </w:tr>
      <w:tr w:rsidR="008B7790" w:rsidRPr="00FE56D3" w14:paraId="4F2BAF7C" w14:textId="77777777" w:rsidTr="00396077">
        <w:trPr>
          <w:trHeight w:val="227"/>
        </w:trPr>
        <w:tc>
          <w:tcPr>
            <w:tcW w:w="577" w:type="pct"/>
            <w:vMerge w:val="restart"/>
            <w:vAlign w:val="center"/>
          </w:tcPr>
          <w:p w14:paraId="30F4EAA2" w14:textId="77777777" w:rsidR="008B7790" w:rsidRPr="00FE56D3" w:rsidRDefault="008B7790" w:rsidP="00677F69">
            <w:pPr>
              <w:spacing w:before="0" w:after="0"/>
              <w:contextualSpacing/>
              <w:rPr>
                <w:sz w:val="19"/>
                <w:szCs w:val="19"/>
              </w:rPr>
            </w:pPr>
            <w:r w:rsidRPr="00FE56D3">
              <w:rPr>
                <w:sz w:val="19"/>
                <w:szCs w:val="19"/>
              </w:rPr>
              <w:t>Wellington</w:t>
            </w:r>
          </w:p>
        </w:tc>
        <w:tc>
          <w:tcPr>
            <w:tcW w:w="590" w:type="pct"/>
            <w:vAlign w:val="center"/>
          </w:tcPr>
          <w:p w14:paraId="3EDA2743" w14:textId="77777777" w:rsidR="008B7790" w:rsidRPr="00526657" w:rsidRDefault="008B7790" w:rsidP="00677F69">
            <w:pPr>
              <w:spacing w:before="0" w:after="0"/>
              <w:contextualSpacing/>
              <w:rPr>
                <w:sz w:val="19"/>
                <w:szCs w:val="19"/>
              </w:rPr>
            </w:pPr>
            <w:r w:rsidRPr="00526657">
              <w:rPr>
                <w:sz w:val="19"/>
                <w:szCs w:val="19"/>
              </w:rPr>
              <w:t xml:space="preserve">With all </w:t>
            </w:r>
            <w:r>
              <w:rPr>
                <w:sz w:val="19"/>
                <w:szCs w:val="19"/>
              </w:rPr>
              <w:t>w</w:t>
            </w:r>
            <w:r w:rsidRPr="00526657">
              <w:rPr>
                <w:sz w:val="19"/>
                <w:szCs w:val="19"/>
              </w:rPr>
              <w:t>ater</w:t>
            </w:r>
          </w:p>
        </w:tc>
        <w:tc>
          <w:tcPr>
            <w:tcW w:w="508" w:type="pct"/>
            <w:vAlign w:val="bottom"/>
          </w:tcPr>
          <w:p w14:paraId="52210A15" w14:textId="2B2F6704" w:rsidR="008B7790" w:rsidRPr="008B7790" w:rsidRDefault="008B7790" w:rsidP="00677F69">
            <w:pPr>
              <w:spacing w:before="0" w:after="0"/>
              <w:contextualSpacing/>
              <w:jc w:val="center"/>
              <w:rPr>
                <w:rFonts w:cs="Calibri"/>
                <w:kern w:val="0"/>
                <w:sz w:val="18"/>
                <w:szCs w:val="18"/>
              </w:rPr>
            </w:pPr>
            <w:r w:rsidRPr="008B7790">
              <w:rPr>
                <w:sz w:val="18"/>
                <w:szCs w:val="18"/>
              </w:rPr>
              <w:t>0.16</w:t>
            </w:r>
          </w:p>
        </w:tc>
        <w:tc>
          <w:tcPr>
            <w:tcW w:w="508" w:type="pct"/>
            <w:vAlign w:val="bottom"/>
          </w:tcPr>
          <w:p w14:paraId="588CB22D" w14:textId="548FC737" w:rsidR="008B7790" w:rsidRPr="008B7790" w:rsidRDefault="008B7790" w:rsidP="00677F69">
            <w:pPr>
              <w:spacing w:before="0" w:after="0"/>
              <w:contextualSpacing/>
              <w:jc w:val="center"/>
              <w:rPr>
                <w:rFonts w:cs="Calibri"/>
                <w:kern w:val="0"/>
                <w:sz w:val="18"/>
                <w:szCs w:val="18"/>
              </w:rPr>
            </w:pPr>
            <w:r w:rsidRPr="008B7790">
              <w:rPr>
                <w:sz w:val="18"/>
                <w:szCs w:val="18"/>
              </w:rPr>
              <w:t>0.017</w:t>
            </w:r>
          </w:p>
        </w:tc>
        <w:tc>
          <w:tcPr>
            <w:tcW w:w="508" w:type="pct"/>
            <w:vAlign w:val="bottom"/>
          </w:tcPr>
          <w:p w14:paraId="289C4D6D" w14:textId="77777777" w:rsidR="008B7790" w:rsidRPr="008B7790" w:rsidRDefault="008B7790" w:rsidP="00677F69">
            <w:pPr>
              <w:spacing w:before="0" w:after="0"/>
              <w:contextualSpacing/>
              <w:jc w:val="center"/>
              <w:rPr>
                <w:rFonts w:cs="Calibri"/>
                <w:kern w:val="0"/>
                <w:sz w:val="18"/>
                <w:szCs w:val="18"/>
              </w:rPr>
            </w:pPr>
            <w:r w:rsidRPr="008B7790">
              <w:rPr>
                <w:rFonts w:cs="Calibri"/>
                <w:sz w:val="18"/>
                <w:szCs w:val="18"/>
              </w:rPr>
              <w:t>BDL</w:t>
            </w:r>
          </w:p>
        </w:tc>
        <w:tc>
          <w:tcPr>
            <w:tcW w:w="457" w:type="pct"/>
            <w:vAlign w:val="bottom"/>
          </w:tcPr>
          <w:p w14:paraId="0F5329B7" w14:textId="2ADA5CC0" w:rsidR="008B7790" w:rsidRPr="008B7790" w:rsidRDefault="008B7790" w:rsidP="00677F69">
            <w:pPr>
              <w:spacing w:before="0" w:after="0"/>
              <w:contextualSpacing/>
              <w:jc w:val="center"/>
              <w:rPr>
                <w:rFonts w:cs="Calibri"/>
                <w:kern w:val="0"/>
                <w:sz w:val="18"/>
                <w:szCs w:val="18"/>
              </w:rPr>
            </w:pPr>
            <w:r w:rsidRPr="008B7790">
              <w:rPr>
                <w:sz w:val="18"/>
                <w:szCs w:val="18"/>
              </w:rPr>
              <w:t>1.02</w:t>
            </w:r>
          </w:p>
        </w:tc>
        <w:tc>
          <w:tcPr>
            <w:tcW w:w="661" w:type="pct"/>
            <w:vAlign w:val="bottom"/>
          </w:tcPr>
          <w:p w14:paraId="0474002A" w14:textId="16250E70" w:rsidR="008B7790" w:rsidRPr="008B7790" w:rsidRDefault="008B7790" w:rsidP="00677F69">
            <w:pPr>
              <w:spacing w:before="0" w:after="0"/>
              <w:contextualSpacing/>
              <w:jc w:val="center"/>
              <w:rPr>
                <w:rFonts w:cs="Calibri"/>
                <w:color w:val="auto"/>
                <w:kern w:val="0"/>
                <w:sz w:val="18"/>
                <w:szCs w:val="18"/>
              </w:rPr>
            </w:pPr>
            <w:r w:rsidRPr="008B7790">
              <w:rPr>
                <w:sz w:val="18"/>
                <w:szCs w:val="18"/>
              </w:rPr>
              <w:t>1.17</w:t>
            </w:r>
          </w:p>
        </w:tc>
        <w:tc>
          <w:tcPr>
            <w:tcW w:w="711" w:type="pct"/>
            <w:vAlign w:val="bottom"/>
          </w:tcPr>
          <w:p w14:paraId="713704F3" w14:textId="26A7AC9D" w:rsidR="008B7790" w:rsidRPr="008B7790" w:rsidRDefault="008B7790" w:rsidP="00677F69">
            <w:pPr>
              <w:spacing w:before="0" w:after="0"/>
              <w:contextualSpacing/>
              <w:jc w:val="center"/>
              <w:rPr>
                <w:rFonts w:cs="Calibri"/>
                <w:color w:val="auto"/>
                <w:kern w:val="0"/>
                <w:sz w:val="18"/>
                <w:szCs w:val="18"/>
              </w:rPr>
            </w:pPr>
            <w:r w:rsidRPr="008B7790">
              <w:rPr>
                <w:sz w:val="18"/>
                <w:szCs w:val="18"/>
              </w:rPr>
              <w:t>0.11</w:t>
            </w:r>
          </w:p>
        </w:tc>
        <w:tc>
          <w:tcPr>
            <w:tcW w:w="480" w:type="pct"/>
            <w:vAlign w:val="bottom"/>
          </w:tcPr>
          <w:p w14:paraId="66C5D93C" w14:textId="0995D948" w:rsidR="008B7790" w:rsidRPr="008B7790" w:rsidRDefault="008B7790" w:rsidP="00677F69">
            <w:pPr>
              <w:spacing w:before="0" w:after="0"/>
              <w:contextualSpacing/>
              <w:jc w:val="center"/>
              <w:rPr>
                <w:rFonts w:cs="Calibri"/>
                <w:color w:val="auto"/>
                <w:kern w:val="0"/>
                <w:sz w:val="18"/>
                <w:szCs w:val="18"/>
              </w:rPr>
            </w:pPr>
            <w:r w:rsidRPr="008B7790">
              <w:rPr>
                <w:sz w:val="18"/>
                <w:szCs w:val="18"/>
              </w:rPr>
              <w:t>26.5</w:t>
            </w:r>
          </w:p>
        </w:tc>
      </w:tr>
      <w:tr w:rsidR="008B7790" w:rsidRPr="00FE56D3" w14:paraId="70DA2333" w14:textId="77777777" w:rsidTr="00396077">
        <w:trPr>
          <w:trHeight w:val="227"/>
        </w:trPr>
        <w:tc>
          <w:tcPr>
            <w:tcW w:w="577" w:type="pct"/>
            <w:vMerge/>
            <w:vAlign w:val="center"/>
          </w:tcPr>
          <w:p w14:paraId="59F7F5F9" w14:textId="77777777" w:rsidR="008B7790" w:rsidRPr="00FE56D3" w:rsidRDefault="008B7790" w:rsidP="00677F69">
            <w:pPr>
              <w:spacing w:before="0" w:after="0"/>
              <w:contextualSpacing/>
              <w:rPr>
                <w:sz w:val="19"/>
                <w:szCs w:val="19"/>
              </w:rPr>
            </w:pPr>
          </w:p>
        </w:tc>
        <w:tc>
          <w:tcPr>
            <w:tcW w:w="590" w:type="pct"/>
            <w:vAlign w:val="center"/>
          </w:tcPr>
          <w:p w14:paraId="18A427B4" w14:textId="77777777" w:rsidR="008B7790" w:rsidRPr="00FE56D3" w:rsidRDefault="008B7790" w:rsidP="00677F69">
            <w:pPr>
              <w:spacing w:before="0" w:after="0"/>
              <w:contextualSpacing/>
              <w:rPr>
                <w:sz w:val="19"/>
                <w:szCs w:val="19"/>
              </w:rPr>
            </w:pPr>
            <w:r>
              <w:rPr>
                <w:sz w:val="19"/>
                <w:szCs w:val="19"/>
              </w:rPr>
              <w:t xml:space="preserve">No </w:t>
            </w:r>
            <w:r w:rsidRPr="00FE56D3">
              <w:rPr>
                <w:sz w:val="19"/>
                <w:szCs w:val="19"/>
              </w:rPr>
              <w:t>CEW</w:t>
            </w:r>
          </w:p>
        </w:tc>
        <w:tc>
          <w:tcPr>
            <w:tcW w:w="508" w:type="pct"/>
            <w:vAlign w:val="bottom"/>
          </w:tcPr>
          <w:p w14:paraId="6C93DA7D" w14:textId="54BD5541" w:rsidR="008B7790" w:rsidRPr="008B7790" w:rsidRDefault="008B7790" w:rsidP="00677F69">
            <w:pPr>
              <w:spacing w:before="0" w:after="0"/>
              <w:contextualSpacing/>
              <w:jc w:val="center"/>
              <w:rPr>
                <w:rFonts w:cs="Calibri"/>
                <w:kern w:val="0"/>
                <w:sz w:val="18"/>
                <w:szCs w:val="18"/>
              </w:rPr>
            </w:pPr>
            <w:r w:rsidRPr="009657D4">
              <w:rPr>
                <w:sz w:val="18"/>
                <w:szCs w:val="18"/>
              </w:rPr>
              <w:t>0.20</w:t>
            </w:r>
          </w:p>
        </w:tc>
        <w:tc>
          <w:tcPr>
            <w:tcW w:w="508" w:type="pct"/>
            <w:vAlign w:val="bottom"/>
          </w:tcPr>
          <w:p w14:paraId="7F31CCCA" w14:textId="7E7C7DFE" w:rsidR="008B7790" w:rsidRPr="008B7790" w:rsidRDefault="008B7790" w:rsidP="00677F69">
            <w:pPr>
              <w:spacing w:before="0" w:after="0"/>
              <w:contextualSpacing/>
              <w:jc w:val="center"/>
              <w:rPr>
                <w:rFonts w:cs="Calibri"/>
                <w:kern w:val="0"/>
                <w:sz w:val="18"/>
                <w:szCs w:val="18"/>
              </w:rPr>
            </w:pPr>
            <w:r w:rsidRPr="008B7790">
              <w:rPr>
                <w:sz w:val="18"/>
                <w:szCs w:val="18"/>
              </w:rPr>
              <w:t>0.015</w:t>
            </w:r>
          </w:p>
        </w:tc>
        <w:tc>
          <w:tcPr>
            <w:tcW w:w="508" w:type="pct"/>
            <w:vAlign w:val="bottom"/>
          </w:tcPr>
          <w:p w14:paraId="348A6A6D" w14:textId="77777777" w:rsidR="008B7790" w:rsidRPr="008B7790" w:rsidRDefault="008B7790" w:rsidP="00677F69">
            <w:pPr>
              <w:spacing w:before="0" w:after="0"/>
              <w:contextualSpacing/>
              <w:jc w:val="center"/>
              <w:rPr>
                <w:rFonts w:cs="Calibri"/>
                <w:kern w:val="0"/>
                <w:sz w:val="18"/>
                <w:szCs w:val="18"/>
              </w:rPr>
            </w:pPr>
            <w:r w:rsidRPr="008B7790">
              <w:rPr>
                <w:rFonts w:cs="Calibri"/>
                <w:sz w:val="18"/>
                <w:szCs w:val="18"/>
              </w:rPr>
              <w:t>BDL</w:t>
            </w:r>
          </w:p>
        </w:tc>
        <w:tc>
          <w:tcPr>
            <w:tcW w:w="457" w:type="pct"/>
            <w:vAlign w:val="bottom"/>
          </w:tcPr>
          <w:p w14:paraId="3D21B9FB" w14:textId="22B3FBC0" w:rsidR="008B7790" w:rsidRPr="008B7790" w:rsidRDefault="00ED7AE8" w:rsidP="00677F69">
            <w:pPr>
              <w:spacing w:before="0" w:after="0"/>
              <w:contextualSpacing/>
              <w:jc w:val="center"/>
              <w:rPr>
                <w:rFonts w:cs="Calibri"/>
                <w:kern w:val="0"/>
                <w:sz w:val="18"/>
                <w:szCs w:val="18"/>
              </w:rPr>
            </w:pPr>
            <w:r>
              <w:rPr>
                <w:sz w:val="18"/>
                <w:szCs w:val="18"/>
              </w:rPr>
              <w:t>1.02</w:t>
            </w:r>
          </w:p>
        </w:tc>
        <w:tc>
          <w:tcPr>
            <w:tcW w:w="661" w:type="pct"/>
            <w:vAlign w:val="bottom"/>
          </w:tcPr>
          <w:p w14:paraId="51E8989E" w14:textId="0D635FDD" w:rsidR="008B7790" w:rsidRPr="008B7790" w:rsidRDefault="008B7790" w:rsidP="00677F69">
            <w:pPr>
              <w:spacing w:before="0" w:after="0"/>
              <w:contextualSpacing/>
              <w:jc w:val="center"/>
              <w:rPr>
                <w:rFonts w:cs="Calibri"/>
                <w:color w:val="auto"/>
                <w:kern w:val="0"/>
                <w:sz w:val="18"/>
                <w:szCs w:val="18"/>
              </w:rPr>
            </w:pPr>
            <w:r w:rsidRPr="008B7790">
              <w:rPr>
                <w:sz w:val="18"/>
                <w:szCs w:val="18"/>
              </w:rPr>
              <w:t>1.19</w:t>
            </w:r>
          </w:p>
        </w:tc>
        <w:tc>
          <w:tcPr>
            <w:tcW w:w="711" w:type="pct"/>
            <w:vAlign w:val="bottom"/>
          </w:tcPr>
          <w:p w14:paraId="6333B558" w14:textId="386164DF" w:rsidR="008B7790" w:rsidRPr="008B7790" w:rsidRDefault="008B7790" w:rsidP="00677F69">
            <w:pPr>
              <w:spacing w:before="0" w:after="0"/>
              <w:contextualSpacing/>
              <w:jc w:val="center"/>
              <w:rPr>
                <w:rFonts w:cs="Calibri"/>
                <w:color w:val="auto"/>
                <w:kern w:val="0"/>
                <w:sz w:val="18"/>
                <w:szCs w:val="18"/>
              </w:rPr>
            </w:pPr>
            <w:r w:rsidRPr="008B7790">
              <w:rPr>
                <w:sz w:val="18"/>
                <w:szCs w:val="18"/>
              </w:rPr>
              <w:t>0.11</w:t>
            </w:r>
          </w:p>
        </w:tc>
        <w:tc>
          <w:tcPr>
            <w:tcW w:w="480" w:type="pct"/>
            <w:vAlign w:val="bottom"/>
          </w:tcPr>
          <w:p w14:paraId="51C0E9E7" w14:textId="0B6792B6" w:rsidR="008B7790" w:rsidRPr="008B7790" w:rsidRDefault="008B7790" w:rsidP="00677F69">
            <w:pPr>
              <w:spacing w:before="0" w:after="0"/>
              <w:contextualSpacing/>
              <w:jc w:val="center"/>
              <w:rPr>
                <w:rFonts w:cs="Calibri"/>
                <w:color w:val="auto"/>
                <w:kern w:val="0"/>
                <w:sz w:val="18"/>
                <w:szCs w:val="18"/>
              </w:rPr>
            </w:pPr>
            <w:r w:rsidRPr="008B7790">
              <w:rPr>
                <w:sz w:val="18"/>
                <w:szCs w:val="18"/>
              </w:rPr>
              <w:t>27.5</w:t>
            </w:r>
          </w:p>
        </w:tc>
      </w:tr>
      <w:tr w:rsidR="008B7790" w:rsidRPr="00FE56D3" w14:paraId="66E4CFDB" w14:textId="77777777" w:rsidTr="00396077">
        <w:trPr>
          <w:trHeight w:val="227"/>
        </w:trPr>
        <w:tc>
          <w:tcPr>
            <w:tcW w:w="577" w:type="pct"/>
            <w:vMerge/>
            <w:vAlign w:val="center"/>
          </w:tcPr>
          <w:p w14:paraId="7B854506" w14:textId="77777777" w:rsidR="008B7790" w:rsidRPr="00FE56D3" w:rsidRDefault="008B7790" w:rsidP="00677F69">
            <w:pPr>
              <w:spacing w:before="0" w:after="0"/>
              <w:contextualSpacing/>
              <w:rPr>
                <w:sz w:val="19"/>
                <w:szCs w:val="19"/>
              </w:rPr>
            </w:pPr>
          </w:p>
        </w:tc>
        <w:tc>
          <w:tcPr>
            <w:tcW w:w="590" w:type="pct"/>
            <w:vAlign w:val="center"/>
          </w:tcPr>
          <w:p w14:paraId="42B5EDCB" w14:textId="77777777" w:rsidR="008B7790" w:rsidRPr="00FE56D3" w:rsidRDefault="008B7790" w:rsidP="00677F69">
            <w:pPr>
              <w:spacing w:before="0" w:after="0"/>
              <w:contextualSpacing/>
              <w:rPr>
                <w:sz w:val="19"/>
                <w:szCs w:val="19"/>
              </w:rPr>
            </w:pPr>
            <w:r>
              <w:rPr>
                <w:sz w:val="19"/>
                <w:szCs w:val="19"/>
              </w:rPr>
              <w:t>No</w:t>
            </w:r>
            <w:r w:rsidRPr="00FE56D3">
              <w:rPr>
                <w:sz w:val="19"/>
                <w:szCs w:val="19"/>
              </w:rPr>
              <w:t xml:space="preserve"> eWater</w:t>
            </w:r>
          </w:p>
        </w:tc>
        <w:tc>
          <w:tcPr>
            <w:tcW w:w="508" w:type="pct"/>
            <w:vAlign w:val="bottom"/>
          </w:tcPr>
          <w:p w14:paraId="58704CE7" w14:textId="1F73FF79" w:rsidR="008B7790" w:rsidRPr="008B7790" w:rsidRDefault="008B7790" w:rsidP="00677F69">
            <w:pPr>
              <w:spacing w:before="0" w:after="0"/>
              <w:contextualSpacing/>
              <w:jc w:val="center"/>
              <w:rPr>
                <w:rFonts w:cs="Calibri"/>
                <w:kern w:val="0"/>
                <w:sz w:val="18"/>
                <w:szCs w:val="18"/>
              </w:rPr>
            </w:pPr>
            <w:r w:rsidRPr="008B7790">
              <w:rPr>
                <w:sz w:val="18"/>
                <w:szCs w:val="18"/>
              </w:rPr>
              <w:t>0.23</w:t>
            </w:r>
          </w:p>
        </w:tc>
        <w:tc>
          <w:tcPr>
            <w:tcW w:w="508" w:type="pct"/>
            <w:vAlign w:val="bottom"/>
          </w:tcPr>
          <w:p w14:paraId="674310AF" w14:textId="401C9701" w:rsidR="008B7790" w:rsidRPr="008B7790" w:rsidRDefault="008B7790" w:rsidP="00677F69">
            <w:pPr>
              <w:spacing w:before="0" w:after="0"/>
              <w:contextualSpacing/>
              <w:jc w:val="center"/>
              <w:rPr>
                <w:rFonts w:cs="Calibri"/>
                <w:kern w:val="0"/>
                <w:sz w:val="18"/>
                <w:szCs w:val="18"/>
              </w:rPr>
            </w:pPr>
            <w:r w:rsidRPr="008B7790">
              <w:rPr>
                <w:sz w:val="18"/>
                <w:szCs w:val="18"/>
              </w:rPr>
              <w:t>0.017</w:t>
            </w:r>
          </w:p>
        </w:tc>
        <w:tc>
          <w:tcPr>
            <w:tcW w:w="508" w:type="pct"/>
            <w:vAlign w:val="bottom"/>
          </w:tcPr>
          <w:p w14:paraId="12E3F074" w14:textId="77777777" w:rsidR="008B7790" w:rsidRPr="008B7790" w:rsidRDefault="008B7790" w:rsidP="00677F69">
            <w:pPr>
              <w:spacing w:before="0" w:after="0"/>
              <w:contextualSpacing/>
              <w:jc w:val="center"/>
              <w:rPr>
                <w:rFonts w:cs="Calibri"/>
                <w:kern w:val="0"/>
                <w:sz w:val="18"/>
                <w:szCs w:val="18"/>
              </w:rPr>
            </w:pPr>
            <w:r w:rsidRPr="008B7790">
              <w:rPr>
                <w:rFonts w:cs="Calibri"/>
                <w:sz w:val="18"/>
                <w:szCs w:val="18"/>
              </w:rPr>
              <w:t>BDL</w:t>
            </w:r>
          </w:p>
        </w:tc>
        <w:tc>
          <w:tcPr>
            <w:tcW w:w="457" w:type="pct"/>
            <w:vAlign w:val="bottom"/>
          </w:tcPr>
          <w:p w14:paraId="4D8C54AD" w14:textId="23D9D73C" w:rsidR="008B7790" w:rsidRPr="008B7790" w:rsidRDefault="008B7790" w:rsidP="00677F69">
            <w:pPr>
              <w:spacing w:before="0" w:after="0"/>
              <w:contextualSpacing/>
              <w:jc w:val="center"/>
              <w:rPr>
                <w:rFonts w:cs="Calibri"/>
                <w:kern w:val="0"/>
                <w:sz w:val="18"/>
                <w:szCs w:val="18"/>
              </w:rPr>
            </w:pPr>
            <w:r w:rsidRPr="008B7790">
              <w:rPr>
                <w:sz w:val="18"/>
                <w:szCs w:val="18"/>
              </w:rPr>
              <w:t>1.02</w:t>
            </w:r>
          </w:p>
        </w:tc>
        <w:tc>
          <w:tcPr>
            <w:tcW w:w="661" w:type="pct"/>
            <w:vAlign w:val="bottom"/>
          </w:tcPr>
          <w:p w14:paraId="1B995614" w14:textId="7722D26A" w:rsidR="008B7790" w:rsidRPr="008B7790" w:rsidRDefault="008B7790" w:rsidP="00677F69">
            <w:pPr>
              <w:spacing w:before="0" w:after="0"/>
              <w:contextualSpacing/>
              <w:jc w:val="center"/>
              <w:rPr>
                <w:rFonts w:cs="Calibri"/>
                <w:color w:val="auto"/>
                <w:kern w:val="0"/>
                <w:sz w:val="18"/>
                <w:szCs w:val="18"/>
              </w:rPr>
            </w:pPr>
            <w:r w:rsidRPr="008B7790">
              <w:rPr>
                <w:sz w:val="18"/>
                <w:szCs w:val="18"/>
              </w:rPr>
              <w:t>1.18</w:t>
            </w:r>
          </w:p>
        </w:tc>
        <w:tc>
          <w:tcPr>
            <w:tcW w:w="711" w:type="pct"/>
            <w:vAlign w:val="bottom"/>
          </w:tcPr>
          <w:p w14:paraId="6487FFF3" w14:textId="0DEF2080" w:rsidR="008B7790" w:rsidRPr="008B7790" w:rsidRDefault="008B7790" w:rsidP="00677F69">
            <w:pPr>
              <w:spacing w:before="0" w:after="0"/>
              <w:contextualSpacing/>
              <w:jc w:val="center"/>
              <w:rPr>
                <w:rFonts w:cs="Calibri"/>
                <w:color w:val="auto"/>
                <w:kern w:val="0"/>
                <w:sz w:val="18"/>
                <w:szCs w:val="18"/>
              </w:rPr>
            </w:pPr>
            <w:r w:rsidRPr="008B7790">
              <w:rPr>
                <w:sz w:val="18"/>
                <w:szCs w:val="18"/>
              </w:rPr>
              <w:t>0.11</w:t>
            </w:r>
          </w:p>
        </w:tc>
        <w:tc>
          <w:tcPr>
            <w:tcW w:w="480" w:type="pct"/>
            <w:vAlign w:val="bottom"/>
          </w:tcPr>
          <w:p w14:paraId="50730071" w14:textId="0D959999" w:rsidR="008B7790" w:rsidRPr="008B7790" w:rsidRDefault="008B7790" w:rsidP="00677F69">
            <w:pPr>
              <w:spacing w:before="0" w:after="0"/>
              <w:contextualSpacing/>
              <w:jc w:val="center"/>
              <w:rPr>
                <w:rFonts w:cs="Calibri"/>
                <w:color w:val="auto"/>
                <w:kern w:val="0"/>
                <w:sz w:val="18"/>
                <w:szCs w:val="18"/>
              </w:rPr>
            </w:pPr>
            <w:r w:rsidRPr="008B7790">
              <w:rPr>
                <w:sz w:val="18"/>
                <w:szCs w:val="18"/>
              </w:rPr>
              <w:t>27.9</w:t>
            </w:r>
          </w:p>
        </w:tc>
      </w:tr>
      <w:tr w:rsidR="008B7790" w:rsidRPr="00FE56D3" w14:paraId="4D658BEC" w14:textId="77777777" w:rsidTr="00396077">
        <w:trPr>
          <w:trHeight w:val="227"/>
        </w:trPr>
        <w:tc>
          <w:tcPr>
            <w:tcW w:w="577" w:type="pct"/>
            <w:vMerge w:val="restart"/>
            <w:vAlign w:val="center"/>
          </w:tcPr>
          <w:p w14:paraId="7306F878" w14:textId="77777777" w:rsidR="008B7790" w:rsidRPr="00FE56D3" w:rsidRDefault="008B7790" w:rsidP="00677F69">
            <w:pPr>
              <w:spacing w:before="0" w:after="0"/>
              <w:contextualSpacing/>
              <w:rPr>
                <w:sz w:val="19"/>
                <w:szCs w:val="19"/>
              </w:rPr>
            </w:pPr>
            <w:r w:rsidRPr="00FE56D3">
              <w:rPr>
                <w:sz w:val="19"/>
                <w:szCs w:val="19"/>
              </w:rPr>
              <w:t>Lake Alexandrina Middle</w:t>
            </w:r>
          </w:p>
        </w:tc>
        <w:tc>
          <w:tcPr>
            <w:tcW w:w="590" w:type="pct"/>
            <w:vAlign w:val="center"/>
          </w:tcPr>
          <w:p w14:paraId="6D7713B8" w14:textId="77777777" w:rsidR="008B7790" w:rsidRPr="00FE56D3" w:rsidRDefault="008B7790" w:rsidP="00677F69">
            <w:pPr>
              <w:spacing w:before="0" w:after="0"/>
              <w:contextualSpacing/>
              <w:rPr>
                <w:sz w:val="19"/>
                <w:szCs w:val="19"/>
              </w:rPr>
            </w:pPr>
            <w:r w:rsidRPr="00FE56D3">
              <w:rPr>
                <w:sz w:val="19"/>
                <w:szCs w:val="19"/>
              </w:rPr>
              <w:t xml:space="preserve">With all </w:t>
            </w:r>
            <w:r>
              <w:rPr>
                <w:sz w:val="19"/>
                <w:szCs w:val="19"/>
              </w:rPr>
              <w:t>w</w:t>
            </w:r>
            <w:r w:rsidRPr="00FE56D3">
              <w:rPr>
                <w:sz w:val="19"/>
                <w:szCs w:val="19"/>
              </w:rPr>
              <w:t>ater</w:t>
            </w:r>
          </w:p>
        </w:tc>
        <w:tc>
          <w:tcPr>
            <w:tcW w:w="508" w:type="pct"/>
            <w:vAlign w:val="bottom"/>
          </w:tcPr>
          <w:p w14:paraId="0C3C6B10" w14:textId="3F323A1B" w:rsidR="008B7790" w:rsidRPr="008B7790" w:rsidRDefault="008B7790" w:rsidP="00677F69">
            <w:pPr>
              <w:spacing w:before="0" w:after="0"/>
              <w:contextualSpacing/>
              <w:jc w:val="center"/>
              <w:rPr>
                <w:rFonts w:cs="Calibri"/>
                <w:kern w:val="0"/>
                <w:sz w:val="18"/>
                <w:szCs w:val="18"/>
              </w:rPr>
            </w:pPr>
            <w:r w:rsidRPr="008B7790">
              <w:rPr>
                <w:sz w:val="18"/>
                <w:szCs w:val="18"/>
              </w:rPr>
              <w:t>0.39</w:t>
            </w:r>
          </w:p>
        </w:tc>
        <w:tc>
          <w:tcPr>
            <w:tcW w:w="508" w:type="pct"/>
            <w:vAlign w:val="bottom"/>
          </w:tcPr>
          <w:p w14:paraId="04E409FA" w14:textId="04EBE824" w:rsidR="008B7790" w:rsidRPr="008B7790" w:rsidRDefault="008B7790" w:rsidP="00677F69">
            <w:pPr>
              <w:spacing w:before="0" w:after="0"/>
              <w:contextualSpacing/>
              <w:jc w:val="center"/>
              <w:rPr>
                <w:rFonts w:cs="Calibri"/>
                <w:kern w:val="0"/>
                <w:sz w:val="18"/>
                <w:szCs w:val="18"/>
              </w:rPr>
            </w:pPr>
            <w:r w:rsidRPr="008B7790">
              <w:rPr>
                <w:sz w:val="18"/>
                <w:szCs w:val="18"/>
              </w:rPr>
              <w:t>0.015</w:t>
            </w:r>
          </w:p>
        </w:tc>
        <w:tc>
          <w:tcPr>
            <w:tcW w:w="508" w:type="pct"/>
            <w:vAlign w:val="bottom"/>
          </w:tcPr>
          <w:p w14:paraId="3B5F6209" w14:textId="77777777" w:rsidR="008B7790" w:rsidRPr="008B7790" w:rsidRDefault="008B7790" w:rsidP="00677F69">
            <w:pPr>
              <w:spacing w:before="0" w:after="0"/>
              <w:contextualSpacing/>
              <w:jc w:val="center"/>
              <w:rPr>
                <w:rFonts w:cs="Calibri"/>
                <w:kern w:val="0"/>
                <w:sz w:val="18"/>
                <w:szCs w:val="18"/>
              </w:rPr>
            </w:pPr>
            <w:r w:rsidRPr="008B7790">
              <w:rPr>
                <w:rFonts w:cs="Calibri"/>
                <w:sz w:val="18"/>
                <w:szCs w:val="18"/>
              </w:rPr>
              <w:t>BDL</w:t>
            </w:r>
          </w:p>
        </w:tc>
        <w:tc>
          <w:tcPr>
            <w:tcW w:w="457" w:type="pct"/>
            <w:vAlign w:val="bottom"/>
          </w:tcPr>
          <w:p w14:paraId="5540BF2C" w14:textId="693567BF" w:rsidR="008B7790" w:rsidRPr="008B7790" w:rsidRDefault="008B7790" w:rsidP="00677F69">
            <w:pPr>
              <w:spacing w:before="0" w:after="0"/>
              <w:contextualSpacing/>
              <w:jc w:val="center"/>
              <w:rPr>
                <w:rFonts w:cs="Calibri"/>
                <w:kern w:val="0"/>
                <w:sz w:val="18"/>
                <w:szCs w:val="18"/>
              </w:rPr>
            </w:pPr>
            <w:r w:rsidRPr="008B7790">
              <w:rPr>
                <w:sz w:val="18"/>
                <w:szCs w:val="18"/>
              </w:rPr>
              <w:t>0.79</w:t>
            </w:r>
          </w:p>
        </w:tc>
        <w:tc>
          <w:tcPr>
            <w:tcW w:w="661" w:type="pct"/>
            <w:vAlign w:val="bottom"/>
          </w:tcPr>
          <w:p w14:paraId="2FF2D4E6" w14:textId="40D9ECD8" w:rsidR="008B7790" w:rsidRPr="008B7790" w:rsidRDefault="008B7790" w:rsidP="00677F69">
            <w:pPr>
              <w:spacing w:before="0" w:after="0"/>
              <w:contextualSpacing/>
              <w:jc w:val="center"/>
              <w:rPr>
                <w:rFonts w:cs="Calibri"/>
                <w:color w:val="auto"/>
                <w:kern w:val="0"/>
                <w:sz w:val="18"/>
                <w:szCs w:val="18"/>
              </w:rPr>
            </w:pPr>
            <w:r w:rsidRPr="008B7790">
              <w:rPr>
                <w:sz w:val="18"/>
                <w:szCs w:val="18"/>
              </w:rPr>
              <w:t>1.37</w:t>
            </w:r>
          </w:p>
        </w:tc>
        <w:tc>
          <w:tcPr>
            <w:tcW w:w="711" w:type="pct"/>
            <w:vAlign w:val="bottom"/>
          </w:tcPr>
          <w:p w14:paraId="11DE5433" w14:textId="035FE7E0" w:rsidR="008B7790" w:rsidRPr="008B7790" w:rsidRDefault="008B7790" w:rsidP="00677F69">
            <w:pPr>
              <w:spacing w:before="0" w:after="0"/>
              <w:contextualSpacing/>
              <w:jc w:val="center"/>
              <w:rPr>
                <w:rFonts w:cs="Calibri"/>
                <w:color w:val="auto"/>
                <w:kern w:val="0"/>
                <w:sz w:val="18"/>
                <w:szCs w:val="18"/>
              </w:rPr>
            </w:pPr>
            <w:r w:rsidRPr="008B7790">
              <w:rPr>
                <w:sz w:val="18"/>
                <w:szCs w:val="18"/>
              </w:rPr>
              <w:t>0.13</w:t>
            </w:r>
          </w:p>
        </w:tc>
        <w:tc>
          <w:tcPr>
            <w:tcW w:w="480" w:type="pct"/>
            <w:vAlign w:val="bottom"/>
          </w:tcPr>
          <w:p w14:paraId="1950D76F" w14:textId="114F21D8" w:rsidR="008B7790" w:rsidRPr="008B7790" w:rsidRDefault="008B7790" w:rsidP="00677F69">
            <w:pPr>
              <w:spacing w:before="0" w:after="0"/>
              <w:contextualSpacing/>
              <w:jc w:val="center"/>
              <w:rPr>
                <w:rFonts w:cs="Calibri"/>
                <w:color w:val="auto"/>
                <w:kern w:val="0"/>
                <w:sz w:val="18"/>
                <w:szCs w:val="18"/>
              </w:rPr>
            </w:pPr>
            <w:r w:rsidRPr="008B7790">
              <w:rPr>
                <w:sz w:val="18"/>
                <w:szCs w:val="18"/>
              </w:rPr>
              <w:t>32.9</w:t>
            </w:r>
          </w:p>
        </w:tc>
      </w:tr>
      <w:tr w:rsidR="008B7790" w:rsidRPr="00FE56D3" w14:paraId="58A50224" w14:textId="77777777" w:rsidTr="00396077">
        <w:trPr>
          <w:trHeight w:val="227"/>
        </w:trPr>
        <w:tc>
          <w:tcPr>
            <w:tcW w:w="577" w:type="pct"/>
            <w:vMerge/>
            <w:vAlign w:val="center"/>
          </w:tcPr>
          <w:p w14:paraId="4BB5CB54" w14:textId="77777777" w:rsidR="008B7790" w:rsidRPr="00FE56D3" w:rsidRDefault="008B7790" w:rsidP="00677F69">
            <w:pPr>
              <w:spacing w:before="0" w:after="0"/>
              <w:contextualSpacing/>
              <w:rPr>
                <w:sz w:val="19"/>
                <w:szCs w:val="19"/>
              </w:rPr>
            </w:pPr>
          </w:p>
        </w:tc>
        <w:tc>
          <w:tcPr>
            <w:tcW w:w="590" w:type="pct"/>
            <w:vAlign w:val="center"/>
          </w:tcPr>
          <w:p w14:paraId="18463341" w14:textId="77777777" w:rsidR="008B7790" w:rsidRPr="00FE56D3" w:rsidRDefault="008B7790" w:rsidP="00677F69">
            <w:pPr>
              <w:spacing w:before="0" w:after="0"/>
              <w:contextualSpacing/>
              <w:rPr>
                <w:sz w:val="19"/>
                <w:szCs w:val="19"/>
              </w:rPr>
            </w:pPr>
            <w:r>
              <w:rPr>
                <w:sz w:val="19"/>
                <w:szCs w:val="19"/>
              </w:rPr>
              <w:t>No</w:t>
            </w:r>
            <w:r w:rsidRPr="00FE56D3">
              <w:rPr>
                <w:sz w:val="19"/>
                <w:szCs w:val="19"/>
              </w:rPr>
              <w:t xml:space="preserve"> CEW</w:t>
            </w:r>
          </w:p>
        </w:tc>
        <w:tc>
          <w:tcPr>
            <w:tcW w:w="508" w:type="pct"/>
            <w:vAlign w:val="bottom"/>
          </w:tcPr>
          <w:p w14:paraId="58290101" w14:textId="23D2080E" w:rsidR="008B7790" w:rsidRPr="008B7790" w:rsidRDefault="008B7790" w:rsidP="00677F69">
            <w:pPr>
              <w:spacing w:before="0" w:after="0"/>
              <w:contextualSpacing/>
              <w:jc w:val="center"/>
              <w:rPr>
                <w:rFonts w:cs="Calibri"/>
                <w:kern w:val="0"/>
                <w:sz w:val="18"/>
                <w:szCs w:val="18"/>
              </w:rPr>
            </w:pPr>
            <w:r w:rsidRPr="008B7790">
              <w:rPr>
                <w:sz w:val="18"/>
                <w:szCs w:val="18"/>
              </w:rPr>
              <w:t>0.48</w:t>
            </w:r>
          </w:p>
        </w:tc>
        <w:tc>
          <w:tcPr>
            <w:tcW w:w="508" w:type="pct"/>
            <w:vAlign w:val="bottom"/>
          </w:tcPr>
          <w:p w14:paraId="38186CA3" w14:textId="6E4C819A" w:rsidR="008B7790" w:rsidRPr="008B7790" w:rsidRDefault="00ED7AE8" w:rsidP="00677F69">
            <w:pPr>
              <w:spacing w:before="0" w:after="0"/>
              <w:contextualSpacing/>
              <w:jc w:val="center"/>
              <w:rPr>
                <w:rFonts w:cs="Calibri"/>
                <w:kern w:val="0"/>
                <w:sz w:val="18"/>
                <w:szCs w:val="18"/>
              </w:rPr>
            </w:pPr>
            <w:r>
              <w:rPr>
                <w:sz w:val="18"/>
                <w:szCs w:val="18"/>
              </w:rPr>
              <w:t>0.019</w:t>
            </w:r>
          </w:p>
        </w:tc>
        <w:tc>
          <w:tcPr>
            <w:tcW w:w="508" w:type="pct"/>
            <w:vAlign w:val="bottom"/>
          </w:tcPr>
          <w:p w14:paraId="1C0C8AED" w14:textId="77777777" w:rsidR="008B7790" w:rsidRPr="008B7790" w:rsidRDefault="008B7790" w:rsidP="00677F69">
            <w:pPr>
              <w:spacing w:before="0" w:after="0"/>
              <w:contextualSpacing/>
              <w:jc w:val="center"/>
              <w:rPr>
                <w:rFonts w:cs="Calibri"/>
                <w:kern w:val="0"/>
                <w:sz w:val="18"/>
                <w:szCs w:val="18"/>
              </w:rPr>
            </w:pPr>
            <w:r w:rsidRPr="008B7790">
              <w:rPr>
                <w:rFonts w:cs="Calibri"/>
                <w:sz w:val="18"/>
                <w:szCs w:val="18"/>
              </w:rPr>
              <w:t>BDL</w:t>
            </w:r>
          </w:p>
        </w:tc>
        <w:tc>
          <w:tcPr>
            <w:tcW w:w="457" w:type="pct"/>
            <w:vAlign w:val="bottom"/>
          </w:tcPr>
          <w:p w14:paraId="283A542E" w14:textId="4A0AE4F1" w:rsidR="008B7790" w:rsidRPr="008B7790" w:rsidRDefault="008B7790" w:rsidP="00677F69">
            <w:pPr>
              <w:spacing w:before="0" w:after="0"/>
              <w:contextualSpacing/>
              <w:jc w:val="center"/>
              <w:rPr>
                <w:rFonts w:cs="Calibri"/>
                <w:kern w:val="0"/>
                <w:sz w:val="18"/>
                <w:szCs w:val="18"/>
              </w:rPr>
            </w:pPr>
            <w:r w:rsidRPr="008B7790">
              <w:rPr>
                <w:sz w:val="18"/>
                <w:szCs w:val="18"/>
              </w:rPr>
              <w:t>0.60</w:t>
            </w:r>
          </w:p>
        </w:tc>
        <w:tc>
          <w:tcPr>
            <w:tcW w:w="661" w:type="pct"/>
            <w:vAlign w:val="bottom"/>
          </w:tcPr>
          <w:p w14:paraId="60BC3762" w14:textId="1EFDC3AD" w:rsidR="008B7790" w:rsidRPr="008B7790" w:rsidRDefault="008B7790" w:rsidP="00677F69">
            <w:pPr>
              <w:spacing w:before="0" w:after="0"/>
              <w:contextualSpacing/>
              <w:jc w:val="center"/>
              <w:rPr>
                <w:rFonts w:cs="Calibri"/>
                <w:color w:val="auto"/>
                <w:kern w:val="0"/>
                <w:sz w:val="18"/>
                <w:szCs w:val="18"/>
              </w:rPr>
            </w:pPr>
            <w:r w:rsidRPr="008B7790">
              <w:rPr>
                <w:sz w:val="18"/>
                <w:szCs w:val="18"/>
              </w:rPr>
              <w:t>1.46</w:t>
            </w:r>
          </w:p>
        </w:tc>
        <w:tc>
          <w:tcPr>
            <w:tcW w:w="711" w:type="pct"/>
            <w:vAlign w:val="bottom"/>
          </w:tcPr>
          <w:p w14:paraId="2FA5A02A" w14:textId="08487A53" w:rsidR="008B7790" w:rsidRPr="008B7790" w:rsidRDefault="008B7790" w:rsidP="00677F69">
            <w:pPr>
              <w:spacing w:before="0" w:after="0"/>
              <w:contextualSpacing/>
              <w:jc w:val="center"/>
              <w:rPr>
                <w:rFonts w:cs="Calibri"/>
                <w:color w:val="auto"/>
                <w:kern w:val="0"/>
                <w:sz w:val="18"/>
                <w:szCs w:val="18"/>
              </w:rPr>
            </w:pPr>
            <w:r w:rsidRPr="008B7790">
              <w:rPr>
                <w:sz w:val="18"/>
                <w:szCs w:val="18"/>
              </w:rPr>
              <w:t>0.14</w:t>
            </w:r>
          </w:p>
        </w:tc>
        <w:tc>
          <w:tcPr>
            <w:tcW w:w="480" w:type="pct"/>
            <w:vAlign w:val="bottom"/>
          </w:tcPr>
          <w:p w14:paraId="7FFE44DE" w14:textId="5F8977A6" w:rsidR="008B7790" w:rsidRPr="008B7790" w:rsidRDefault="008B7790" w:rsidP="00677F69">
            <w:pPr>
              <w:spacing w:before="0" w:after="0"/>
              <w:contextualSpacing/>
              <w:jc w:val="center"/>
              <w:rPr>
                <w:rFonts w:cs="Calibri"/>
                <w:color w:val="auto"/>
                <w:kern w:val="0"/>
                <w:sz w:val="18"/>
                <w:szCs w:val="18"/>
              </w:rPr>
            </w:pPr>
            <w:r w:rsidRPr="008B7790">
              <w:rPr>
                <w:sz w:val="18"/>
                <w:szCs w:val="18"/>
              </w:rPr>
              <w:t>35.5</w:t>
            </w:r>
          </w:p>
        </w:tc>
      </w:tr>
      <w:tr w:rsidR="008B7790" w:rsidRPr="00FE56D3" w14:paraId="08AF337E" w14:textId="77777777" w:rsidTr="00396077">
        <w:trPr>
          <w:trHeight w:val="227"/>
        </w:trPr>
        <w:tc>
          <w:tcPr>
            <w:tcW w:w="577" w:type="pct"/>
            <w:vMerge/>
            <w:vAlign w:val="center"/>
          </w:tcPr>
          <w:p w14:paraId="4D5004E8" w14:textId="77777777" w:rsidR="008B7790" w:rsidRPr="00FE56D3" w:rsidRDefault="008B7790" w:rsidP="00677F69">
            <w:pPr>
              <w:spacing w:before="0" w:after="0"/>
              <w:contextualSpacing/>
              <w:rPr>
                <w:sz w:val="19"/>
                <w:szCs w:val="19"/>
              </w:rPr>
            </w:pPr>
          </w:p>
        </w:tc>
        <w:tc>
          <w:tcPr>
            <w:tcW w:w="590" w:type="pct"/>
            <w:vAlign w:val="center"/>
          </w:tcPr>
          <w:p w14:paraId="11D90C5B" w14:textId="77777777" w:rsidR="008B7790" w:rsidRPr="00FE56D3" w:rsidRDefault="008B7790" w:rsidP="00677F69">
            <w:pPr>
              <w:spacing w:before="0" w:after="0"/>
              <w:contextualSpacing/>
              <w:rPr>
                <w:sz w:val="19"/>
                <w:szCs w:val="19"/>
              </w:rPr>
            </w:pPr>
            <w:r>
              <w:rPr>
                <w:sz w:val="19"/>
                <w:szCs w:val="19"/>
              </w:rPr>
              <w:t xml:space="preserve">No </w:t>
            </w:r>
            <w:r w:rsidRPr="00FE56D3">
              <w:rPr>
                <w:sz w:val="19"/>
                <w:szCs w:val="19"/>
              </w:rPr>
              <w:t>eWater</w:t>
            </w:r>
          </w:p>
        </w:tc>
        <w:tc>
          <w:tcPr>
            <w:tcW w:w="508" w:type="pct"/>
            <w:vAlign w:val="bottom"/>
          </w:tcPr>
          <w:p w14:paraId="4EBBAAE4" w14:textId="37C00FAB" w:rsidR="008B7790" w:rsidRPr="008B7790" w:rsidRDefault="008B7790" w:rsidP="00677F69">
            <w:pPr>
              <w:spacing w:before="0" w:after="0"/>
              <w:contextualSpacing/>
              <w:jc w:val="center"/>
              <w:rPr>
                <w:rFonts w:cs="Calibri"/>
                <w:kern w:val="0"/>
                <w:sz w:val="18"/>
                <w:szCs w:val="18"/>
              </w:rPr>
            </w:pPr>
            <w:r w:rsidRPr="008B7790">
              <w:rPr>
                <w:sz w:val="18"/>
                <w:szCs w:val="18"/>
              </w:rPr>
              <w:t>0.50</w:t>
            </w:r>
          </w:p>
        </w:tc>
        <w:tc>
          <w:tcPr>
            <w:tcW w:w="508" w:type="pct"/>
            <w:vAlign w:val="bottom"/>
          </w:tcPr>
          <w:p w14:paraId="1097D0A3" w14:textId="5E25F055" w:rsidR="008B7790" w:rsidRPr="008B7790" w:rsidRDefault="008B7790" w:rsidP="00677F69">
            <w:pPr>
              <w:spacing w:before="0" w:after="0"/>
              <w:contextualSpacing/>
              <w:jc w:val="center"/>
              <w:rPr>
                <w:rFonts w:cs="Calibri"/>
                <w:kern w:val="0"/>
                <w:sz w:val="18"/>
                <w:szCs w:val="18"/>
              </w:rPr>
            </w:pPr>
            <w:r w:rsidRPr="008B7790">
              <w:rPr>
                <w:sz w:val="18"/>
                <w:szCs w:val="18"/>
              </w:rPr>
              <w:t>0.019</w:t>
            </w:r>
          </w:p>
        </w:tc>
        <w:tc>
          <w:tcPr>
            <w:tcW w:w="508" w:type="pct"/>
            <w:vAlign w:val="bottom"/>
          </w:tcPr>
          <w:p w14:paraId="2B2BAE98" w14:textId="77777777" w:rsidR="008B7790" w:rsidRPr="008B7790" w:rsidRDefault="008B7790" w:rsidP="00677F69">
            <w:pPr>
              <w:spacing w:before="0" w:after="0"/>
              <w:contextualSpacing/>
              <w:jc w:val="center"/>
              <w:rPr>
                <w:rFonts w:cs="Calibri"/>
                <w:kern w:val="0"/>
                <w:sz w:val="18"/>
                <w:szCs w:val="18"/>
              </w:rPr>
            </w:pPr>
            <w:r w:rsidRPr="008B7790">
              <w:rPr>
                <w:rFonts w:cs="Calibri"/>
                <w:sz w:val="18"/>
                <w:szCs w:val="18"/>
              </w:rPr>
              <w:t>BDL</w:t>
            </w:r>
          </w:p>
        </w:tc>
        <w:tc>
          <w:tcPr>
            <w:tcW w:w="457" w:type="pct"/>
            <w:vAlign w:val="bottom"/>
          </w:tcPr>
          <w:p w14:paraId="45D5CB98" w14:textId="7081C537" w:rsidR="008B7790" w:rsidRPr="008B7790" w:rsidRDefault="008B7790" w:rsidP="00677F69">
            <w:pPr>
              <w:spacing w:before="0" w:after="0"/>
              <w:contextualSpacing/>
              <w:jc w:val="center"/>
              <w:rPr>
                <w:rFonts w:cs="Calibri"/>
                <w:kern w:val="0"/>
                <w:sz w:val="18"/>
                <w:szCs w:val="18"/>
              </w:rPr>
            </w:pPr>
            <w:r w:rsidRPr="008B7790">
              <w:rPr>
                <w:sz w:val="18"/>
                <w:szCs w:val="18"/>
              </w:rPr>
              <w:t>0.57</w:t>
            </w:r>
          </w:p>
        </w:tc>
        <w:tc>
          <w:tcPr>
            <w:tcW w:w="661" w:type="pct"/>
            <w:vAlign w:val="bottom"/>
          </w:tcPr>
          <w:p w14:paraId="35F05FE9" w14:textId="393725AE" w:rsidR="008B7790" w:rsidRPr="008B7790" w:rsidRDefault="008B7790" w:rsidP="00677F69">
            <w:pPr>
              <w:spacing w:before="0" w:after="0"/>
              <w:contextualSpacing/>
              <w:jc w:val="center"/>
              <w:rPr>
                <w:rFonts w:cs="Calibri"/>
                <w:color w:val="auto"/>
                <w:kern w:val="0"/>
                <w:sz w:val="18"/>
                <w:szCs w:val="18"/>
              </w:rPr>
            </w:pPr>
            <w:r w:rsidRPr="008B7790">
              <w:rPr>
                <w:sz w:val="18"/>
                <w:szCs w:val="18"/>
              </w:rPr>
              <w:t>1.49</w:t>
            </w:r>
          </w:p>
        </w:tc>
        <w:tc>
          <w:tcPr>
            <w:tcW w:w="711" w:type="pct"/>
            <w:vAlign w:val="bottom"/>
          </w:tcPr>
          <w:p w14:paraId="619C3161" w14:textId="13AD58E2" w:rsidR="008B7790" w:rsidRPr="008B7790" w:rsidRDefault="008B7790" w:rsidP="00677F69">
            <w:pPr>
              <w:spacing w:before="0" w:after="0"/>
              <w:contextualSpacing/>
              <w:jc w:val="center"/>
              <w:rPr>
                <w:rFonts w:cs="Calibri"/>
                <w:color w:val="auto"/>
                <w:kern w:val="0"/>
                <w:sz w:val="18"/>
                <w:szCs w:val="18"/>
              </w:rPr>
            </w:pPr>
            <w:r w:rsidRPr="008B7790">
              <w:rPr>
                <w:sz w:val="18"/>
                <w:szCs w:val="18"/>
              </w:rPr>
              <w:t>0.14</w:t>
            </w:r>
          </w:p>
        </w:tc>
        <w:tc>
          <w:tcPr>
            <w:tcW w:w="480" w:type="pct"/>
            <w:vAlign w:val="bottom"/>
          </w:tcPr>
          <w:p w14:paraId="401F37DF" w14:textId="7C379351" w:rsidR="008B7790" w:rsidRPr="008B7790" w:rsidRDefault="008B7790" w:rsidP="00677F69">
            <w:pPr>
              <w:spacing w:before="0" w:after="0"/>
              <w:contextualSpacing/>
              <w:jc w:val="center"/>
              <w:rPr>
                <w:rFonts w:cs="Calibri"/>
                <w:color w:val="auto"/>
                <w:kern w:val="0"/>
                <w:sz w:val="18"/>
                <w:szCs w:val="18"/>
              </w:rPr>
            </w:pPr>
            <w:r w:rsidRPr="008B7790">
              <w:rPr>
                <w:sz w:val="18"/>
                <w:szCs w:val="18"/>
              </w:rPr>
              <w:t>36.3</w:t>
            </w:r>
          </w:p>
        </w:tc>
      </w:tr>
      <w:tr w:rsidR="008B7790" w:rsidRPr="00FE56D3" w14:paraId="2FBE7521" w14:textId="77777777" w:rsidTr="00396077">
        <w:trPr>
          <w:trHeight w:val="227"/>
        </w:trPr>
        <w:tc>
          <w:tcPr>
            <w:tcW w:w="577" w:type="pct"/>
            <w:vMerge w:val="restart"/>
            <w:vAlign w:val="center"/>
          </w:tcPr>
          <w:p w14:paraId="44571535" w14:textId="77777777" w:rsidR="008B7790" w:rsidRPr="00FE56D3" w:rsidRDefault="008B7790" w:rsidP="00677F69">
            <w:pPr>
              <w:spacing w:before="0" w:after="0"/>
              <w:contextualSpacing/>
              <w:rPr>
                <w:sz w:val="19"/>
                <w:szCs w:val="19"/>
              </w:rPr>
            </w:pPr>
            <w:r w:rsidRPr="00FE56D3">
              <w:rPr>
                <w:sz w:val="19"/>
                <w:szCs w:val="19"/>
              </w:rPr>
              <w:t>Murray Mouth</w:t>
            </w:r>
          </w:p>
        </w:tc>
        <w:tc>
          <w:tcPr>
            <w:tcW w:w="590" w:type="pct"/>
            <w:vAlign w:val="center"/>
          </w:tcPr>
          <w:p w14:paraId="5BD56114" w14:textId="77777777" w:rsidR="008B7790" w:rsidRPr="00FE56D3" w:rsidRDefault="008B7790" w:rsidP="00677F69">
            <w:pPr>
              <w:spacing w:before="0" w:after="0"/>
              <w:contextualSpacing/>
              <w:rPr>
                <w:sz w:val="19"/>
                <w:szCs w:val="19"/>
              </w:rPr>
            </w:pPr>
            <w:r w:rsidRPr="00FE56D3">
              <w:rPr>
                <w:sz w:val="19"/>
                <w:szCs w:val="19"/>
              </w:rPr>
              <w:t xml:space="preserve">With all </w:t>
            </w:r>
            <w:r>
              <w:rPr>
                <w:sz w:val="19"/>
                <w:szCs w:val="19"/>
              </w:rPr>
              <w:t>w</w:t>
            </w:r>
            <w:r w:rsidRPr="00FE56D3">
              <w:rPr>
                <w:sz w:val="19"/>
                <w:szCs w:val="19"/>
              </w:rPr>
              <w:t>ater</w:t>
            </w:r>
          </w:p>
        </w:tc>
        <w:tc>
          <w:tcPr>
            <w:tcW w:w="508" w:type="pct"/>
            <w:vAlign w:val="bottom"/>
          </w:tcPr>
          <w:p w14:paraId="23FA1967" w14:textId="7B1B739F" w:rsidR="008B7790" w:rsidRPr="008B7790" w:rsidRDefault="008B7790" w:rsidP="00677F69">
            <w:pPr>
              <w:spacing w:before="0" w:after="0"/>
              <w:contextualSpacing/>
              <w:jc w:val="center"/>
              <w:rPr>
                <w:rFonts w:cs="Calibri"/>
                <w:kern w:val="0"/>
                <w:sz w:val="18"/>
                <w:szCs w:val="18"/>
              </w:rPr>
            </w:pPr>
            <w:r w:rsidRPr="008B7790">
              <w:rPr>
                <w:sz w:val="18"/>
                <w:szCs w:val="18"/>
              </w:rPr>
              <w:t>27.73</w:t>
            </w:r>
          </w:p>
        </w:tc>
        <w:tc>
          <w:tcPr>
            <w:tcW w:w="508" w:type="pct"/>
            <w:vAlign w:val="bottom"/>
          </w:tcPr>
          <w:p w14:paraId="4CAD55CA" w14:textId="672F9BDC" w:rsidR="008B7790" w:rsidRPr="008B7790" w:rsidRDefault="008B7790" w:rsidP="00677F69">
            <w:pPr>
              <w:spacing w:before="0" w:after="0"/>
              <w:contextualSpacing/>
              <w:jc w:val="center"/>
              <w:rPr>
                <w:rFonts w:cs="Calibri"/>
                <w:kern w:val="0"/>
                <w:sz w:val="18"/>
                <w:szCs w:val="18"/>
              </w:rPr>
            </w:pPr>
            <w:r w:rsidRPr="008B7790">
              <w:rPr>
                <w:sz w:val="18"/>
                <w:szCs w:val="18"/>
              </w:rPr>
              <w:t>0.021</w:t>
            </w:r>
          </w:p>
        </w:tc>
        <w:tc>
          <w:tcPr>
            <w:tcW w:w="508" w:type="pct"/>
            <w:vAlign w:val="bottom"/>
          </w:tcPr>
          <w:p w14:paraId="30C10A43" w14:textId="77777777" w:rsidR="008B7790" w:rsidRPr="008B7790" w:rsidRDefault="008B7790" w:rsidP="00677F69">
            <w:pPr>
              <w:spacing w:before="0" w:after="0"/>
              <w:contextualSpacing/>
              <w:jc w:val="center"/>
              <w:rPr>
                <w:rFonts w:cs="Calibri"/>
                <w:kern w:val="0"/>
                <w:sz w:val="18"/>
                <w:szCs w:val="18"/>
              </w:rPr>
            </w:pPr>
            <w:r w:rsidRPr="008B7790">
              <w:rPr>
                <w:rFonts w:cs="Calibri"/>
                <w:sz w:val="18"/>
                <w:szCs w:val="18"/>
              </w:rPr>
              <w:t>BDL</w:t>
            </w:r>
          </w:p>
        </w:tc>
        <w:tc>
          <w:tcPr>
            <w:tcW w:w="457" w:type="pct"/>
            <w:vAlign w:val="bottom"/>
          </w:tcPr>
          <w:p w14:paraId="78B38B0C" w14:textId="287B45ED" w:rsidR="008B7790" w:rsidRPr="008B7790" w:rsidRDefault="008B7790" w:rsidP="00677F69">
            <w:pPr>
              <w:spacing w:before="0" w:after="0"/>
              <w:contextualSpacing/>
              <w:jc w:val="center"/>
              <w:rPr>
                <w:rFonts w:cs="Calibri"/>
                <w:kern w:val="0"/>
                <w:sz w:val="18"/>
                <w:szCs w:val="18"/>
              </w:rPr>
            </w:pPr>
            <w:r w:rsidRPr="008B7790">
              <w:rPr>
                <w:sz w:val="18"/>
                <w:szCs w:val="18"/>
              </w:rPr>
              <w:t>0.96</w:t>
            </w:r>
          </w:p>
        </w:tc>
        <w:tc>
          <w:tcPr>
            <w:tcW w:w="661" w:type="pct"/>
            <w:vAlign w:val="bottom"/>
          </w:tcPr>
          <w:p w14:paraId="1AEA3BFB" w14:textId="1C366A5E" w:rsidR="008B7790" w:rsidRPr="008B7790" w:rsidRDefault="008B7790" w:rsidP="00677F69">
            <w:pPr>
              <w:spacing w:before="0" w:after="0"/>
              <w:contextualSpacing/>
              <w:jc w:val="center"/>
              <w:rPr>
                <w:rFonts w:cs="Calibri"/>
                <w:color w:val="auto"/>
                <w:kern w:val="0"/>
                <w:sz w:val="18"/>
                <w:szCs w:val="18"/>
              </w:rPr>
            </w:pPr>
            <w:r w:rsidRPr="008B7790">
              <w:rPr>
                <w:sz w:val="18"/>
                <w:szCs w:val="18"/>
              </w:rPr>
              <w:t>1.57</w:t>
            </w:r>
          </w:p>
        </w:tc>
        <w:tc>
          <w:tcPr>
            <w:tcW w:w="711" w:type="pct"/>
            <w:vAlign w:val="bottom"/>
          </w:tcPr>
          <w:p w14:paraId="270BBFF6" w14:textId="6E9B66BF" w:rsidR="008B7790" w:rsidRPr="008B7790" w:rsidRDefault="008B7790" w:rsidP="00677F69">
            <w:pPr>
              <w:spacing w:before="0" w:after="0"/>
              <w:contextualSpacing/>
              <w:jc w:val="center"/>
              <w:rPr>
                <w:rFonts w:cs="Calibri"/>
                <w:color w:val="auto"/>
                <w:kern w:val="0"/>
                <w:sz w:val="18"/>
                <w:szCs w:val="18"/>
              </w:rPr>
            </w:pPr>
            <w:r w:rsidRPr="008B7790">
              <w:rPr>
                <w:sz w:val="18"/>
                <w:szCs w:val="18"/>
              </w:rPr>
              <w:t>0.11</w:t>
            </w:r>
          </w:p>
        </w:tc>
        <w:tc>
          <w:tcPr>
            <w:tcW w:w="480" w:type="pct"/>
            <w:vAlign w:val="bottom"/>
          </w:tcPr>
          <w:p w14:paraId="08D0078E" w14:textId="5AC19BFB" w:rsidR="008B7790" w:rsidRPr="008B7790" w:rsidRDefault="008B7790" w:rsidP="00677F69">
            <w:pPr>
              <w:spacing w:before="0" w:after="0"/>
              <w:contextualSpacing/>
              <w:jc w:val="center"/>
              <w:rPr>
                <w:rFonts w:cs="Calibri"/>
                <w:color w:val="auto"/>
                <w:kern w:val="0"/>
                <w:sz w:val="18"/>
                <w:szCs w:val="18"/>
              </w:rPr>
            </w:pPr>
            <w:r w:rsidRPr="008B7790">
              <w:rPr>
                <w:sz w:val="18"/>
                <w:szCs w:val="18"/>
              </w:rPr>
              <w:t>38.0</w:t>
            </w:r>
          </w:p>
        </w:tc>
      </w:tr>
      <w:tr w:rsidR="008B7790" w:rsidRPr="00FE56D3" w14:paraId="77C4A739" w14:textId="77777777" w:rsidTr="00396077">
        <w:trPr>
          <w:trHeight w:val="227"/>
        </w:trPr>
        <w:tc>
          <w:tcPr>
            <w:tcW w:w="577" w:type="pct"/>
            <w:vMerge/>
            <w:vAlign w:val="center"/>
          </w:tcPr>
          <w:p w14:paraId="38A042B6" w14:textId="77777777" w:rsidR="008B7790" w:rsidRPr="00FE56D3" w:rsidRDefault="008B7790" w:rsidP="00677F69">
            <w:pPr>
              <w:spacing w:before="0" w:after="0"/>
              <w:contextualSpacing/>
              <w:rPr>
                <w:sz w:val="19"/>
                <w:szCs w:val="19"/>
              </w:rPr>
            </w:pPr>
          </w:p>
        </w:tc>
        <w:tc>
          <w:tcPr>
            <w:tcW w:w="590" w:type="pct"/>
            <w:vAlign w:val="center"/>
          </w:tcPr>
          <w:p w14:paraId="772C2425" w14:textId="77777777" w:rsidR="008B7790" w:rsidRPr="00FE56D3" w:rsidRDefault="008B7790" w:rsidP="00677F69">
            <w:pPr>
              <w:spacing w:before="0" w:after="0"/>
              <w:contextualSpacing/>
              <w:rPr>
                <w:sz w:val="19"/>
                <w:szCs w:val="19"/>
              </w:rPr>
            </w:pPr>
            <w:r>
              <w:rPr>
                <w:sz w:val="19"/>
                <w:szCs w:val="19"/>
              </w:rPr>
              <w:t>No</w:t>
            </w:r>
            <w:r w:rsidRPr="00FE56D3">
              <w:rPr>
                <w:sz w:val="19"/>
                <w:szCs w:val="19"/>
              </w:rPr>
              <w:t xml:space="preserve"> CEW</w:t>
            </w:r>
          </w:p>
        </w:tc>
        <w:tc>
          <w:tcPr>
            <w:tcW w:w="508" w:type="pct"/>
            <w:vAlign w:val="bottom"/>
          </w:tcPr>
          <w:p w14:paraId="73738C16" w14:textId="5089C9EB" w:rsidR="008B7790" w:rsidRPr="008B7790" w:rsidRDefault="008B7790" w:rsidP="00677F69">
            <w:pPr>
              <w:spacing w:before="0" w:after="0"/>
              <w:contextualSpacing/>
              <w:jc w:val="center"/>
              <w:rPr>
                <w:rFonts w:cs="Calibri"/>
                <w:kern w:val="0"/>
                <w:sz w:val="18"/>
                <w:szCs w:val="18"/>
              </w:rPr>
            </w:pPr>
            <w:r w:rsidRPr="008B7790">
              <w:rPr>
                <w:sz w:val="18"/>
                <w:szCs w:val="18"/>
              </w:rPr>
              <w:t>35.23</w:t>
            </w:r>
          </w:p>
        </w:tc>
        <w:tc>
          <w:tcPr>
            <w:tcW w:w="508" w:type="pct"/>
            <w:vAlign w:val="bottom"/>
          </w:tcPr>
          <w:p w14:paraId="32D21085" w14:textId="51141F20" w:rsidR="008B7790" w:rsidRPr="008B7790" w:rsidRDefault="008B7790" w:rsidP="00677F69">
            <w:pPr>
              <w:spacing w:before="0" w:after="0"/>
              <w:contextualSpacing/>
              <w:jc w:val="center"/>
              <w:rPr>
                <w:rFonts w:cs="Calibri"/>
                <w:kern w:val="0"/>
                <w:sz w:val="18"/>
                <w:szCs w:val="18"/>
              </w:rPr>
            </w:pPr>
            <w:r w:rsidRPr="008B7790">
              <w:rPr>
                <w:sz w:val="18"/>
                <w:szCs w:val="18"/>
              </w:rPr>
              <w:t>0.022</w:t>
            </w:r>
          </w:p>
        </w:tc>
        <w:tc>
          <w:tcPr>
            <w:tcW w:w="508" w:type="pct"/>
            <w:vAlign w:val="bottom"/>
          </w:tcPr>
          <w:p w14:paraId="3FD080C7" w14:textId="77777777" w:rsidR="008B7790" w:rsidRPr="008B7790" w:rsidRDefault="008B7790" w:rsidP="00677F69">
            <w:pPr>
              <w:spacing w:before="0" w:after="0"/>
              <w:contextualSpacing/>
              <w:jc w:val="center"/>
              <w:rPr>
                <w:rFonts w:cs="Calibri"/>
                <w:kern w:val="0"/>
                <w:sz w:val="18"/>
                <w:szCs w:val="18"/>
              </w:rPr>
            </w:pPr>
            <w:r w:rsidRPr="008B7790">
              <w:rPr>
                <w:rFonts w:cs="Calibri"/>
                <w:sz w:val="18"/>
                <w:szCs w:val="18"/>
              </w:rPr>
              <w:t>BDL</w:t>
            </w:r>
          </w:p>
        </w:tc>
        <w:tc>
          <w:tcPr>
            <w:tcW w:w="457" w:type="pct"/>
            <w:vAlign w:val="bottom"/>
          </w:tcPr>
          <w:p w14:paraId="3CE9308E" w14:textId="0BFAF7E7" w:rsidR="008B7790" w:rsidRPr="008B7790" w:rsidRDefault="008B7790" w:rsidP="00677F69">
            <w:pPr>
              <w:spacing w:before="0" w:after="0"/>
              <w:contextualSpacing/>
              <w:jc w:val="center"/>
              <w:rPr>
                <w:rFonts w:cs="Calibri"/>
                <w:kern w:val="0"/>
                <w:sz w:val="18"/>
                <w:szCs w:val="18"/>
              </w:rPr>
            </w:pPr>
            <w:r w:rsidRPr="008B7790">
              <w:rPr>
                <w:sz w:val="18"/>
                <w:szCs w:val="18"/>
              </w:rPr>
              <w:t>0.96</w:t>
            </w:r>
          </w:p>
        </w:tc>
        <w:tc>
          <w:tcPr>
            <w:tcW w:w="661" w:type="pct"/>
            <w:vAlign w:val="bottom"/>
          </w:tcPr>
          <w:p w14:paraId="58F87E64" w14:textId="36051443" w:rsidR="008B7790" w:rsidRPr="008B7790" w:rsidRDefault="008B7790" w:rsidP="00677F69">
            <w:pPr>
              <w:spacing w:before="0" w:after="0"/>
              <w:contextualSpacing/>
              <w:jc w:val="center"/>
              <w:rPr>
                <w:rFonts w:cs="Calibri"/>
                <w:color w:val="auto"/>
                <w:kern w:val="0"/>
                <w:sz w:val="18"/>
                <w:szCs w:val="18"/>
              </w:rPr>
            </w:pPr>
            <w:r w:rsidRPr="008B7790">
              <w:rPr>
                <w:sz w:val="18"/>
                <w:szCs w:val="18"/>
              </w:rPr>
              <w:t>1.60</w:t>
            </w:r>
          </w:p>
        </w:tc>
        <w:tc>
          <w:tcPr>
            <w:tcW w:w="711" w:type="pct"/>
            <w:vAlign w:val="bottom"/>
          </w:tcPr>
          <w:p w14:paraId="5015B51E" w14:textId="7BE722C8" w:rsidR="008B7790" w:rsidRPr="008B7790" w:rsidRDefault="008B7790" w:rsidP="00677F69">
            <w:pPr>
              <w:spacing w:before="0" w:after="0"/>
              <w:contextualSpacing/>
              <w:jc w:val="center"/>
              <w:rPr>
                <w:rFonts w:cs="Calibri"/>
                <w:color w:val="auto"/>
                <w:kern w:val="0"/>
                <w:sz w:val="18"/>
                <w:szCs w:val="18"/>
              </w:rPr>
            </w:pPr>
            <w:r w:rsidRPr="008B7790">
              <w:rPr>
                <w:sz w:val="18"/>
                <w:szCs w:val="18"/>
              </w:rPr>
              <w:t>0.10</w:t>
            </w:r>
          </w:p>
        </w:tc>
        <w:tc>
          <w:tcPr>
            <w:tcW w:w="480" w:type="pct"/>
            <w:vAlign w:val="bottom"/>
          </w:tcPr>
          <w:p w14:paraId="6BD2243A" w14:textId="6D2E47B1" w:rsidR="008B7790" w:rsidRPr="008B7790" w:rsidRDefault="008B7790" w:rsidP="00677F69">
            <w:pPr>
              <w:spacing w:before="0" w:after="0"/>
              <w:contextualSpacing/>
              <w:jc w:val="center"/>
              <w:rPr>
                <w:rFonts w:cs="Calibri"/>
                <w:color w:val="auto"/>
                <w:kern w:val="0"/>
                <w:sz w:val="18"/>
                <w:szCs w:val="18"/>
              </w:rPr>
            </w:pPr>
            <w:r w:rsidRPr="008B7790">
              <w:rPr>
                <w:sz w:val="18"/>
                <w:szCs w:val="18"/>
              </w:rPr>
              <w:t>38.6</w:t>
            </w:r>
          </w:p>
        </w:tc>
      </w:tr>
      <w:tr w:rsidR="008B7790" w:rsidRPr="00FE56D3" w14:paraId="1AE3AB4D" w14:textId="77777777" w:rsidTr="00396077">
        <w:trPr>
          <w:trHeight w:val="227"/>
        </w:trPr>
        <w:tc>
          <w:tcPr>
            <w:tcW w:w="577" w:type="pct"/>
            <w:vMerge/>
            <w:vAlign w:val="center"/>
          </w:tcPr>
          <w:p w14:paraId="4E50341C" w14:textId="77777777" w:rsidR="008B7790" w:rsidRPr="00FE56D3" w:rsidRDefault="008B7790" w:rsidP="00677F69">
            <w:pPr>
              <w:spacing w:before="0" w:after="0"/>
              <w:contextualSpacing/>
              <w:rPr>
                <w:sz w:val="19"/>
                <w:szCs w:val="19"/>
              </w:rPr>
            </w:pPr>
          </w:p>
        </w:tc>
        <w:tc>
          <w:tcPr>
            <w:tcW w:w="590" w:type="pct"/>
            <w:vAlign w:val="center"/>
          </w:tcPr>
          <w:p w14:paraId="75EC007E" w14:textId="77777777" w:rsidR="008B7790" w:rsidRPr="00FE56D3" w:rsidRDefault="008B7790" w:rsidP="00677F69">
            <w:pPr>
              <w:spacing w:before="0" w:after="0"/>
              <w:contextualSpacing/>
              <w:rPr>
                <w:sz w:val="19"/>
                <w:szCs w:val="19"/>
              </w:rPr>
            </w:pPr>
            <w:r>
              <w:rPr>
                <w:sz w:val="19"/>
                <w:szCs w:val="19"/>
              </w:rPr>
              <w:t>No</w:t>
            </w:r>
            <w:r w:rsidRPr="00FE56D3">
              <w:rPr>
                <w:sz w:val="19"/>
                <w:szCs w:val="19"/>
              </w:rPr>
              <w:t xml:space="preserve"> eWater</w:t>
            </w:r>
          </w:p>
        </w:tc>
        <w:tc>
          <w:tcPr>
            <w:tcW w:w="508" w:type="pct"/>
            <w:vAlign w:val="bottom"/>
          </w:tcPr>
          <w:p w14:paraId="79DBD84F" w14:textId="23814704" w:rsidR="008B7790" w:rsidRPr="008B7790" w:rsidRDefault="008B7790" w:rsidP="00677F69">
            <w:pPr>
              <w:spacing w:before="0" w:after="0"/>
              <w:contextualSpacing/>
              <w:jc w:val="center"/>
              <w:rPr>
                <w:rFonts w:cs="Calibri"/>
                <w:kern w:val="0"/>
                <w:sz w:val="18"/>
                <w:szCs w:val="18"/>
              </w:rPr>
            </w:pPr>
            <w:r w:rsidRPr="008B7790">
              <w:rPr>
                <w:sz w:val="18"/>
                <w:szCs w:val="18"/>
              </w:rPr>
              <w:t>35.33</w:t>
            </w:r>
          </w:p>
        </w:tc>
        <w:tc>
          <w:tcPr>
            <w:tcW w:w="508" w:type="pct"/>
            <w:vAlign w:val="bottom"/>
          </w:tcPr>
          <w:p w14:paraId="02063654" w14:textId="318E25B8" w:rsidR="008B7790" w:rsidRPr="008B7790" w:rsidRDefault="008B7790" w:rsidP="00677F69">
            <w:pPr>
              <w:spacing w:before="0" w:after="0"/>
              <w:contextualSpacing/>
              <w:jc w:val="center"/>
              <w:rPr>
                <w:rFonts w:cs="Calibri"/>
                <w:kern w:val="0"/>
                <w:sz w:val="18"/>
                <w:szCs w:val="18"/>
              </w:rPr>
            </w:pPr>
            <w:r w:rsidRPr="008B7790">
              <w:rPr>
                <w:sz w:val="18"/>
                <w:szCs w:val="18"/>
              </w:rPr>
              <w:t>0.022</w:t>
            </w:r>
          </w:p>
        </w:tc>
        <w:tc>
          <w:tcPr>
            <w:tcW w:w="508" w:type="pct"/>
            <w:vAlign w:val="bottom"/>
          </w:tcPr>
          <w:p w14:paraId="435EF015" w14:textId="77777777" w:rsidR="008B7790" w:rsidRPr="008B7790" w:rsidRDefault="008B7790" w:rsidP="00677F69">
            <w:pPr>
              <w:spacing w:before="0" w:after="0"/>
              <w:contextualSpacing/>
              <w:jc w:val="center"/>
              <w:rPr>
                <w:rFonts w:cs="Calibri"/>
                <w:kern w:val="0"/>
                <w:sz w:val="18"/>
                <w:szCs w:val="18"/>
              </w:rPr>
            </w:pPr>
            <w:r w:rsidRPr="008B7790">
              <w:rPr>
                <w:rFonts w:cs="Calibri"/>
                <w:sz w:val="18"/>
                <w:szCs w:val="18"/>
              </w:rPr>
              <w:t>BDL</w:t>
            </w:r>
          </w:p>
        </w:tc>
        <w:tc>
          <w:tcPr>
            <w:tcW w:w="457" w:type="pct"/>
            <w:vAlign w:val="bottom"/>
          </w:tcPr>
          <w:p w14:paraId="2C2D3EFB" w14:textId="3549BF56" w:rsidR="008B7790" w:rsidRPr="008B7790" w:rsidRDefault="008B7790" w:rsidP="00677F69">
            <w:pPr>
              <w:spacing w:before="0" w:after="0"/>
              <w:contextualSpacing/>
              <w:jc w:val="center"/>
              <w:rPr>
                <w:rFonts w:cs="Calibri"/>
                <w:kern w:val="0"/>
                <w:sz w:val="18"/>
                <w:szCs w:val="18"/>
              </w:rPr>
            </w:pPr>
            <w:r w:rsidRPr="008B7790">
              <w:rPr>
                <w:sz w:val="18"/>
                <w:szCs w:val="18"/>
              </w:rPr>
              <w:t>0.96</w:t>
            </w:r>
          </w:p>
        </w:tc>
        <w:tc>
          <w:tcPr>
            <w:tcW w:w="661" w:type="pct"/>
            <w:vAlign w:val="bottom"/>
          </w:tcPr>
          <w:p w14:paraId="5ED5FC7F" w14:textId="693E289F" w:rsidR="008B7790" w:rsidRPr="008B7790" w:rsidRDefault="008B7790" w:rsidP="00677F69">
            <w:pPr>
              <w:spacing w:before="0" w:after="0"/>
              <w:contextualSpacing/>
              <w:jc w:val="center"/>
              <w:rPr>
                <w:rFonts w:cs="Calibri"/>
                <w:color w:val="auto"/>
                <w:kern w:val="0"/>
                <w:sz w:val="18"/>
                <w:szCs w:val="18"/>
              </w:rPr>
            </w:pPr>
            <w:r w:rsidRPr="008B7790">
              <w:rPr>
                <w:sz w:val="18"/>
                <w:szCs w:val="18"/>
              </w:rPr>
              <w:t>1.60</w:t>
            </w:r>
          </w:p>
        </w:tc>
        <w:tc>
          <w:tcPr>
            <w:tcW w:w="711" w:type="pct"/>
            <w:vAlign w:val="bottom"/>
          </w:tcPr>
          <w:p w14:paraId="524481C2" w14:textId="10A94890" w:rsidR="008B7790" w:rsidRPr="008B7790" w:rsidRDefault="008B7790" w:rsidP="00677F69">
            <w:pPr>
              <w:spacing w:before="0" w:after="0"/>
              <w:contextualSpacing/>
              <w:jc w:val="center"/>
              <w:rPr>
                <w:rFonts w:cs="Calibri"/>
                <w:color w:val="auto"/>
                <w:kern w:val="0"/>
                <w:sz w:val="18"/>
                <w:szCs w:val="18"/>
              </w:rPr>
            </w:pPr>
            <w:r w:rsidRPr="008B7790">
              <w:rPr>
                <w:sz w:val="18"/>
                <w:szCs w:val="18"/>
              </w:rPr>
              <w:t>0.10</w:t>
            </w:r>
          </w:p>
        </w:tc>
        <w:tc>
          <w:tcPr>
            <w:tcW w:w="480" w:type="pct"/>
            <w:vAlign w:val="bottom"/>
          </w:tcPr>
          <w:p w14:paraId="2932BF5A" w14:textId="52BEFB20" w:rsidR="008B7790" w:rsidRPr="008B7790" w:rsidRDefault="008B7790" w:rsidP="00677F69">
            <w:pPr>
              <w:spacing w:before="0" w:after="0"/>
              <w:contextualSpacing/>
              <w:jc w:val="center"/>
              <w:rPr>
                <w:rFonts w:cs="Calibri"/>
                <w:color w:val="auto"/>
                <w:kern w:val="0"/>
                <w:sz w:val="18"/>
                <w:szCs w:val="18"/>
              </w:rPr>
            </w:pPr>
            <w:r w:rsidRPr="008B7790">
              <w:rPr>
                <w:sz w:val="18"/>
                <w:szCs w:val="18"/>
              </w:rPr>
              <w:t>38.6</w:t>
            </w:r>
          </w:p>
        </w:tc>
      </w:tr>
    </w:tbl>
    <w:p w14:paraId="5FF6C94E" w14:textId="77777777" w:rsidR="00AF5A5A" w:rsidRDefault="00AF5A5A" w:rsidP="00AF5A5A">
      <w:pPr>
        <w:spacing w:before="0" w:after="200" w:line="276" w:lineRule="auto"/>
      </w:pPr>
      <w:r>
        <w:br w:type="page"/>
      </w:r>
    </w:p>
    <w:p w14:paraId="19959E63" w14:textId="693DA52C" w:rsidR="00AF5A5A" w:rsidRDefault="00B532B9" w:rsidP="00B46038">
      <w:pPr>
        <w:pStyle w:val="Captions"/>
      </w:pPr>
      <w:bookmarkStart w:id="99" w:name="_Ref433030800"/>
      <w:bookmarkStart w:id="100" w:name="_Toc442086406"/>
      <w:bookmarkStart w:id="101" w:name="_Toc474147021"/>
      <w:r>
        <w:lastRenderedPageBreak/>
        <w:t xml:space="preserve">Table </w:t>
      </w:r>
      <w:r w:rsidR="00394AA8">
        <w:fldChar w:fldCharType="begin"/>
      </w:r>
      <w:r w:rsidR="009D45C9">
        <w:instrText xml:space="preserve"> SEQ Table \* ARABIC </w:instrText>
      </w:r>
      <w:r w:rsidR="00394AA8">
        <w:fldChar w:fldCharType="separate"/>
      </w:r>
      <w:r w:rsidR="004260C4">
        <w:rPr>
          <w:noProof/>
        </w:rPr>
        <w:t>3</w:t>
      </w:r>
      <w:r w:rsidR="00394AA8">
        <w:rPr>
          <w:noProof/>
        </w:rPr>
        <w:fldChar w:fldCharType="end"/>
      </w:r>
      <w:bookmarkEnd w:id="99"/>
      <w:r>
        <w:t xml:space="preserve">. </w:t>
      </w:r>
      <w:r w:rsidR="008B7790" w:rsidRPr="00121F16">
        <w:t>Net cumulative load (tonnes) of salt, nutrients</w:t>
      </w:r>
      <w:r w:rsidR="008B7790">
        <w:t xml:space="preserve"> and </w:t>
      </w:r>
      <w:r w:rsidR="008B7790" w:rsidRPr="00121F16">
        <w:t>chlorophyll a during 201</w:t>
      </w:r>
      <w:r w:rsidR="008B7790">
        <w:t>5</w:t>
      </w:r>
      <w:r w:rsidR="008B7790" w:rsidRPr="00121F16">
        <w:t>/1</w:t>
      </w:r>
      <w:r w:rsidR="008B7790">
        <w:t>6</w:t>
      </w:r>
      <w:r w:rsidR="008B7790" w:rsidRPr="00121F16">
        <w:t xml:space="preserve"> for the modelled scenarios at three selected sites. Scenarios include with all water, without Commonwealth environmental water (No CEW) and without any environmental water (No eWater).</w:t>
      </w:r>
      <w:r w:rsidR="008B7790">
        <w:t xml:space="preserve"> Positive value indicates export and negative value indicates import</w:t>
      </w:r>
      <w:r w:rsidR="008156DF">
        <w:t>.</w:t>
      </w:r>
      <w:bookmarkEnd w:id="100"/>
      <w:bookmarkEnd w:id="101"/>
    </w:p>
    <w:tbl>
      <w:tblPr>
        <w:tblStyle w:val="TableGrid"/>
        <w:tblW w:w="4825" w:type="pct"/>
        <w:tblLook w:val="04A0" w:firstRow="1" w:lastRow="0" w:firstColumn="1" w:lastColumn="0" w:noHBand="0" w:noVBand="1"/>
      </w:tblPr>
      <w:tblGrid>
        <w:gridCol w:w="1234"/>
        <w:gridCol w:w="1530"/>
        <w:gridCol w:w="1170"/>
        <w:gridCol w:w="1290"/>
        <w:gridCol w:w="1186"/>
        <w:gridCol w:w="1182"/>
        <w:gridCol w:w="1901"/>
        <w:gridCol w:w="2127"/>
        <w:gridCol w:w="1842"/>
      </w:tblGrid>
      <w:tr w:rsidR="008B7790" w:rsidRPr="00FE56D3" w14:paraId="4EF4033D" w14:textId="77777777" w:rsidTr="00396077">
        <w:trPr>
          <w:trHeight w:val="397"/>
        </w:trPr>
        <w:tc>
          <w:tcPr>
            <w:tcW w:w="458" w:type="pct"/>
            <w:vAlign w:val="center"/>
          </w:tcPr>
          <w:p w14:paraId="434B3AA9" w14:textId="77777777" w:rsidR="008B7790" w:rsidRPr="00777399" w:rsidRDefault="008B7790" w:rsidP="00677F69">
            <w:pPr>
              <w:spacing w:before="0" w:after="200"/>
              <w:rPr>
                <w:b/>
                <w:sz w:val="19"/>
                <w:szCs w:val="19"/>
              </w:rPr>
            </w:pPr>
            <w:r w:rsidRPr="00777399">
              <w:rPr>
                <w:b/>
                <w:sz w:val="19"/>
                <w:szCs w:val="19"/>
              </w:rPr>
              <w:t>Site</w:t>
            </w:r>
          </w:p>
        </w:tc>
        <w:tc>
          <w:tcPr>
            <w:tcW w:w="568" w:type="pct"/>
            <w:vAlign w:val="center"/>
          </w:tcPr>
          <w:p w14:paraId="38164A53" w14:textId="77777777" w:rsidR="008B7790" w:rsidRPr="00777399" w:rsidRDefault="008B7790" w:rsidP="00677F69">
            <w:pPr>
              <w:spacing w:before="0" w:after="200"/>
              <w:rPr>
                <w:b/>
                <w:sz w:val="19"/>
                <w:szCs w:val="19"/>
              </w:rPr>
            </w:pPr>
            <w:r w:rsidRPr="00777399">
              <w:rPr>
                <w:b/>
                <w:sz w:val="19"/>
                <w:szCs w:val="19"/>
              </w:rPr>
              <w:t>Scenario</w:t>
            </w:r>
          </w:p>
        </w:tc>
        <w:tc>
          <w:tcPr>
            <w:tcW w:w="434" w:type="pct"/>
            <w:vAlign w:val="center"/>
          </w:tcPr>
          <w:p w14:paraId="4A2E1F54" w14:textId="77777777" w:rsidR="008B7790" w:rsidRPr="00777399" w:rsidRDefault="008B7790" w:rsidP="00677F69">
            <w:pPr>
              <w:spacing w:before="0" w:after="200"/>
              <w:jc w:val="center"/>
              <w:rPr>
                <w:b/>
                <w:sz w:val="19"/>
                <w:szCs w:val="19"/>
              </w:rPr>
            </w:pPr>
            <w:r w:rsidRPr="00777399">
              <w:rPr>
                <w:b/>
                <w:sz w:val="19"/>
                <w:szCs w:val="19"/>
              </w:rPr>
              <w:t>Salt</w:t>
            </w:r>
          </w:p>
        </w:tc>
        <w:tc>
          <w:tcPr>
            <w:tcW w:w="479" w:type="pct"/>
            <w:vAlign w:val="center"/>
          </w:tcPr>
          <w:p w14:paraId="6674B6CD" w14:textId="77777777" w:rsidR="008B7790" w:rsidRPr="00777399" w:rsidRDefault="008B7790" w:rsidP="00677F69">
            <w:pPr>
              <w:spacing w:before="0" w:after="200"/>
              <w:jc w:val="center"/>
              <w:rPr>
                <w:b/>
                <w:sz w:val="19"/>
                <w:szCs w:val="19"/>
              </w:rPr>
            </w:pPr>
            <w:r w:rsidRPr="00777399">
              <w:rPr>
                <w:b/>
                <w:sz w:val="19"/>
                <w:szCs w:val="19"/>
              </w:rPr>
              <w:t>Ammonium</w:t>
            </w:r>
          </w:p>
        </w:tc>
        <w:tc>
          <w:tcPr>
            <w:tcW w:w="440" w:type="pct"/>
            <w:vAlign w:val="center"/>
          </w:tcPr>
          <w:p w14:paraId="2695B5C9" w14:textId="77777777" w:rsidR="008B7790" w:rsidRPr="00777399" w:rsidRDefault="008B7790" w:rsidP="00677F69">
            <w:pPr>
              <w:spacing w:before="0" w:after="200"/>
              <w:jc w:val="center"/>
              <w:rPr>
                <w:b/>
                <w:sz w:val="19"/>
                <w:szCs w:val="19"/>
              </w:rPr>
            </w:pPr>
            <w:r w:rsidRPr="00777399">
              <w:rPr>
                <w:b/>
                <w:sz w:val="19"/>
                <w:szCs w:val="19"/>
              </w:rPr>
              <w:t>Phosphate</w:t>
            </w:r>
          </w:p>
        </w:tc>
        <w:tc>
          <w:tcPr>
            <w:tcW w:w="439" w:type="pct"/>
            <w:vAlign w:val="center"/>
          </w:tcPr>
          <w:p w14:paraId="586B954B" w14:textId="77777777" w:rsidR="008B7790" w:rsidRPr="00777399" w:rsidRDefault="008B7790" w:rsidP="00677F69">
            <w:pPr>
              <w:spacing w:before="0" w:after="200"/>
              <w:jc w:val="center"/>
              <w:rPr>
                <w:b/>
                <w:sz w:val="19"/>
                <w:szCs w:val="19"/>
              </w:rPr>
            </w:pPr>
            <w:r w:rsidRPr="00777399">
              <w:rPr>
                <w:b/>
                <w:sz w:val="19"/>
                <w:szCs w:val="19"/>
              </w:rPr>
              <w:t>Silica</w:t>
            </w:r>
          </w:p>
        </w:tc>
        <w:tc>
          <w:tcPr>
            <w:tcW w:w="706" w:type="pct"/>
            <w:vAlign w:val="center"/>
          </w:tcPr>
          <w:p w14:paraId="324B3DB5" w14:textId="77777777" w:rsidR="008B7790" w:rsidRPr="00777399" w:rsidRDefault="008B7790" w:rsidP="00677F69">
            <w:pPr>
              <w:spacing w:before="0" w:after="200"/>
              <w:jc w:val="center"/>
              <w:rPr>
                <w:b/>
                <w:sz w:val="19"/>
                <w:szCs w:val="19"/>
              </w:rPr>
            </w:pPr>
            <w:r w:rsidRPr="00777399">
              <w:rPr>
                <w:b/>
                <w:sz w:val="19"/>
                <w:szCs w:val="19"/>
              </w:rPr>
              <w:t>Particulate organic nitrogen</w:t>
            </w:r>
          </w:p>
        </w:tc>
        <w:tc>
          <w:tcPr>
            <w:tcW w:w="790" w:type="pct"/>
            <w:vAlign w:val="center"/>
          </w:tcPr>
          <w:p w14:paraId="0B8B0BF8" w14:textId="77777777" w:rsidR="008B7790" w:rsidRPr="00777399" w:rsidRDefault="008B7790" w:rsidP="00677F69">
            <w:pPr>
              <w:spacing w:before="0" w:after="200"/>
              <w:jc w:val="center"/>
              <w:rPr>
                <w:b/>
                <w:sz w:val="19"/>
                <w:szCs w:val="19"/>
              </w:rPr>
            </w:pPr>
            <w:r w:rsidRPr="00777399">
              <w:rPr>
                <w:b/>
                <w:sz w:val="19"/>
                <w:szCs w:val="19"/>
              </w:rPr>
              <w:t>Particulate organic phosphorus</w:t>
            </w:r>
          </w:p>
        </w:tc>
        <w:tc>
          <w:tcPr>
            <w:tcW w:w="684" w:type="pct"/>
            <w:vAlign w:val="center"/>
          </w:tcPr>
          <w:p w14:paraId="7056D9F2" w14:textId="54FB0E68" w:rsidR="008B7790" w:rsidRPr="00777399" w:rsidRDefault="008B7790" w:rsidP="00677F69">
            <w:pPr>
              <w:spacing w:before="0" w:after="200"/>
              <w:jc w:val="center"/>
              <w:rPr>
                <w:b/>
                <w:sz w:val="19"/>
                <w:szCs w:val="19"/>
              </w:rPr>
            </w:pPr>
            <w:r>
              <w:rPr>
                <w:b/>
                <w:sz w:val="19"/>
                <w:szCs w:val="19"/>
              </w:rPr>
              <w:t xml:space="preserve">Phytoplankton (as carbon) </w:t>
            </w:r>
          </w:p>
        </w:tc>
      </w:tr>
      <w:tr w:rsidR="008B7790" w:rsidRPr="00FE56D3" w14:paraId="5595C83E" w14:textId="77777777" w:rsidTr="00396077">
        <w:trPr>
          <w:trHeight w:val="397"/>
        </w:trPr>
        <w:tc>
          <w:tcPr>
            <w:tcW w:w="458" w:type="pct"/>
            <w:vMerge w:val="restart"/>
            <w:vAlign w:val="center"/>
          </w:tcPr>
          <w:p w14:paraId="022D0B6A" w14:textId="77777777" w:rsidR="008B7790" w:rsidRPr="00FE56D3" w:rsidRDefault="008B7790" w:rsidP="00677F69">
            <w:pPr>
              <w:spacing w:before="0" w:after="0"/>
              <w:rPr>
                <w:sz w:val="19"/>
                <w:szCs w:val="19"/>
              </w:rPr>
            </w:pPr>
            <w:r w:rsidRPr="00FE56D3">
              <w:rPr>
                <w:sz w:val="19"/>
                <w:szCs w:val="19"/>
              </w:rPr>
              <w:t>Wellington</w:t>
            </w:r>
          </w:p>
        </w:tc>
        <w:tc>
          <w:tcPr>
            <w:tcW w:w="568" w:type="pct"/>
            <w:vAlign w:val="center"/>
          </w:tcPr>
          <w:p w14:paraId="151B833A" w14:textId="77777777" w:rsidR="008B7790" w:rsidRPr="00FE56D3" w:rsidRDefault="008B7790" w:rsidP="00677F69">
            <w:pPr>
              <w:spacing w:before="0" w:after="0"/>
              <w:rPr>
                <w:sz w:val="19"/>
                <w:szCs w:val="19"/>
              </w:rPr>
            </w:pPr>
            <w:r w:rsidRPr="00FE56D3">
              <w:rPr>
                <w:sz w:val="19"/>
                <w:szCs w:val="19"/>
              </w:rPr>
              <w:t xml:space="preserve">With all </w:t>
            </w:r>
            <w:r>
              <w:rPr>
                <w:sz w:val="19"/>
                <w:szCs w:val="19"/>
              </w:rPr>
              <w:t>w</w:t>
            </w:r>
            <w:r w:rsidRPr="00FE56D3">
              <w:rPr>
                <w:sz w:val="19"/>
                <w:szCs w:val="19"/>
              </w:rPr>
              <w:t>ater</w:t>
            </w:r>
          </w:p>
        </w:tc>
        <w:tc>
          <w:tcPr>
            <w:tcW w:w="434" w:type="pct"/>
            <w:vAlign w:val="bottom"/>
          </w:tcPr>
          <w:p w14:paraId="5B8617DF" w14:textId="3E649D99" w:rsidR="008B7790" w:rsidRPr="008B7790" w:rsidRDefault="008B7790" w:rsidP="00677F69">
            <w:pPr>
              <w:spacing w:before="0" w:after="0"/>
              <w:jc w:val="center"/>
              <w:rPr>
                <w:rFonts w:cs="Calibri"/>
                <w:color w:val="auto"/>
                <w:sz w:val="18"/>
                <w:szCs w:val="18"/>
              </w:rPr>
            </w:pPr>
            <w:r w:rsidRPr="008B7790">
              <w:rPr>
                <w:sz w:val="18"/>
                <w:szCs w:val="18"/>
              </w:rPr>
              <w:t>248,267</w:t>
            </w:r>
          </w:p>
        </w:tc>
        <w:tc>
          <w:tcPr>
            <w:tcW w:w="479" w:type="pct"/>
            <w:vAlign w:val="bottom"/>
          </w:tcPr>
          <w:p w14:paraId="424EA1A6" w14:textId="34FECD0D" w:rsidR="008B7790" w:rsidRPr="008B7790" w:rsidRDefault="008B7790" w:rsidP="00677F69">
            <w:pPr>
              <w:spacing w:before="0" w:after="0"/>
              <w:jc w:val="center"/>
              <w:rPr>
                <w:rFonts w:cs="Calibri"/>
                <w:color w:val="auto"/>
                <w:sz w:val="18"/>
                <w:szCs w:val="18"/>
              </w:rPr>
            </w:pPr>
            <w:r w:rsidRPr="008B7790">
              <w:rPr>
                <w:sz w:val="18"/>
                <w:szCs w:val="18"/>
              </w:rPr>
              <w:t>29.5</w:t>
            </w:r>
          </w:p>
        </w:tc>
        <w:tc>
          <w:tcPr>
            <w:tcW w:w="440" w:type="pct"/>
            <w:vAlign w:val="bottom"/>
          </w:tcPr>
          <w:p w14:paraId="5D9C3CC3" w14:textId="2E0D36BA" w:rsidR="008B7790" w:rsidRPr="008B7790" w:rsidRDefault="008B7790" w:rsidP="00677F69">
            <w:pPr>
              <w:spacing w:before="0" w:after="0"/>
              <w:jc w:val="center"/>
              <w:rPr>
                <w:rFonts w:cs="Calibri"/>
                <w:color w:val="auto"/>
                <w:sz w:val="18"/>
                <w:szCs w:val="18"/>
              </w:rPr>
            </w:pPr>
            <w:r w:rsidRPr="008B7790">
              <w:rPr>
                <w:sz w:val="18"/>
                <w:szCs w:val="18"/>
              </w:rPr>
              <w:t>13.8</w:t>
            </w:r>
          </w:p>
        </w:tc>
        <w:tc>
          <w:tcPr>
            <w:tcW w:w="439" w:type="pct"/>
            <w:vAlign w:val="bottom"/>
          </w:tcPr>
          <w:p w14:paraId="4DD3EE6A" w14:textId="4BF95097" w:rsidR="008B7790" w:rsidRPr="008B7790" w:rsidRDefault="008B7790" w:rsidP="00677F69">
            <w:pPr>
              <w:spacing w:before="0" w:after="0"/>
              <w:jc w:val="center"/>
              <w:rPr>
                <w:rFonts w:cs="Calibri"/>
                <w:color w:val="auto"/>
                <w:sz w:val="18"/>
                <w:szCs w:val="18"/>
              </w:rPr>
            </w:pPr>
            <w:r w:rsidRPr="008B7790">
              <w:rPr>
                <w:sz w:val="18"/>
                <w:szCs w:val="18"/>
              </w:rPr>
              <w:t>1760</w:t>
            </w:r>
          </w:p>
        </w:tc>
        <w:tc>
          <w:tcPr>
            <w:tcW w:w="706" w:type="pct"/>
            <w:vAlign w:val="bottom"/>
          </w:tcPr>
          <w:p w14:paraId="566E2FB9" w14:textId="36959496" w:rsidR="008B7790" w:rsidRPr="008B7790" w:rsidRDefault="008B7790" w:rsidP="00677F69">
            <w:pPr>
              <w:spacing w:before="0" w:after="0"/>
              <w:jc w:val="center"/>
              <w:rPr>
                <w:rFonts w:cs="Calibri"/>
                <w:color w:val="auto"/>
                <w:sz w:val="18"/>
                <w:szCs w:val="18"/>
              </w:rPr>
            </w:pPr>
            <w:r w:rsidRPr="008B7790">
              <w:rPr>
                <w:sz w:val="18"/>
                <w:szCs w:val="18"/>
              </w:rPr>
              <w:t>1480</w:t>
            </w:r>
          </w:p>
        </w:tc>
        <w:tc>
          <w:tcPr>
            <w:tcW w:w="790" w:type="pct"/>
            <w:vAlign w:val="bottom"/>
          </w:tcPr>
          <w:p w14:paraId="5C29B687" w14:textId="23720F44" w:rsidR="008B7790" w:rsidRPr="008B7790" w:rsidRDefault="008B7790" w:rsidP="00677F69">
            <w:pPr>
              <w:spacing w:before="0" w:after="0"/>
              <w:jc w:val="center"/>
              <w:rPr>
                <w:rFonts w:cs="Calibri"/>
                <w:color w:val="auto"/>
                <w:sz w:val="18"/>
                <w:szCs w:val="18"/>
              </w:rPr>
            </w:pPr>
            <w:r w:rsidRPr="008B7790">
              <w:rPr>
                <w:sz w:val="18"/>
                <w:szCs w:val="18"/>
              </w:rPr>
              <w:t>105</w:t>
            </w:r>
          </w:p>
        </w:tc>
        <w:tc>
          <w:tcPr>
            <w:tcW w:w="684" w:type="pct"/>
            <w:vAlign w:val="bottom"/>
          </w:tcPr>
          <w:p w14:paraId="474C4F94" w14:textId="69C07632" w:rsidR="008B7790" w:rsidRPr="008B7790" w:rsidRDefault="008B7790" w:rsidP="00677F69">
            <w:pPr>
              <w:spacing w:before="0" w:after="0"/>
              <w:jc w:val="center"/>
              <w:rPr>
                <w:rFonts w:cs="Calibri"/>
                <w:color w:val="auto"/>
                <w:sz w:val="18"/>
                <w:szCs w:val="18"/>
              </w:rPr>
            </w:pPr>
            <w:r w:rsidRPr="008B7790">
              <w:rPr>
                <w:sz w:val="18"/>
                <w:szCs w:val="18"/>
              </w:rPr>
              <w:t>39.9</w:t>
            </w:r>
          </w:p>
        </w:tc>
      </w:tr>
      <w:tr w:rsidR="008B7790" w:rsidRPr="00FE56D3" w14:paraId="59C6E973" w14:textId="77777777" w:rsidTr="00396077">
        <w:trPr>
          <w:trHeight w:val="397"/>
        </w:trPr>
        <w:tc>
          <w:tcPr>
            <w:tcW w:w="458" w:type="pct"/>
            <w:vMerge/>
            <w:vAlign w:val="center"/>
          </w:tcPr>
          <w:p w14:paraId="6E2FC671" w14:textId="77777777" w:rsidR="008B7790" w:rsidRPr="00FE56D3" w:rsidRDefault="008B7790" w:rsidP="00677F69">
            <w:pPr>
              <w:spacing w:before="0" w:after="0"/>
              <w:rPr>
                <w:sz w:val="19"/>
                <w:szCs w:val="19"/>
              </w:rPr>
            </w:pPr>
          </w:p>
        </w:tc>
        <w:tc>
          <w:tcPr>
            <w:tcW w:w="568" w:type="pct"/>
            <w:vAlign w:val="center"/>
          </w:tcPr>
          <w:p w14:paraId="39DCC7AD" w14:textId="77777777" w:rsidR="008B7790" w:rsidRPr="00FE56D3" w:rsidRDefault="008B7790" w:rsidP="00677F69">
            <w:pPr>
              <w:spacing w:before="0" w:after="0"/>
              <w:rPr>
                <w:sz w:val="19"/>
                <w:szCs w:val="19"/>
              </w:rPr>
            </w:pPr>
            <w:r>
              <w:rPr>
                <w:sz w:val="19"/>
                <w:szCs w:val="19"/>
              </w:rPr>
              <w:t>No</w:t>
            </w:r>
            <w:r w:rsidRPr="00FE56D3">
              <w:rPr>
                <w:sz w:val="19"/>
                <w:szCs w:val="19"/>
              </w:rPr>
              <w:t xml:space="preserve"> CEW</w:t>
            </w:r>
          </w:p>
        </w:tc>
        <w:tc>
          <w:tcPr>
            <w:tcW w:w="434" w:type="pct"/>
            <w:vAlign w:val="bottom"/>
          </w:tcPr>
          <w:p w14:paraId="65E4FD9B" w14:textId="256734BA" w:rsidR="008B7790" w:rsidRPr="008B7790" w:rsidRDefault="008B7790" w:rsidP="00677F69">
            <w:pPr>
              <w:spacing w:before="0" w:after="0"/>
              <w:jc w:val="center"/>
              <w:rPr>
                <w:rFonts w:cs="Calibri"/>
                <w:color w:val="auto"/>
                <w:kern w:val="0"/>
                <w:sz w:val="18"/>
                <w:szCs w:val="18"/>
              </w:rPr>
            </w:pPr>
            <w:r w:rsidRPr="008B7790">
              <w:rPr>
                <w:sz w:val="18"/>
                <w:szCs w:val="18"/>
              </w:rPr>
              <w:t>146,443</w:t>
            </w:r>
          </w:p>
        </w:tc>
        <w:tc>
          <w:tcPr>
            <w:tcW w:w="479" w:type="pct"/>
            <w:vAlign w:val="bottom"/>
          </w:tcPr>
          <w:p w14:paraId="1CE20145" w14:textId="0916A5DC" w:rsidR="008B7790" w:rsidRPr="008B7790" w:rsidRDefault="008B7790" w:rsidP="00677F69">
            <w:pPr>
              <w:spacing w:before="0" w:after="0"/>
              <w:jc w:val="center"/>
              <w:rPr>
                <w:rFonts w:cs="Calibri"/>
                <w:color w:val="auto"/>
                <w:kern w:val="0"/>
                <w:sz w:val="18"/>
                <w:szCs w:val="18"/>
              </w:rPr>
            </w:pPr>
            <w:r>
              <w:rPr>
                <w:sz w:val="18"/>
                <w:szCs w:val="18"/>
              </w:rPr>
              <w:t>17.9</w:t>
            </w:r>
          </w:p>
        </w:tc>
        <w:tc>
          <w:tcPr>
            <w:tcW w:w="440" w:type="pct"/>
            <w:vAlign w:val="bottom"/>
          </w:tcPr>
          <w:p w14:paraId="2557855E" w14:textId="44E5ABAF" w:rsidR="008B7790" w:rsidRPr="008B7790" w:rsidRDefault="008B7790" w:rsidP="00677F69">
            <w:pPr>
              <w:spacing w:before="0" w:after="0"/>
              <w:jc w:val="center"/>
              <w:rPr>
                <w:rFonts w:cs="Calibri"/>
                <w:color w:val="auto"/>
                <w:kern w:val="0"/>
                <w:sz w:val="18"/>
                <w:szCs w:val="18"/>
              </w:rPr>
            </w:pPr>
            <w:r w:rsidRPr="008B7790">
              <w:rPr>
                <w:sz w:val="18"/>
                <w:szCs w:val="18"/>
              </w:rPr>
              <w:t>11.6</w:t>
            </w:r>
          </w:p>
        </w:tc>
        <w:tc>
          <w:tcPr>
            <w:tcW w:w="439" w:type="pct"/>
            <w:vAlign w:val="bottom"/>
          </w:tcPr>
          <w:p w14:paraId="29A41DB3" w14:textId="1D9C915C" w:rsidR="008B7790" w:rsidRPr="008B7790" w:rsidRDefault="008B7790" w:rsidP="00677F69">
            <w:pPr>
              <w:spacing w:before="0" w:after="0"/>
              <w:jc w:val="center"/>
              <w:rPr>
                <w:rFonts w:cs="Calibri"/>
                <w:color w:val="auto"/>
                <w:kern w:val="0"/>
                <w:sz w:val="18"/>
                <w:szCs w:val="18"/>
              </w:rPr>
            </w:pPr>
            <w:r w:rsidRPr="008B7790">
              <w:rPr>
                <w:sz w:val="18"/>
                <w:szCs w:val="18"/>
              </w:rPr>
              <w:t>1035</w:t>
            </w:r>
          </w:p>
        </w:tc>
        <w:tc>
          <w:tcPr>
            <w:tcW w:w="706" w:type="pct"/>
            <w:vAlign w:val="bottom"/>
          </w:tcPr>
          <w:p w14:paraId="1814187F" w14:textId="1A813E5B" w:rsidR="008B7790" w:rsidRPr="008B7790" w:rsidRDefault="008B7790" w:rsidP="00677F69">
            <w:pPr>
              <w:spacing w:before="0" w:after="0"/>
              <w:jc w:val="center"/>
              <w:rPr>
                <w:rFonts w:cs="Calibri"/>
                <w:color w:val="auto"/>
                <w:kern w:val="0"/>
                <w:sz w:val="18"/>
                <w:szCs w:val="18"/>
              </w:rPr>
            </w:pPr>
            <w:r w:rsidRPr="008B7790">
              <w:rPr>
                <w:sz w:val="18"/>
                <w:szCs w:val="18"/>
              </w:rPr>
              <w:t>795</w:t>
            </w:r>
          </w:p>
        </w:tc>
        <w:tc>
          <w:tcPr>
            <w:tcW w:w="790" w:type="pct"/>
            <w:vAlign w:val="bottom"/>
          </w:tcPr>
          <w:p w14:paraId="55FC8A04" w14:textId="6B41EAEB" w:rsidR="008B7790" w:rsidRPr="008B7790" w:rsidRDefault="008B7790" w:rsidP="00677F69">
            <w:pPr>
              <w:spacing w:before="0" w:after="0"/>
              <w:jc w:val="center"/>
              <w:rPr>
                <w:rFonts w:cs="Calibri"/>
                <w:color w:val="auto"/>
                <w:kern w:val="0"/>
                <w:sz w:val="18"/>
                <w:szCs w:val="18"/>
              </w:rPr>
            </w:pPr>
            <w:r w:rsidRPr="008B7790">
              <w:rPr>
                <w:sz w:val="18"/>
                <w:szCs w:val="18"/>
              </w:rPr>
              <w:t>61</w:t>
            </w:r>
          </w:p>
        </w:tc>
        <w:tc>
          <w:tcPr>
            <w:tcW w:w="684" w:type="pct"/>
            <w:vAlign w:val="bottom"/>
          </w:tcPr>
          <w:p w14:paraId="5447990A" w14:textId="5ADE2C9C" w:rsidR="008B7790" w:rsidRPr="008B7790" w:rsidRDefault="008B7790" w:rsidP="00677F69">
            <w:pPr>
              <w:spacing w:before="0" w:after="0"/>
              <w:jc w:val="center"/>
              <w:rPr>
                <w:rFonts w:cs="Calibri"/>
                <w:color w:val="auto"/>
                <w:kern w:val="0"/>
                <w:sz w:val="18"/>
                <w:szCs w:val="18"/>
              </w:rPr>
            </w:pPr>
            <w:r w:rsidRPr="008B7790">
              <w:rPr>
                <w:sz w:val="18"/>
                <w:szCs w:val="18"/>
              </w:rPr>
              <w:t>22.5</w:t>
            </w:r>
          </w:p>
        </w:tc>
      </w:tr>
      <w:tr w:rsidR="008B7790" w:rsidRPr="00FE56D3" w14:paraId="5E984A88" w14:textId="77777777" w:rsidTr="00396077">
        <w:trPr>
          <w:trHeight w:val="397"/>
        </w:trPr>
        <w:tc>
          <w:tcPr>
            <w:tcW w:w="458" w:type="pct"/>
            <w:vMerge/>
            <w:vAlign w:val="center"/>
          </w:tcPr>
          <w:p w14:paraId="3EF6D24B" w14:textId="77777777" w:rsidR="008B7790" w:rsidRPr="00FE56D3" w:rsidRDefault="008B7790" w:rsidP="00677F69">
            <w:pPr>
              <w:spacing w:before="0" w:after="0"/>
              <w:rPr>
                <w:sz w:val="19"/>
                <w:szCs w:val="19"/>
              </w:rPr>
            </w:pPr>
          </w:p>
        </w:tc>
        <w:tc>
          <w:tcPr>
            <w:tcW w:w="568" w:type="pct"/>
            <w:vAlign w:val="center"/>
          </w:tcPr>
          <w:p w14:paraId="1DEE6835" w14:textId="77777777" w:rsidR="008B7790" w:rsidRPr="00FE56D3" w:rsidRDefault="008B7790" w:rsidP="00677F69">
            <w:pPr>
              <w:spacing w:before="0" w:after="0"/>
              <w:rPr>
                <w:sz w:val="19"/>
                <w:szCs w:val="19"/>
              </w:rPr>
            </w:pPr>
            <w:r>
              <w:rPr>
                <w:sz w:val="19"/>
                <w:szCs w:val="19"/>
              </w:rPr>
              <w:t>No</w:t>
            </w:r>
            <w:r w:rsidRPr="00FE56D3">
              <w:rPr>
                <w:sz w:val="19"/>
                <w:szCs w:val="19"/>
              </w:rPr>
              <w:t xml:space="preserve"> eWater</w:t>
            </w:r>
          </w:p>
        </w:tc>
        <w:tc>
          <w:tcPr>
            <w:tcW w:w="434" w:type="pct"/>
            <w:vAlign w:val="bottom"/>
          </w:tcPr>
          <w:p w14:paraId="5E206E60" w14:textId="1862449A" w:rsidR="008B7790" w:rsidRPr="008B7790" w:rsidRDefault="008B7790" w:rsidP="00677F69">
            <w:pPr>
              <w:spacing w:before="0" w:after="0"/>
              <w:jc w:val="center"/>
              <w:rPr>
                <w:rFonts w:cs="Calibri"/>
                <w:color w:val="auto"/>
                <w:sz w:val="18"/>
                <w:szCs w:val="18"/>
              </w:rPr>
            </w:pPr>
            <w:r w:rsidRPr="008B7790">
              <w:rPr>
                <w:sz w:val="18"/>
                <w:szCs w:val="18"/>
              </w:rPr>
              <w:t>130,406</w:t>
            </w:r>
          </w:p>
        </w:tc>
        <w:tc>
          <w:tcPr>
            <w:tcW w:w="479" w:type="pct"/>
            <w:vAlign w:val="bottom"/>
          </w:tcPr>
          <w:p w14:paraId="1D3750C3" w14:textId="0CEE78F4" w:rsidR="008B7790" w:rsidRPr="008B7790" w:rsidRDefault="008B7790" w:rsidP="00677F69">
            <w:pPr>
              <w:spacing w:before="0" w:after="0"/>
              <w:jc w:val="center"/>
              <w:rPr>
                <w:rFonts w:cs="Calibri"/>
                <w:color w:val="auto"/>
                <w:sz w:val="18"/>
                <w:szCs w:val="18"/>
              </w:rPr>
            </w:pPr>
            <w:r w:rsidRPr="008B7790">
              <w:rPr>
                <w:sz w:val="18"/>
                <w:szCs w:val="18"/>
              </w:rPr>
              <w:t>16.0</w:t>
            </w:r>
          </w:p>
        </w:tc>
        <w:tc>
          <w:tcPr>
            <w:tcW w:w="440" w:type="pct"/>
            <w:vAlign w:val="bottom"/>
          </w:tcPr>
          <w:p w14:paraId="6E22144A" w14:textId="33A2D42D" w:rsidR="008B7790" w:rsidRPr="008B7790" w:rsidRDefault="008B7790" w:rsidP="00677F69">
            <w:pPr>
              <w:spacing w:before="0" w:after="0"/>
              <w:jc w:val="center"/>
              <w:rPr>
                <w:rFonts w:cs="Calibri"/>
                <w:color w:val="auto"/>
                <w:sz w:val="18"/>
                <w:szCs w:val="18"/>
              </w:rPr>
            </w:pPr>
            <w:r w:rsidRPr="008B7790">
              <w:rPr>
                <w:sz w:val="18"/>
                <w:szCs w:val="18"/>
              </w:rPr>
              <w:t>11.2</w:t>
            </w:r>
          </w:p>
        </w:tc>
        <w:tc>
          <w:tcPr>
            <w:tcW w:w="439" w:type="pct"/>
            <w:vAlign w:val="bottom"/>
          </w:tcPr>
          <w:p w14:paraId="2C7157B7" w14:textId="08B28A48" w:rsidR="008B7790" w:rsidRPr="008B7790" w:rsidRDefault="008B7790" w:rsidP="00677F69">
            <w:pPr>
              <w:spacing w:before="0" w:after="0"/>
              <w:jc w:val="center"/>
              <w:rPr>
                <w:rFonts w:cs="Calibri"/>
                <w:color w:val="auto"/>
                <w:sz w:val="18"/>
                <w:szCs w:val="18"/>
              </w:rPr>
            </w:pPr>
            <w:r w:rsidRPr="008B7790">
              <w:rPr>
                <w:sz w:val="18"/>
                <w:szCs w:val="18"/>
              </w:rPr>
              <w:t>919</w:t>
            </w:r>
          </w:p>
        </w:tc>
        <w:tc>
          <w:tcPr>
            <w:tcW w:w="706" w:type="pct"/>
            <w:vAlign w:val="bottom"/>
          </w:tcPr>
          <w:p w14:paraId="133ED2A3" w14:textId="446FAE05" w:rsidR="008B7790" w:rsidRPr="008B7790" w:rsidRDefault="008B7790" w:rsidP="00677F69">
            <w:pPr>
              <w:spacing w:before="0" w:after="0"/>
              <w:jc w:val="center"/>
              <w:rPr>
                <w:rFonts w:cs="Calibri"/>
                <w:color w:val="auto"/>
                <w:sz w:val="18"/>
                <w:szCs w:val="18"/>
              </w:rPr>
            </w:pPr>
            <w:r w:rsidRPr="008B7790">
              <w:rPr>
                <w:sz w:val="18"/>
                <w:szCs w:val="18"/>
              </w:rPr>
              <w:t>688</w:t>
            </w:r>
          </w:p>
        </w:tc>
        <w:tc>
          <w:tcPr>
            <w:tcW w:w="790" w:type="pct"/>
            <w:vAlign w:val="bottom"/>
          </w:tcPr>
          <w:p w14:paraId="6C2371CE" w14:textId="0B73C2B2" w:rsidR="008B7790" w:rsidRPr="008B7790" w:rsidRDefault="008B7790" w:rsidP="00677F69">
            <w:pPr>
              <w:spacing w:before="0" w:after="0"/>
              <w:jc w:val="center"/>
              <w:rPr>
                <w:rFonts w:cs="Calibri"/>
                <w:color w:val="auto"/>
                <w:sz w:val="18"/>
                <w:szCs w:val="18"/>
              </w:rPr>
            </w:pPr>
            <w:r w:rsidRPr="008B7790">
              <w:rPr>
                <w:sz w:val="18"/>
                <w:szCs w:val="18"/>
              </w:rPr>
              <w:t>54</w:t>
            </w:r>
          </w:p>
        </w:tc>
        <w:tc>
          <w:tcPr>
            <w:tcW w:w="684" w:type="pct"/>
            <w:vAlign w:val="bottom"/>
          </w:tcPr>
          <w:p w14:paraId="26D1EDB0" w14:textId="7300E813" w:rsidR="008B7790" w:rsidRPr="008B7790" w:rsidRDefault="008B7790" w:rsidP="00677F69">
            <w:pPr>
              <w:spacing w:before="0" w:after="0"/>
              <w:jc w:val="center"/>
              <w:rPr>
                <w:rFonts w:cs="Calibri"/>
                <w:color w:val="auto"/>
                <w:sz w:val="18"/>
                <w:szCs w:val="18"/>
              </w:rPr>
            </w:pPr>
            <w:r w:rsidRPr="008B7790">
              <w:rPr>
                <w:sz w:val="18"/>
                <w:szCs w:val="18"/>
              </w:rPr>
              <w:t>19.6</w:t>
            </w:r>
          </w:p>
        </w:tc>
      </w:tr>
      <w:tr w:rsidR="008B7790" w:rsidRPr="00FE56D3" w14:paraId="521434FC" w14:textId="77777777" w:rsidTr="00396077">
        <w:trPr>
          <w:trHeight w:val="397"/>
        </w:trPr>
        <w:tc>
          <w:tcPr>
            <w:tcW w:w="458" w:type="pct"/>
            <w:vMerge w:val="restart"/>
            <w:vAlign w:val="center"/>
          </w:tcPr>
          <w:p w14:paraId="13703C32" w14:textId="77777777" w:rsidR="008B7790" w:rsidRPr="00FE56D3" w:rsidRDefault="008B7790" w:rsidP="00677F69">
            <w:pPr>
              <w:spacing w:before="0" w:after="0"/>
              <w:rPr>
                <w:sz w:val="19"/>
                <w:szCs w:val="19"/>
              </w:rPr>
            </w:pPr>
            <w:r w:rsidRPr="00FE56D3">
              <w:rPr>
                <w:sz w:val="19"/>
                <w:szCs w:val="19"/>
              </w:rPr>
              <w:t>Barrage</w:t>
            </w:r>
          </w:p>
        </w:tc>
        <w:tc>
          <w:tcPr>
            <w:tcW w:w="568" w:type="pct"/>
            <w:vAlign w:val="center"/>
          </w:tcPr>
          <w:p w14:paraId="53C1F625" w14:textId="77777777" w:rsidR="008B7790" w:rsidRPr="00FE56D3" w:rsidRDefault="008B7790" w:rsidP="00677F69">
            <w:pPr>
              <w:spacing w:before="0" w:after="0"/>
              <w:rPr>
                <w:sz w:val="19"/>
                <w:szCs w:val="19"/>
              </w:rPr>
            </w:pPr>
            <w:r w:rsidRPr="00FE56D3">
              <w:rPr>
                <w:sz w:val="19"/>
                <w:szCs w:val="19"/>
              </w:rPr>
              <w:t xml:space="preserve">With all </w:t>
            </w:r>
            <w:r>
              <w:rPr>
                <w:sz w:val="19"/>
                <w:szCs w:val="19"/>
              </w:rPr>
              <w:t>w</w:t>
            </w:r>
            <w:r w:rsidRPr="00FE56D3">
              <w:rPr>
                <w:sz w:val="19"/>
                <w:szCs w:val="19"/>
              </w:rPr>
              <w:t>ater</w:t>
            </w:r>
          </w:p>
        </w:tc>
        <w:tc>
          <w:tcPr>
            <w:tcW w:w="434" w:type="pct"/>
            <w:vAlign w:val="bottom"/>
          </w:tcPr>
          <w:p w14:paraId="530CDB2F" w14:textId="04D410B3" w:rsidR="008B7790" w:rsidRPr="008B7790" w:rsidRDefault="008B7790" w:rsidP="00677F69">
            <w:pPr>
              <w:spacing w:before="0" w:after="0"/>
              <w:jc w:val="center"/>
              <w:rPr>
                <w:rFonts w:cs="Calibri"/>
                <w:color w:val="auto"/>
                <w:sz w:val="18"/>
                <w:szCs w:val="18"/>
              </w:rPr>
            </w:pPr>
            <w:r w:rsidRPr="008B7790">
              <w:rPr>
                <w:sz w:val="18"/>
                <w:szCs w:val="18"/>
              </w:rPr>
              <w:t>288,516</w:t>
            </w:r>
          </w:p>
        </w:tc>
        <w:tc>
          <w:tcPr>
            <w:tcW w:w="479" w:type="pct"/>
            <w:vAlign w:val="bottom"/>
          </w:tcPr>
          <w:p w14:paraId="2F416993" w14:textId="569156CD" w:rsidR="008B7790" w:rsidRPr="008B7790" w:rsidRDefault="008B7790" w:rsidP="00677F69">
            <w:pPr>
              <w:spacing w:before="0" w:after="0"/>
              <w:jc w:val="center"/>
              <w:rPr>
                <w:rFonts w:cs="Calibri"/>
                <w:color w:val="auto"/>
                <w:sz w:val="18"/>
                <w:szCs w:val="18"/>
              </w:rPr>
            </w:pPr>
            <w:r w:rsidRPr="008B7790">
              <w:rPr>
                <w:sz w:val="18"/>
                <w:szCs w:val="18"/>
              </w:rPr>
              <w:t>8.2</w:t>
            </w:r>
          </w:p>
        </w:tc>
        <w:tc>
          <w:tcPr>
            <w:tcW w:w="440" w:type="pct"/>
            <w:vAlign w:val="bottom"/>
          </w:tcPr>
          <w:p w14:paraId="7B7BFB86" w14:textId="20BBE405" w:rsidR="008B7790" w:rsidRPr="008B7790" w:rsidRDefault="008B7790" w:rsidP="00677F69">
            <w:pPr>
              <w:spacing w:before="0" w:after="0"/>
              <w:jc w:val="center"/>
              <w:rPr>
                <w:rFonts w:cs="Calibri"/>
                <w:color w:val="auto"/>
                <w:sz w:val="18"/>
                <w:szCs w:val="18"/>
              </w:rPr>
            </w:pPr>
            <w:r w:rsidRPr="008B7790">
              <w:rPr>
                <w:sz w:val="18"/>
                <w:szCs w:val="18"/>
              </w:rPr>
              <w:t>0.9</w:t>
            </w:r>
          </w:p>
        </w:tc>
        <w:tc>
          <w:tcPr>
            <w:tcW w:w="439" w:type="pct"/>
            <w:vAlign w:val="bottom"/>
          </w:tcPr>
          <w:p w14:paraId="5E6D3CB0" w14:textId="63275CB8" w:rsidR="008B7790" w:rsidRPr="008B7790" w:rsidRDefault="008B7790" w:rsidP="00677F69">
            <w:pPr>
              <w:spacing w:before="0" w:after="0"/>
              <w:jc w:val="center"/>
              <w:rPr>
                <w:rFonts w:cs="Calibri"/>
                <w:color w:val="auto"/>
                <w:sz w:val="18"/>
                <w:szCs w:val="18"/>
              </w:rPr>
            </w:pPr>
            <w:r w:rsidRPr="008B7790">
              <w:rPr>
                <w:sz w:val="18"/>
                <w:szCs w:val="18"/>
              </w:rPr>
              <w:t>395</w:t>
            </w:r>
          </w:p>
        </w:tc>
        <w:tc>
          <w:tcPr>
            <w:tcW w:w="706" w:type="pct"/>
            <w:vAlign w:val="bottom"/>
          </w:tcPr>
          <w:p w14:paraId="1FBE1344" w14:textId="781CF4ED" w:rsidR="008B7790" w:rsidRPr="008B7790" w:rsidRDefault="008B7790" w:rsidP="00677F69">
            <w:pPr>
              <w:spacing w:before="0" w:after="0"/>
              <w:jc w:val="center"/>
              <w:rPr>
                <w:rFonts w:cs="Calibri"/>
                <w:color w:val="auto"/>
                <w:sz w:val="18"/>
                <w:szCs w:val="18"/>
              </w:rPr>
            </w:pPr>
            <w:r w:rsidRPr="008B7790">
              <w:rPr>
                <w:sz w:val="18"/>
                <w:szCs w:val="18"/>
              </w:rPr>
              <w:t>832</w:t>
            </w:r>
          </w:p>
        </w:tc>
        <w:tc>
          <w:tcPr>
            <w:tcW w:w="790" w:type="pct"/>
            <w:vAlign w:val="bottom"/>
          </w:tcPr>
          <w:p w14:paraId="59F5DDAF" w14:textId="09ED327E" w:rsidR="008B7790" w:rsidRPr="008B7790" w:rsidRDefault="008B7790" w:rsidP="00677F69">
            <w:pPr>
              <w:spacing w:before="0" w:after="0"/>
              <w:jc w:val="center"/>
              <w:rPr>
                <w:rFonts w:cs="Calibri"/>
                <w:color w:val="auto"/>
                <w:sz w:val="18"/>
                <w:szCs w:val="18"/>
              </w:rPr>
            </w:pPr>
            <w:r w:rsidRPr="008B7790">
              <w:rPr>
                <w:sz w:val="18"/>
                <w:szCs w:val="18"/>
              </w:rPr>
              <w:t>62</w:t>
            </w:r>
          </w:p>
        </w:tc>
        <w:tc>
          <w:tcPr>
            <w:tcW w:w="684" w:type="pct"/>
            <w:vAlign w:val="bottom"/>
          </w:tcPr>
          <w:p w14:paraId="48467570" w14:textId="6BB6D221" w:rsidR="008B7790" w:rsidRPr="008B7790" w:rsidRDefault="008B7790" w:rsidP="00677F69">
            <w:pPr>
              <w:spacing w:before="0" w:after="0"/>
              <w:jc w:val="center"/>
              <w:rPr>
                <w:rFonts w:cs="Calibri"/>
                <w:color w:val="auto"/>
                <w:sz w:val="18"/>
                <w:szCs w:val="18"/>
              </w:rPr>
            </w:pPr>
            <w:r w:rsidRPr="008B7790">
              <w:rPr>
                <w:sz w:val="18"/>
                <w:szCs w:val="18"/>
              </w:rPr>
              <w:t>23.5</w:t>
            </w:r>
          </w:p>
        </w:tc>
      </w:tr>
      <w:tr w:rsidR="008B7790" w:rsidRPr="00FE56D3" w14:paraId="01A25E90" w14:textId="77777777" w:rsidTr="00396077">
        <w:trPr>
          <w:trHeight w:val="397"/>
        </w:trPr>
        <w:tc>
          <w:tcPr>
            <w:tcW w:w="458" w:type="pct"/>
            <w:vMerge/>
            <w:vAlign w:val="center"/>
          </w:tcPr>
          <w:p w14:paraId="6C418594" w14:textId="77777777" w:rsidR="008B7790" w:rsidRPr="00FE56D3" w:rsidRDefault="008B7790" w:rsidP="00677F69">
            <w:pPr>
              <w:spacing w:before="0" w:after="0"/>
              <w:rPr>
                <w:sz w:val="19"/>
                <w:szCs w:val="19"/>
              </w:rPr>
            </w:pPr>
          </w:p>
        </w:tc>
        <w:tc>
          <w:tcPr>
            <w:tcW w:w="568" w:type="pct"/>
            <w:vAlign w:val="center"/>
          </w:tcPr>
          <w:p w14:paraId="28AE7D65" w14:textId="77777777" w:rsidR="008B7790" w:rsidRPr="00FE56D3" w:rsidRDefault="008B7790" w:rsidP="00677F69">
            <w:pPr>
              <w:spacing w:before="0" w:after="0"/>
              <w:rPr>
                <w:sz w:val="19"/>
                <w:szCs w:val="19"/>
              </w:rPr>
            </w:pPr>
            <w:r>
              <w:rPr>
                <w:sz w:val="19"/>
                <w:szCs w:val="19"/>
              </w:rPr>
              <w:t xml:space="preserve">No </w:t>
            </w:r>
            <w:r w:rsidRPr="00FE56D3">
              <w:rPr>
                <w:sz w:val="19"/>
                <w:szCs w:val="19"/>
              </w:rPr>
              <w:t>CEW</w:t>
            </w:r>
          </w:p>
        </w:tc>
        <w:tc>
          <w:tcPr>
            <w:tcW w:w="434" w:type="pct"/>
            <w:vAlign w:val="bottom"/>
          </w:tcPr>
          <w:p w14:paraId="490D64A2" w14:textId="5FA82B55" w:rsidR="008B7790" w:rsidRPr="008B7790" w:rsidRDefault="008B7790" w:rsidP="00677F69">
            <w:pPr>
              <w:spacing w:before="0" w:after="0"/>
              <w:jc w:val="center"/>
              <w:rPr>
                <w:rFonts w:cs="Calibri"/>
                <w:color w:val="auto"/>
                <w:kern w:val="0"/>
                <w:sz w:val="18"/>
                <w:szCs w:val="18"/>
              </w:rPr>
            </w:pPr>
            <w:r w:rsidRPr="008B7790">
              <w:rPr>
                <w:sz w:val="18"/>
                <w:szCs w:val="18"/>
              </w:rPr>
              <w:t>36,884</w:t>
            </w:r>
          </w:p>
        </w:tc>
        <w:tc>
          <w:tcPr>
            <w:tcW w:w="479" w:type="pct"/>
            <w:vAlign w:val="bottom"/>
          </w:tcPr>
          <w:p w14:paraId="21DA65A2" w14:textId="519332B8" w:rsidR="008B7790" w:rsidRPr="008B7790" w:rsidRDefault="008B7790" w:rsidP="00677F69">
            <w:pPr>
              <w:spacing w:before="0" w:after="0"/>
              <w:jc w:val="center"/>
              <w:rPr>
                <w:rFonts w:cs="Calibri"/>
                <w:color w:val="auto"/>
                <w:kern w:val="0"/>
                <w:sz w:val="18"/>
                <w:szCs w:val="18"/>
              </w:rPr>
            </w:pPr>
            <w:r w:rsidRPr="008B7790">
              <w:rPr>
                <w:sz w:val="18"/>
                <w:szCs w:val="18"/>
              </w:rPr>
              <w:t>0.5</w:t>
            </w:r>
          </w:p>
        </w:tc>
        <w:tc>
          <w:tcPr>
            <w:tcW w:w="440" w:type="pct"/>
            <w:vAlign w:val="bottom"/>
          </w:tcPr>
          <w:p w14:paraId="5279B5F7" w14:textId="170DAAB1" w:rsidR="008B7790" w:rsidRPr="008B7790" w:rsidRDefault="008B7790" w:rsidP="00677F69">
            <w:pPr>
              <w:spacing w:before="0" w:after="0"/>
              <w:jc w:val="center"/>
              <w:rPr>
                <w:rFonts w:cs="Calibri"/>
                <w:color w:val="auto"/>
                <w:kern w:val="0"/>
                <w:sz w:val="18"/>
                <w:szCs w:val="18"/>
              </w:rPr>
            </w:pPr>
            <w:r w:rsidRPr="008B7790">
              <w:rPr>
                <w:sz w:val="18"/>
                <w:szCs w:val="18"/>
              </w:rPr>
              <w:t>0.2</w:t>
            </w:r>
          </w:p>
        </w:tc>
        <w:tc>
          <w:tcPr>
            <w:tcW w:w="439" w:type="pct"/>
            <w:vAlign w:val="bottom"/>
          </w:tcPr>
          <w:p w14:paraId="2246B4D3" w14:textId="025A06B8" w:rsidR="008B7790" w:rsidRPr="008B7790" w:rsidRDefault="008B7790" w:rsidP="00677F69">
            <w:pPr>
              <w:spacing w:before="0" w:after="0"/>
              <w:jc w:val="center"/>
              <w:rPr>
                <w:rFonts w:cs="Calibri"/>
                <w:color w:val="auto"/>
                <w:kern w:val="0"/>
                <w:sz w:val="18"/>
                <w:szCs w:val="18"/>
              </w:rPr>
            </w:pPr>
            <w:r w:rsidRPr="008B7790">
              <w:rPr>
                <w:sz w:val="18"/>
                <w:szCs w:val="18"/>
              </w:rPr>
              <w:t>20</w:t>
            </w:r>
          </w:p>
        </w:tc>
        <w:tc>
          <w:tcPr>
            <w:tcW w:w="706" w:type="pct"/>
            <w:vAlign w:val="bottom"/>
          </w:tcPr>
          <w:p w14:paraId="0D93D24E" w14:textId="52C08015" w:rsidR="008B7790" w:rsidRPr="008B7790" w:rsidRDefault="008B7790" w:rsidP="00677F69">
            <w:pPr>
              <w:spacing w:before="0" w:after="0"/>
              <w:jc w:val="center"/>
              <w:rPr>
                <w:rFonts w:cs="Calibri"/>
                <w:color w:val="auto"/>
                <w:kern w:val="0"/>
                <w:sz w:val="18"/>
                <w:szCs w:val="18"/>
              </w:rPr>
            </w:pPr>
            <w:r w:rsidRPr="008B7790">
              <w:rPr>
                <w:sz w:val="18"/>
                <w:szCs w:val="18"/>
              </w:rPr>
              <w:t>84</w:t>
            </w:r>
          </w:p>
        </w:tc>
        <w:tc>
          <w:tcPr>
            <w:tcW w:w="790" w:type="pct"/>
            <w:vAlign w:val="bottom"/>
          </w:tcPr>
          <w:p w14:paraId="7AF7B108" w14:textId="3DFE8B29" w:rsidR="008B7790" w:rsidRPr="008B7790" w:rsidRDefault="008B7790" w:rsidP="00677F69">
            <w:pPr>
              <w:spacing w:before="0" w:after="0"/>
              <w:jc w:val="center"/>
              <w:rPr>
                <w:rFonts w:cs="Calibri"/>
                <w:color w:val="auto"/>
                <w:kern w:val="0"/>
                <w:sz w:val="18"/>
                <w:szCs w:val="18"/>
              </w:rPr>
            </w:pPr>
            <w:r w:rsidRPr="008B7790">
              <w:rPr>
                <w:sz w:val="18"/>
                <w:szCs w:val="18"/>
              </w:rPr>
              <w:t>5</w:t>
            </w:r>
            <w:r w:rsidRPr="008B7790" w:rsidDel="00C8786A">
              <w:rPr>
                <w:rFonts w:cs="Calibri"/>
                <w:color w:val="auto"/>
                <w:sz w:val="18"/>
                <w:szCs w:val="18"/>
              </w:rPr>
              <w:t xml:space="preserve"> </w:t>
            </w:r>
          </w:p>
        </w:tc>
        <w:tc>
          <w:tcPr>
            <w:tcW w:w="684" w:type="pct"/>
            <w:vAlign w:val="bottom"/>
          </w:tcPr>
          <w:p w14:paraId="0B4F70AD" w14:textId="692D7317" w:rsidR="008B7790" w:rsidRPr="008B7790" w:rsidRDefault="008B7790" w:rsidP="00677F69">
            <w:pPr>
              <w:spacing w:before="0" w:after="0"/>
              <w:jc w:val="center"/>
              <w:rPr>
                <w:rFonts w:cs="Calibri"/>
                <w:color w:val="auto"/>
                <w:kern w:val="0"/>
                <w:sz w:val="18"/>
                <w:szCs w:val="18"/>
              </w:rPr>
            </w:pPr>
            <w:r w:rsidRPr="008B7790">
              <w:rPr>
                <w:sz w:val="18"/>
                <w:szCs w:val="18"/>
              </w:rPr>
              <w:t>1.9</w:t>
            </w:r>
          </w:p>
        </w:tc>
      </w:tr>
      <w:tr w:rsidR="008B7790" w:rsidRPr="00FE56D3" w14:paraId="15376E49" w14:textId="77777777" w:rsidTr="00396077">
        <w:trPr>
          <w:trHeight w:val="397"/>
        </w:trPr>
        <w:tc>
          <w:tcPr>
            <w:tcW w:w="458" w:type="pct"/>
            <w:vMerge/>
            <w:vAlign w:val="center"/>
          </w:tcPr>
          <w:p w14:paraId="4D127940" w14:textId="77777777" w:rsidR="008B7790" w:rsidRPr="00FE56D3" w:rsidRDefault="008B7790" w:rsidP="00677F69">
            <w:pPr>
              <w:spacing w:before="0" w:after="0"/>
              <w:rPr>
                <w:sz w:val="19"/>
                <w:szCs w:val="19"/>
              </w:rPr>
            </w:pPr>
          </w:p>
        </w:tc>
        <w:tc>
          <w:tcPr>
            <w:tcW w:w="568" w:type="pct"/>
            <w:vAlign w:val="center"/>
          </w:tcPr>
          <w:p w14:paraId="58C27C45" w14:textId="77777777" w:rsidR="008B7790" w:rsidRPr="00FE56D3" w:rsidRDefault="008B7790" w:rsidP="00677F69">
            <w:pPr>
              <w:spacing w:before="0" w:after="0"/>
              <w:rPr>
                <w:sz w:val="19"/>
                <w:szCs w:val="19"/>
              </w:rPr>
            </w:pPr>
            <w:r>
              <w:rPr>
                <w:sz w:val="19"/>
                <w:szCs w:val="19"/>
              </w:rPr>
              <w:t xml:space="preserve">No </w:t>
            </w:r>
            <w:r w:rsidRPr="00FE56D3">
              <w:rPr>
                <w:sz w:val="19"/>
                <w:szCs w:val="19"/>
              </w:rPr>
              <w:t>eWater</w:t>
            </w:r>
          </w:p>
        </w:tc>
        <w:tc>
          <w:tcPr>
            <w:tcW w:w="434" w:type="pct"/>
            <w:vAlign w:val="bottom"/>
          </w:tcPr>
          <w:p w14:paraId="38263736" w14:textId="0FA53956" w:rsidR="008B7790" w:rsidRPr="008B7790" w:rsidRDefault="008B7790" w:rsidP="00677F69">
            <w:pPr>
              <w:spacing w:before="0" w:after="0"/>
              <w:jc w:val="center"/>
              <w:rPr>
                <w:rFonts w:cs="Calibri"/>
                <w:color w:val="auto"/>
                <w:sz w:val="18"/>
                <w:szCs w:val="18"/>
              </w:rPr>
            </w:pPr>
            <w:r w:rsidRPr="008B7790">
              <w:rPr>
                <w:sz w:val="18"/>
                <w:szCs w:val="18"/>
              </w:rPr>
              <w:t>31,031</w:t>
            </w:r>
          </w:p>
        </w:tc>
        <w:tc>
          <w:tcPr>
            <w:tcW w:w="479" w:type="pct"/>
            <w:vAlign w:val="bottom"/>
          </w:tcPr>
          <w:p w14:paraId="2D20EBC9" w14:textId="50955502" w:rsidR="008B7790" w:rsidRPr="008B7790" w:rsidRDefault="008B7790" w:rsidP="00677F69">
            <w:pPr>
              <w:spacing w:before="0" w:after="0"/>
              <w:jc w:val="center"/>
              <w:rPr>
                <w:rFonts w:cs="Calibri"/>
                <w:color w:val="auto"/>
                <w:sz w:val="18"/>
                <w:szCs w:val="18"/>
              </w:rPr>
            </w:pPr>
            <w:r w:rsidRPr="008B7790">
              <w:rPr>
                <w:sz w:val="18"/>
                <w:szCs w:val="18"/>
              </w:rPr>
              <w:t>0.3</w:t>
            </w:r>
          </w:p>
        </w:tc>
        <w:tc>
          <w:tcPr>
            <w:tcW w:w="440" w:type="pct"/>
            <w:vAlign w:val="bottom"/>
          </w:tcPr>
          <w:p w14:paraId="63023756" w14:textId="0BEB137C" w:rsidR="008B7790" w:rsidRPr="008B7790" w:rsidRDefault="008B7790" w:rsidP="00677F69">
            <w:pPr>
              <w:spacing w:before="0" w:after="0"/>
              <w:jc w:val="center"/>
              <w:rPr>
                <w:rFonts w:cs="Calibri"/>
                <w:color w:val="auto"/>
                <w:sz w:val="18"/>
                <w:szCs w:val="18"/>
              </w:rPr>
            </w:pPr>
            <w:r w:rsidRPr="008B7790">
              <w:rPr>
                <w:sz w:val="18"/>
                <w:szCs w:val="18"/>
              </w:rPr>
              <w:t>0.2</w:t>
            </w:r>
          </w:p>
        </w:tc>
        <w:tc>
          <w:tcPr>
            <w:tcW w:w="439" w:type="pct"/>
            <w:vAlign w:val="bottom"/>
          </w:tcPr>
          <w:p w14:paraId="6711DCB8" w14:textId="545722C9" w:rsidR="008B7790" w:rsidRPr="008B7790" w:rsidRDefault="008B7790" w:rsidP="00677F69">
            <w:pPr>
              <w:spacing w:before="0" w:after="0"/>
              <w:jc w:val="center"/>
              <w:rPr>
                <w:rFonts w:cs="Calibri"/>
                <w:color w:val="auto"/>
                <w:sz w:val="18"/>
                <w:szCs w:val="18"/>
              </w:rPr>
            </w:pPr>
            <w:r w:rsidRPr="008B7790">
              <w:rPr>
                <w:sz w:val="18"/>
                <w:szCs w:val="18"/>
              </w:rPr>
              <w:t>16</w:t>
            </w:r>
          </w:p>
        </w:tc>
        <w:tc>
          <w:tcPr>
            <w:tcW w:w="706" w:type="pct"/>
            <w:vAlign w:val="bottom"/>
          </w:tcPr>
          <w:p w14:paraId="334D7010" w14:textId="2DDE4F57" w:rsidR="008B7790" w:rsidRPr="008B7790" w:rsidRDefault="008B7790" w:rsidP="00677F69">
            <w:pPr>
              <w:spacing w:before="0" w:after="0"/>
              <w:jc w:val="center"/>
              <w:rPr>
                <w:color w:val="auto"/>
                <w:sz w:val="18"/>
                <w:szCs w:val="18"/>
              </w:rPr>
            </w:pPr>
            <w:r w:rsidRPr="008B7790">
              <w:rPr>
                <w:sz w:val="18"/>
                <w:szCs w:val="18"/>
              </w:rPr>
              <w:t>70</w:t>
            </w:r>
          </w:p>
        </w:tc>
        <w:tc>
          <w:tcPr>
            <w:tcW w:w="790" w:type="pct"/>
            <w:vAlign w:val="bottom"/>
          </w:tcPr>
          <w:p w14:paraId="3CD0DAE6" w14:textId="449679AC" w:rsidR="008B7790" w:rsidRPr="008B7790" w:rsidRDefault="008B7790" w:rsidP="00677F69">
            <w:pPr>
              <w:spacing w:before="0" w:after="0"/>
              <w:jc w:val="center"/>
              <w:rPr>
                <w:rFonts w:cs="Calibri"/>
                <w:color w:val="auto"/>
                <w:sz w:val="18"/>
                <w:szCs w:val="18"/>
              </w:rPr>
            </w:pPr>
            <w:r w:rsidRPr="008B7790">
              <w:rPr>
                <w:sz w:val="18"/>
                <w:szCs w:val="18"/>
              </w:rPr>
              <w:t>4</w:t>
            </w:r>
            <w:r w:rsidRPr="008B7790" w:rsidDel="00C8786A">
              <w:rPr>
                <w:rFonts w:cs="Calibri"/>
                <w:color w:val="auto"/>
                <w:sz w:val="18"/>
                <w:szCs w:val="18"/>
              </w:rPr>
              <w:t xml:space="preserve"> </w:t>
            </w:r>
          </w:p>
        </w:tc>
        <w:tc>
          <w:tcPr>
            <w:tcW w:w="684" w:type="pct"/>
            <w:vAlign w:val="bottom"/>
          </w:tcPr>
          <w:p w14:paraId="336A6F2A" w14:textId="5BC696BF" w:rsidR="008B7790" w:rsidRPr="008B7790" w:rsidRDefault="008B7790" w:rsidP="00677F69">
            <w:pPr>
              <w:spacing w:before="0" w:after="0"/>
              <w:jc w:val="center"/>
              <w:rPr>
                <w:rFonts w:cs="Calibri"/>
                <w:color w:val="auto"/>
                <w:sz w:val="18"/>
                <w:szCs w:val="18"/>
              </w:rPr>
            </w:pPr>
            <w:r w:rsidRPr="008B7790">
              <w:rPr>
                <w:sz w:val="18"/>
                <w:szCs w:val="18"/>
              </w:rPr>
              <w:t>1.5</w:t>
            </w:r>
          </w:p>
        </w:tc>
      </w:tr>
      <w:tr w:rsidR="008B7790" w:rsidRPr="00FE56D3" w14:paraId="55F4BC49" w14:textId="77777777" w:rsidTr="00396077">
        <w:trPr>
          <w:trHeight w:val="397"/>
        </w:trPr>
        <w:tc>
          <w:tcPr>
            <w:tcW w:w="458" w:type="pct"/>
            <w:vMerge w:val="restart"/>
            <w:vAlign w:val="center"/>
          </w:tcPr>
          <w:p w14:paraId="0A8E99B3" w14:textId="77777777" w:rsidR="008B7790" w:rsidRPr="00FE56D3" w:rsidRDefault="008B7790" w:rsidP="00677F69">
            <w:pPr>
              <w:spacing w:before="0" w:after="0"/>
              <w:rPr>
                <w:sz w:val="19"/>
                <w:szCs w:val="19"/>
              </w:rPr>
            </w:pPr>
            <w:r w:rsidRPr="00FE56D3">
              <w:rPr>
                <w:sz w:val="19"/>
                <w:szCs w:val="19"/>
              </w:rPr>
              <w:t>Murray Mouth</w:t>
            </w:r>
          </w:p>
        </w:tc>
        <w:tc>
          <w:tcPr>
            <w:tcW w:w="568" w:type="pct"/>
            <w:vAlign w:val="center"/>
          </w:tcPr>
          <w:p w14:paraId="1BAB1DD4" w14:textId="77777777" w:rsidR="008B7790" w:rsidRPr="00FE56D3" w:rsidRDefault="008B7790" w:rsidP="00677F69">
            <w:pPr>
              <w:spacing w:before="0" w:after="0"/>
              <w:rPr>
                <w:sz w:val="19"/>
                <w:szCs w:val="19"/>
              </w:rPr>
            </w:pPr>
            <w:r w:rsidRPr="00FE56D3">
              <w:rPr>
                <w:sz w:val="19"/>
                <w:szCs w:val="19"/>
              </w:rPr>
              <w:t xml:space="preserve">With all </w:t>
            </w:r>
            <w:r>
              <w:rPr>
                <w:sz w:val="19"/>
                <w:szCs w:val="19"/>
              </w:rPr>
              <w:t>w</w:t>
            </w:r>
            <w:r w:rsidRPr="00FE56D3">
              <w:rPr>
                <w:sz w:val="19"/>
                <w:szCs w:val="19"/>
              </w:rPr>
              <w:t>ater</w:t>
            </w:r>
          </w:p>
        </w:tc>
        <w:tc>
          <w:tcPr>
            <w:tcW w:w="434" w:type="pct"/>
            <w:vAlign w:val="bottom"/>
          </w:tcPr>
          <w:p w14:paraId="0EA41188" w14:textId="3824EDF7" w:rsidR="008B7790" w:rsidRPr="008B7790" w:rsidRDefault="008B7790" w:rsidP="00677F69">
            <w:pPr>
              <w:spacing w:before="0" w:after="0"/>
              <w:jc w:val="center"/>
              <w:rPr>
                <w:rFonts w:cs="Calibri"/>
                <w:color w:val="auto"/>
                <w:sz w:val="18"/>
                <w:szCs w:val="18"/>
              </w:rPr>
            </w:pPr>
            <w:r w:rsidRPr="008B7790">
              <w:rPr>
                <w:sz w:val="18"/>
                <w:szCs w:val="18"/>
              </w:rPr>
              <w:t>-1</w:t>
            </w:r>
            <w:r>
              <w:rPr>
                <w:sz w:val="18"/>
                <w:szCs w:val="18"/>
              </w:rPr>
              <w:t>,</w:t>
            </w:r>
            <w:r w:rsidRPr="008B7790">
              <w:rPr>
                <w:sz w:val="18"/>
                <w:szCs w:val="18"/>
              </w:rPr>
              <w:t>850</w:t>
            </w:r>
            <w:r>
              <w:rPr>
                <w:sz w:val="18"/>
                <w:szCs w:val="18"/>
              </w:rPr>
              <w:t>,</w:t>
            </w:r>
            <w:r w:rsidRPr="008B7790">
              <w:rPr>
                <w:sz w:val="18"/>
                <w:szCs w:val="18"/>
              </w:rPr>
              <w:t>028</w:t>
            </w:r>
          </w:p>
        </w:tc>
        <w:tc>
          <w:tcPr>
            <w:tcW w:w="479" w:type="pct"/>
            <w:vAlign w:val="bottom"/>
          </w:tcPr>
          <w:p w14:paraId="474134C5" w14:textId="0D589879" w:rsidR="008B7790" w:rsidRPr="008B7790" w:rsidRDefault="008B7790" w:rsidP="00677F69">
            <w:pPr>
              <w:spacing w:before="0" w:after="0"/>
              <w:jc w:val="center"/>
              <w:rPr>
                <w:rFonts w:cs="Calibri"/>
                <w:color w:val="auto"/>
                <w:sz w:val="18"/>
                <w:szCs w:val="18"/>
              </w:rPr>
            </w:pPr>
            <w:r w:rsidRPr="008B7790">
              <w:rPr>
                <w:sz w:val="18"/>
                <w:szCs w:val="18"/>
              </w:rPr>
              <w:t>9.4</w:t>
            </w:r>
          </w:p>
        </w:tc>
        <w:tc>
          <w:tcPr>
            <w:tcW w:w="440" w:type="pct"/>
            <w:vAlign w:val="bottom"/>
          </w:tcPr>
          <w:p w14:paraId="2B924368" w14:textId="1ADE1E38" w:rsidR="008B7790" w:rsidRPr="008B7790" w:rsidRDefault="008B7790" w:rsidP="00677F69">
            <w:pPr>
              <w:spacing w:before="0" w:after="0"/>
              <w:jc w:val="center"/>
              <w:rPr>
                <w:rFonts w:cs="Calibri"/>
                <w:color w:val="auto"/>
                <w:sz w:val="18"/>
                <w:szCs w:val="18"/>
              </w:rPr>
            </w:pPr>
            <w:r w:rsidRPr="008B7790">
              <w:rPr>
                <w:sz w:val="18"/>
                <w:szCs w:val="18"/>
              </w:rPr>
              <w:t>0.2</w:t>
            </w:r>
          </w:p>
        </w:tc>
        <w:tc>
          <w:tcPr>
            <w:tcW w:w="439" w:type="pct"/>
            <w:vAlign w:val="bottom"/>
          </w:tcPr>
          <w:p w14:paraId="2530BE74" w14:textId="563A1007" w:rsidR="008B7790" w:rsidRPr="008B7790" w:rsidRDefault="008B7790" w:rsidP="00677F69">
            <w:pPr>
              <w:spacing w:before="0" w:after="0"/>
              <w:jc w:val="center"/>
              <w:rPr>
                <w:rFonts w:cs="Calibri"/>
                <w:color w:val="auto"/>
                <w:sz w:val="18"/>
                <w:szCs w:val="18"/>
              </w:rPr>
            </w:pPr>
            <w:r w:rsidRPr="008B7790">
              <w:rPr>
                <w:sz w:val="18"/>
                <w:szCs w:val="18"/>
              </w:rPr>
              <w:t>155</w:t>
            </w:r>
          </w:p>
        </w:tc>
        <w:tc>
          <w:tcPr>
            <w:tcW w:w="706" w:type="pct"/>
            <w:vAlign w:val="bottom"/>
          </w:tcPr>
          <w:p w14:paraId="5A074187" w14:textId="0C85B38A" w:rsidR="008B7790" w:rsidRPr="008B7790" w:rsidRDefault="008B7790" w:rsidP="00677F69">
            <w:pPr>
              <w:spacing w:before="0" w:after="0"/>
              <w:jc w:val="center"/>
              <w:rPr>
                <w:rFonts w:cs="Calibri"/>
                <w:color w:val="auto"/>
                <w:sz w:val="18"/>
                <w:szCs w:val="18"/>
              </w:rPr>
            </w:pPr>
            <w:r w:rsidRPr="008B7790">
              <w:rPr>
                <w:sz w:val="18"/>
                <w:szCs w:val="18"/>
              </w:rPr>
              <w:t>538</w:t>
            </w:r>
          </w:p>
        </w:tc>
        <w:tc>
          <w:tcPr>
            <w:tcW w:w="790" w:type="pct"/>
            <w:vAlign w:val="bottom"/>
          </w:tcPr>
          <w:p w14:paraId="6369CCA1" w14:textId="00456431" w:rsidR="008B7790" w:rsidRPr="008B7790" w:rsidRDefault="008B7790" w:rsidP="00677F69">
            <w:pPr>
              <w:spacing w:before="0" w:after="0"/>
              <w:jc w:val="center"/>
              <w:rPr>
                <w:rFonts w:cs="Calibri"/>
                <w:color w:val="auto"/>
                <w:sz w:val="18"/>
                <w:szCs w:val="18"/>
              </w:rPr>
            </w:pPr>
            <w:r w:rsidRPr="008B7790">
              <w:rPr>
                <w:sz w:val="18"/>
                <w:szCs w:val="18"/>
              </w:rPr>
              <w:t>44</w:t>
            </w:r>
          </w:p>
        </w:tc>
        <w:tc>
          <w:tcPr>
            <w:tcW w:w="684" w:type="pct"/>
            <w:vAlign w:val="bottom"/>
          </w:tcPr>
          <w:p w14:paraId="6CDC2E9A" w14:textId="012161FA" w:rsidR="008B7790" w:rsidRPr="008B7790" w:rsidRDefault="008B7790" w:rsidP="00677F69">
            <w:pPr>
              <w:spacing w:before="0" w:after="0"/>
              <w:jc w:val="center"/>
              <w:rPr>
                <w:rFonts w:cs="Calibri"/>
                <w:color w:val="auto"/>
                <w:sz w:val="18"/>
                <w:szCs w:val="18"/>
              </w:rPr>
            </w:pPr>
            <w:r w:rsidRPr="008B7790">
              <w:rPr>
                <w:sz w:val="18"/>
                <w:szCs w:val="18"/>
              </w:rPr>
              <w:t>19.6</w:t>
            </w:r>
          </w:p>
        </w:tc>
      </w:tr>
      <w:tr w:rsidR="008B7790" w:rsidRPr="00FE56D3" w14:paraId="1C799D99" w14:textId="77777777" w:rsidTr="00396077">
        <w:trPr>
          <w:trHeight w:val="397"/>
        </w:trPr>
        <w:tc>
          <w:tcPr>
            <w:tcW w:w="458" w:type="pct"/>
            <w:vMerge/>
            <w:vAlign w:val="center"/>
          </w:tcPr>
          <w:p w14:paraId="28E81D8E" w14:textId="77777777" w:rsidR="008B7790" w:rsidRPr="00FE56D3" w:rsidRDefault="008B7790" w:rsidP="00677F69">
            <w:pPr>
              <w:spacing w:before="0" w:after="0"/>
              <w:rPr>
                <w:sz w:val="19"/>
                <w:szCs w:val="19"/>
              </w:rPr>
            </w:pPr>
          </w:p>
        </w:tc>
        <w:tc>
          <w:tcPr>
            <w:tcW w:w="568" w:type="pct"/>
            <w:vAlign w:val="center"/>
          </w:tcPr>
          <w:p w14:paraId="6BC28CAD" w14:textId="77777777" w:rsidR="008B7790" w:rsidRPr="00FE56D3" w:rsidRDefault="008B7790" w:rsidP="00677F69">
            <w:pPr>
              <w:spacing w:before="0" w:after="0"/>
              <w:rPr>
                <w:sz w:val="19"/>
                <w:szCs w:val="19"/>
              </w:rPr>
            </w:pPr>
            <w:r>
              <w:rPr>
                <w:sz w:val="19"/>
                <w:szCs w:val="19"/>
              </w:rPr>
              <w:t>No</w:t>
            </w:r>
            <w:r w:rsidRPr="00FE56D3">
              <w:rPr>
                <w:sz w:val="19"/>
                <w:szCs w:val="19"/>
              </w:rPr>
              <w:t xml:space="preserve"> CEW</w:t>
            </w:r>
          </w:p>
        </w:tc>
        <w:tc>
          <w:tcPr>
            <w:tcW w:w="434" w:type="pct"/>
            <w:vAlign w:val="bottom"/>
          </w:tcPr>
          <w:p w14:paraId="219BBC9D" w14:textId="573FB90E" w:rsidR="008B7790" w:rsidRPr="008B7790" w:rsidRDefault="008B7790" w:rsidP="00677F69">
            <w:pPr>
              <w:spacing w:before="0" w:after="0"/>
              <w:jc w:val="center"/>
              <w:rPr>
                <w:rFonts w:cs="Calibri"/>
                <w:color w:val="auto"/>
                <w:kern w:val="0"/>
                <w:sz w:val="18"/>
                <w:szCs w:val="18"/>
              </w:rPr>
            </w:pPr>
            <w:r w:rsidRPr="008B7790">
              <w:rPr>
                <w:sz w:val="18"/>
                <w:szCs w:val="18"/>
              </w:rPr>
              <w:t>-6</w:t>
            </w:r>
            <w:r>
              <w:rPr>
                <w:sz w:val="18"/>
                <w:szCs w:val="18"/>
              </w:rPr>
              <w:t>,</w:t>
            </w:r>
            <w:r w:rsidRPr="008B7790">
              <w:rPr>
                <w:sz w:val="18"/>
                <w:szCs w:val="18"/>
              </w:rPr>
              <w:t>441</w:t>
            </w:r>
            <w:r>
              <w:rPr>
                <w:sz w:val="18"/>
                <w:szCs w:val="18"/>
              </w:rPr>
              <w:t>,</w:t>
            </w:r>
            <w:r w:rsidRPr="008B7790">
              <w:rPr>
                <w:sz w:val="18"/>
                <w:szCs w:val="18"/>
              </w:rPr>
              <w:t>297</w:t>
            </w:r>
          </w:p>
        </w:tc>
        <w:tc>
          <w:tcPr>
            <w:tcW w:w="479" w:type="pct"/>
            <w:vAlign w:val="bottom"/>
          </w:tcPr>
          <w:p w14:paraId="6E9F9EEF" w14:textId="42AB400D" w:rsidR="008B7790" w:rsidRPr="008B7790" w:rsidRDefault="008B7790" w:rsidP="00677F69">
            <w:pPr>
              <w:spacing w:before="0" w:after="0"/>
              <w:jc w:val="center"/>
              <w:rPr>
                <w:rFonts w:cs="Calibri"/>
                <w:color w:val="auto"/>
                <w:kern w:val="0"/>
                <w:sz w:val="18"/>
                <w:szCs w:val="18"/>
              </w:rPr>
            </w:pPr>
            <w:r w:rsidRPr="008B7790">
              <w:rPr>
                <w:sz w:val="18"/>
                <w:szCs w:val="18"/>
              </w:rPr>
              <w:t>4.4</w:t>
            </w:r>
          </w:p>
        </w:tc>
        <w:tc>
          <w:tcPr>
            <w:tcW w:w="440" w:type="pct"/>
            <w:vAlign w:val="bottom"/>
          </w:tcPr>
          <w:p w14:paraId="7CA13719" w14:textId="3EC51721" w:rsidR="008B7790" w:rsidRPr="008B7790" w:rsidRDefault="008B7790" w:rsidP="00677F69">
            <w:pPr>
              <w:spacing w:before="0" w:after="0"/>
              <w:jc w:val="center"/>
              <w:rPr>
                <w:rFonts w:cs="Calibri"/>
                <w:color w:val="auto"/>
                <w:kern w:val="0"/>
                <w:sz w:val="18"/>
                <w:szCs w:val="18"/>
              </w:rPr>
            </w:pPr>
            <w:r w:rsidRPr="008B7790">
              <w:rPr>
                <w:sz w:val="18"/>
                <w:szCs w:val="18"/>
              </w:rPr>
              <w:t>-0.4</w:t>
            </w:r>
          </w:p>
        </w:tc>
        <w:tc>
          <w:tcPr>
            <w:tcW w:w="439" w:type="pct"/>
            <w:vAlign w:val="bottom"/>
          </w:tcPr>
          <w:p w14:paraId="4FCBB916" w14:textId="2A150FC0" w:rsidR="008B7790" w:rsidRPr="008B7790" w:rsidRDefault="008B7790" w:rsidP="00677F69">
            <w:pPr>
              <w:spacing w:before="0" w:after="0"/>
              <w:jc w:val="center"/>
              <w:rPr>
                <w:rFonts w:cs="Calibri"/>
                <w:color w:val="auto"/>
                <w:kern w:val="0"/>
                <w:sz w:val="18"/>
                <w:szCs w:val="18"/>
              </w:rPr>
            </w:pPr>
            <w:r w:rsidRPr="008B7790">
              <w:rPr>
                <w:sz w:val="18"/>
                <w:szCs w:val="18"/>
              </w:rPr>
              <w:t>-245</w:t>
            </w:r>
          </w:p>
        </w:tc>
        <w:tc>
          <w:tcPr>
            <w:tcW w:w="706" w:type="pct"/>
            <w:vAlign w:val="bottom"/>
          </w:tcPr>
          <w:p w14:paraId="55885656" w14:textId="050A0C86" w:rsidR="008B7790" w:rsidRPr="008B7790" w:rsidRDefault="008B7790" w:rsidP="00677F69">
            <w:pPr>
              <w:spacing w:before="0" w:after="0"/>
              <w:jc w:val="center"/>
              <w:rPr>
                <w:rFonts w:cs="Calibri"/>
                <w:color w:val="auto"/>
                <w:kern w:val="0"/>
                <w:sz w:val="18"/>
                <w:szCs w:val="18"/>
              </w:rPr>
            </w:pPr>
            <w:r w:rsidRPr="008B7790">
              <w:rPr>
                <w:sz w:val="18"/>
                <w:szCs w:val="18"/>
              </w:rPr>
              <w:t>-224</w:t>
            </w:r>
          </w:p>
        </w:tc>
        <w:tc>
          <w:tcPr>
            <w:tcW w:w="790" w:type="pct"/>
            <w:vAlign w:val="bottom"/>
          </w:tcPr>
          <w:p w14:paraId="6A64F6CF" w14:textId="6D8F2700" w:rsidR="008B7790" w:rsidRPr="008B7790" w:rsidRDefault="008B7790" w:rsidP="00677F69">
            <w:pPr>
              <w:spacing w:before="0" w:after="0"/>
              <w:jc w:val="center"/>
              <w:rPr>
                <w:rFonts w:cs="Calibri"/>
                <w:color w:val="auto"/>
                <w:kern w:val="0"/>
                <w:sz w:val="18"/>
                <w:szCs w:val="18"/>
              </w:rPr>
            </w:pPr>
            <w:r w:rsidRPr="008B7790">
              <w:rPr>
                <w:sz w:val="18"/>
                <w:szCs w:val="18"/>
              </w:rPr>
              <w:t>-7</w:t>
            </w:r>
          </w:p>
        </w:tc>
        <w:tc>
          <w:tcPr>
            <w:tcW w:w="684" w:type="pct"/>
            <w:vAlign w:val="bottom"/>
          </w:tcPr>
          <w:p w14:paraId="3E5D4DAC" w14:textId="27D81F4A" w:rsidR="008B7790" w:rsidRPr="008B7790" w:rsidRDefault="008B7790" w:rsidP="00677F69">
            <w:pPr>
              <w:spacing w:before="0" w:after="0"/>
              <w:jc w:val="center"/>
              <w:rPr>
                <w:rFonts w:cs="Calibri"/>
                <w:color w:val="auto"/>
                <w:kern w:val="0"/>
                <w:sz w:val="18"/>
                <w:szCs w:val="18"/>
              </w:rPr>
            </w:pPr>
            <w:r w:rsidRPr="008B7790">
              <w:rPr>
                <w:sz w:val="18"/>
                <w:szCs w:val="18"/>
              </w:rPr>
              <w:t>1.4</w:t>
            </w:r>
          </w:p>
        </w:tc>
      </w:tr>
      <w:tr w:rsidR="008B7790" w:rsidRPr="00FE56D3" w14:paraId="3BCE2EC4" w14:textId="77777777" w:rsidTr="00396077">
        <w:trPr>
          <w:trHeight w:val="397"/>
        </w:trPr>
        <w:tc>
          <w:tcPr>
            <w:tcW w:w="458" w:type="pct"/>
            <w:vMerge/>
            <w:vAlign w:val="center"/>
          </w:tcPr>
          <w:p w14:paraId="009FAF75" w14:textId="77777777" w:rsidR="008B7790" w:rsidRPr="00FE56D3" w:rsidRDefault="008B7790" w:rsidP="00677F69">
            <w:pPr>
              <w:spacing w:before="0" w:after="0"/>
              <w:rPr>
                <w:sz w:val="19"/>
                <w:szCs w:val="19"/>
              </w:rPr>
            </w:pPr>
          </w:p>
        </w:tc>
        <w:tc>
          <w:tcPr>
            <w:tcW w:w="568" w:type="pct"/>
            <w:vAlign w:val="center"/>
          </w:tcPr>
          <w:p w14:paraId="091AC9D0" w14:textId="77777777" w:rsidR="008B7790" w:rsidRPr="00FE56D3" w:rsidRDefault="008B7790" w:rsidP="00677F69">
            <w:pPr>
              <w:spacing w:before="0" w:after="0"/>
              <w:rPr>
                <w:sz w:val="19"/>
                <w:szCs w:val="19"/>
              </w:rPr>
            </w:pPr>
            <w:r>
              <w:rPr>
                <w:sz w:val="19"/>
                <w:szCs w:val="19"/>
              </w:rPr>
              <w:t>No</w:t>
            </w:r>
            <w:r w:rsidRPr="00FE56D3">
              <w:rPr>
                <w:sz w:val="19"/>
                <w:szCs w:val="19"/>
              </w:rPr>
              <w:t xml:space="preserve"> eWater</w:t>
            </w:r>
          </w:p>
        </w:tc>
        <w:tc>
          <w:tcPr>
            <w:tcW w:w="434" w:type="pct"/>
            <w:vAlign w:val="bottom"/>
          </w:tcPr>
          <w:p w14:paraId="63BCEDC7" w14:textId="78841815" w:rsidR="008B7790" w:rsidRPr="008B7790" w:rsidRDefault="008B7790" w:rsidP="00677F69">
            <w:pPr>
              <w:spacing w:before="0" w:after="0"/>
              <w:jc w:val="center"/>
              <w:rPr>
                <w:rFonts w:cs="Calibri"/>
                <w:color w:val="auto"/>
                <w:sz w:val="18"/>
                <w:szCs w:val="18"/>
              </w:rPr>
            </w:pPr>
            <w:r w:rsidRPr="008B7790">
              <w:rPr>
                <w:sz w:val="18"/>
                <w:szCs w:val="18"/>
              </w:rPr>
              <w:t>-6</w:t>
            </w:r>
            <w:r>
              <w:rPr>
                <w:sz w:val="18"/>
                <w:szCs w:val="18"/>
              </w:rPr>
              <w:t>,</w:t>
            </w:r>
            <w:r w:rsidRPr="008B7790">
              <w:rPr>
                <w:sz w:val="18"/>
                <w:szCs w:val="18"/>
              </w:rPr>
              <w:t>649</w:t>
            </w:r>
            <w:r>
              <w:rPr>
                <w:sz w:val="18"/>
                <w:szCs w:val="18"/>
              </w:rPr>
              <w:t>,</w:t>
            </w:r>
            <w:r w:rsidRPr="008B7790">
              <w:rPr>
                <w:sz w:val="18"/>
                <w:szCs w:val="18"/>
              </w:rPr>
              <w:t>380</w:t>
            </w:r>
          </w:p>
        </w:tc>
        <w:tc>
          <w:tcPr>
            <w:tcW w:w="479" w:type="pct"/>
            <w:vAlign w:val="bottom"/>
          </w:tcPr>
          <w:p w14:paraId="61FADFFE" w14:textId="7E9CE35F" w:rsidR="008B7790" w:rsidRPr="008B7790" w:rsidRDefault="008B7790" w:rsidP="00677F69">
            <w:pPr>
              <w:spacing w:before="0" w:after="0"/>
              <w:jc w:val="center"/>
              <w:rPr>
                <w:rFonts w:cs="Calibri"/>
                <w:color w:val="auto"/>
                <w:sz w:val="18"/>
                <w:szCs w:val="18"/>
              </w:rPr>
            </w:pPr>
            <w:r w:rsidRPr="008B7790">
              <w:rPr>
                <w:sz w:val="18"/>
                <w:szCs w:val="18"/>
              </w:rPr>
              <w:t>4.3</w:t>
            </w:r>
          </w:p>
        </w:tc>
        <w:tc>
          <w:tcPr>
            <w:tcW w:w="440" w:type="pct"/>
            <w:vAlign w:val="bottom"/>
          </w:tcPr>
          <w:p w14:paraId="706FFC9F" w14:textId="63CBBC8E" w:rsidR="008B7790" w:rsidRPr="008B7790" w:rsidRDefault="008B7790" w:rsidP="00677F69">
            <w:pPr>
              <w:spacing w:before="0" w:after="0"/>
              <w:jc w:val="center"/>
              <w:rPr>
                <w:rFonts w:cs="Calibri"/>
                <w:color w:val="auto"/>
                <w:sz w:val="18"/>
                <w:szCs w:val="18"/>
              </w:rPr>
            </w:pPr>
            <w:r w:rsidRPr="008B7790">
              <w:rPr>
                <w:sz w:val="18"/>
                <w:szCs w:val="18"/>
              </w:rPr>
              <w:t>-0.4</w:t>
            </w:r>
          </w:p>
        </w:tc>
        <w:tc>
          <w:tcPr>
            <w:tcW w:w="439" w:type="pct"/>
            <w:vAlign w:val="bottom"/>
          </w:tcPr>
          <w:p w14:paraId="133B4871" w14:textId="1A0D75F8" w:rsidR="008B7790" w:rsidRPr="008B7790" w:rsidRDefault="008B7790" w:rsidP="00677F69">
            <w:pPr>
              <w:spacing w:before="0" w:after="0"/>
              <w:jc w:val="center"/>
              <w:rPr>
                <w:rFonts w:cs="Calibri"/>
                <w:color w:val="auto"/>
                <w:sz w:val="18"/>
                <w:szCs w:val="18"/>
              </w:rPr>
            </w:pPr>
            <w:r w:rsidRPr="008B7790">
              <w:rPr>
                <w:sz w:val="18"/>
                <w:szCs w:val="18"/>
              </w:rPr>
              <w:t>-253</w:t>
            </w:r>
          </w:p>
        </w:tc>
        <w:tc>
          <w:tcPr>
            <w:tcW w:w="706" w:type="pct"/>
            <w:vAlign w:val="bottom"/>
          </w:tcPr>
          <w:p w14:paraId="6456C115" w14:textId="11737188" w:rsidR="008B7790" w:rsidRPr="008B7790" w:rsidRDefault="008B7790" w:rsidP="00677F69">
            <w:pPr>
              <w:spacing w:before="0" w:after="0"/>
              <w:jc w:val="center"/>
              <w:rPr>
                <w:rFonts w:cs="Calibri"/>
                <w:color w:val="auto"/>
                <w:sz w:val="18"/>
                <w:szCs w:val="18"/>
              </w:rPr>
            </w:pPr>
            <w:r w:rsidRPr="008B7790">
              <w:rPr>
                <w:sz w:val="18"/>
                <w:szCs w:val="18"/>
              </w:rPr>
              <w:t>-237</w:t>
            </w:r>
          </w:p>
        </w:tc>
        <w:tc>
          <w:tcPr>
            <w:tcW w:w="790" w:type="pct"/>
            <w:vAlign w:val="bottom"/>
          </w:tcPr>
          <w:p w14:paraId="6F3A3F02" w14:textId="14D717FF" w:rsidR="008B7790" w:rsidRPr="008B7790" w:rsidRDefault="008B7790" w:rsidP="00677F69">
            <w:pPr>
              <w:spacing w:before="0" w:after="0"/>
              <w:jc w:val="center"/>
              <w:rPr>
                <w:color w:val="auto"/>
                <w:sz w:val="18"/>
                <w:szCs w:val="18"/>
              </w:rPr>
            </w:pPr>
            <w:r w:rsidRPr="008B7790">
              <w:rPr>
                <w:sz w:val="18"/>
                <w:szCs w:val="18"/>
              </w:rPr>
              <w:t>-7</w:t>
            </w:r>
          </w:p>
        </w:tc>
        <w:tc>
          <w:tcPr>
            <w:tcW w:w="684" w:type="pct"/>
            <w:vAlign w:val="bottom"/>
          </w:tcPr>
          <w:p w14:paraId="28901DA6" w14:textId="5C1167C0" w:rsidR="008B7790" w:rsidRPr="008B7790" w:rsidRDefault="008B7790" w:rsidP="00677F69">
            <w:pPr>
              <w:spacing w:before="0" w:after="0"/>
              <w:jc w:val="center"/>
              <w:rPr>
                <w:rFonts w:cs="Calibri"/>
                <w:color w:val="auto"/>
                <w:sz w:val="18"/>
                <w:szCs w:val="18"/>
              </w:rPr>
            </w:pPr>
            <w:r w:rsidRPr="008B7790">
              <w:rPr>
                <w:sz w:val="18"/>
                <w:szCs w:val="18"/>
              </w:rPr>
              <w:t>1.2</w:t>
            </w:r>
          </w:p>
        </w:tc>
      </w:tr>
    </w:tbl>
    <w:p w14:paraId="23D915BC" w14:textId="77777777" w:rsidR="00121F16" w:rsidRDefault="00121F16" w:rsidP="00990451">
      <w:pPr>
        <w:sectPr w:rsidR="00121F16" w:rsidSect="002B75FE">
          <w:pgSz w:w="16840" w:h="11900" w:orient="landscape" w:code="9"/>
          <w:pgMar w:top="1440" w:right="1440" w:bottom="1440" w:left="1440" w:header="709" w:footer="709" w:gutter="0"/>
          <w:cols w:space="708"/>
          <w:docGrid w:linePitch="360"/>
        </w:sectPr>
      </w:pPr>
    </w:p>
    <w:p w14:paraId="5A239AD9" w14:textId="77777777" w:rsidR="00301396" w:rsidRDefault="009A2537" w:rsidP="009E3474">
      <w:pPr>
        <w:pStyle w:val="Heading3"/>
        <w:rPr>
          <w:b w:val="0"/>
          <w:i w:val="0"/>
        </w:rPr>
      </w:pPr>
      <w:bookmarkStart w:id="102" w:name="_Toc441838735"/>
      <w:bookmarkStart w:id="103" w:name="_Toc474147060"/>
      <w:r w:rsidRPr="00E034E8">
        <w:lastRenderedPageBreak/>
        <w:t>Microinvertebrates</w:t>
      </w:r>
      <w:bookmarkEnd w:id="102"/>
      <w:bookmarkEnd w:id="103"/>
    </w:p>
    <w:p w14:paraId="38811B97" w14:textId="1408387E" w:rsidR="004060D9" w:rsidRPr="00C5382B" w:rsidRDefault="004060D9" w:rsidP="004060D9">
      <w:pPr>
        <w:rPr>
          <w:szCs w:val="22"/>
        </w:rPr>
      </w:pPr>
      <w:r>
        <w:t>A</w:t>
      </w:r>
      <w:r w:rsidRPr="00F01413">
        <w:t xml:space="preserve">quatic microinvertebrates (protists, rotifers and microcrustaceans) </w:t>
      </w:r>
      <w:r>
        <w:t>are</w:t>
      </w:r>
      <w:r w:rsidRPr="00F01413">
        <w:t xml:space="preserve"> a major</w:t>
      </w:r>
      <w:r>
        <w:t xml:space="preserve"> food</w:t>
      </w:r>
      <w:r w:rsidRPr="00F01413">
        <w:t xml:space="preserve"> source for larger organisms in freshwater systems (Schmid-Araya and Schmid 2000; Pernthaler and Posch 2009)</w:t>
      </w:r>
      <w:r>
        <w:t xml:space="preserve">, and important </w:t>
      </w:r>
      <w:r w:rsidRPr="00F01413">
        <w:t>for early life stages of fish larvae</w:t>
      </w:r>
      <w:r>
        <w:t xml:space="preserve"> (</w:t>
      </w:r>
      <w:r w:rsidRPr="00A323DD">
        <w:t>Arumugam and Geddes 1987</w:t>
      </w:r>
      <w:r>
        <w:t xml:space="preserve">; Tonkin </w:t>
      </w:r>
      <w:r w:rsidRPr="008A4417">
        <w:rPr>
          <w:i/>
        </w:rPr>
        <w:t>et al.</w:t>
      </w:r>
      <w:r>
        <w:t xml:space="preserve"> 2006)</w:t>
      </w:r>
      <w:r w:rsidRPr="00F01413">
        <w:t>. The aquatic microinvertebrate</w:t>
      </w:r>
      <w:r>
        <w:t>s</w:t>
      </w:r>
      <w:r w:rsidRPr="00F01413">
        <w:t xml:space="preserve"> of the MDB </w:t>
      </w:r>
      <w:r>
        <w:t xml:space="preserve">have short generation times and </w:t>
      </w:r>
      <w:r w:rsidRPr="00F01413">
        <w:t>are rap</w:t>
      </w:r>
      <w:r w:rsidR="00512EB7">
        <w:t xml:space="preserve">id responders to environmental </w:t>
      </w:r>
      <w:r w:rsidR="00E70115">
        <w:t xml:space="preserve">changes </w:t>
      </w:r>
      <w:r w:rsidRPr="00F01413">
        <w:t xml:space="preserve">(Tan and Shiel 1993). To assess the responses of microinvertebrates to </w:t>
      </w:r>
      <w:r>
        <w:t>Commonwealth environmental water</w:t>
      </w:r>
      <w:r w:rsidRPr="001571E1">
        <w:t xml:space="preserve"> </w:t>
      </w:r>
      <w:r>
        <w:t xml:space="preserve">delivery </w:t>
      </w:r>
      <w:r w:rsidRPr="00F01413">
        <w:t>in the LMR</w:t>
      </w:r>
      <w:r>
        <w:t xml:space="preserve">, </w:t>
      </w:r>
      <w:r w:rsidRPr="00F01413">
        <w:t xml:space="preserve">mid-channel </w:t>
      </w:r>
      <w:r>
        <w:t>microinvertebrate</w:t>
      </w:r>
      <w:r w:rsidRPr="00F01413">
        <w:t xml:space="preserve"> assemblages were sampled during spring/summer 201</w:t>
      </w:r>
      <w:r>
        <w:t>5</w:t>
      </w:r>
      <w:r w:rsidRPr="00F01413">
        <w:t>/1</w:t>
      </w:r>
      <w:r>
        <w:t>6</w:t>
      </w:r>
      <w:r w:rsidRPr="00F01413">
        <w:t xml:space="preserve"> using a </w:t>
      </w:r>
      <w:r w:rsidRPr="00C5382B">
        <w:rPr>
          <w:szCs w:val="22"/>
        </w:rPr>
        <w:t xml:space="preserve">Haney trap at sites </w:t>
      </w:r>
      <w:r w:rsidR="00335B22">
        <w:rPr>
          <w:szCs w:val="22"/>
        </w:rPr>
        <w:t>below</w:t>
      </w:r>
      <w:r w:rsidRPr="00D22701">
        <w:rPr>
          <w:szCs w:val="22"/>
        </w:rPr>
        <w:t xml:space="preserve"> Lock </w:t>
      </w:r>
      <w:r>
        <w:t>1 and Lock 6</w:t>
      </w:r>
      <w:r w:rsidRPr="00D22701">
        <w:rPr>
          <w:szCs w:val="22"/>
        </w:rPr>
        <w:t>, in the gorge and floodplain geomorphic</w:t>
      </w:r>
      <w:r>
        <w:rPr>
          <w:szCs w:val="22"/>
        </w:rPr>
        <w:t xml:space="preserve"> zones, respectively (Appendix G;</w:t>
      </w:r>
      <w:r w:rsidRPr="00D22701">
        <w:rPr>
          <w:szCs w:val="22"/>
        </w:rPr>
        <w:t xml:space="preserve"> LMR LTIM M&amp;E Plan).</w:t>
      </w:r>
    </w:p>
    <w:p w14:paraId="4C0C4DAA" w14:textId="53062D35" w:rsidR="004060D9" w:rsidRDefault="004060D9" w:rsidP="004060D9">
      <w:r w:rsidRPr="00C5382B">
        <w:rPr>
          <w:szCs w:val="22"/>
        </w:rPr>
        <w:t>Over the 201</w:t>
      </w:r>
      <w:r>
        <w:rPr>
          <w:szCs w:val="22"/>
        </w:rPr>
        <w:t>5</w:t>
      </w:r>
      <w:r w:rsidRPr="00C5382B">
        <w:rPr>
          <w:szCs w:val="22"/>
        </w:rPr>
        <w:t>/1</w:t>
      </w:r>
      <w:r>
        <w:rPr>
          <w:szCs w:val="22"/>
        </w:rPr>
        <w:t>6</w:t>
      </w:r>
      <w:r w:rsidRPr="00C5382B">
        <w:rPr>
          <w:szCs w:val="22"/>
        </w:rPr>
        <w:t xml:space="preserve"> sampling period</w:t>
      </w:r>
      <w:r>
        <w:rPr>
          <w:szCs w:val="22"/>
        </w:rPr>
        <w:t xml:space="preserve"> (</w:t>
      </w:r>
      <w:r>
        <w:t>October 2015 to January 2016</w:t>
      </w:r>
      <w:r>
        <w:rPr>
          <w:szCs w:val="22"/>
        </w:rPr>
        <w:t>)</w:t>
      </w:r>
      <w:r w:rsidRPr="00C5382B">
        <w:rPr>
          <w:szCs w:val="22"/>
        </w:rPr>
        <w:t>,</w:t>
      </w:r>
      <w:r>
        <w:rPr>
          <w:szCs w:val="22"/>
        </w:rPr>
        <w:t xml:space="preserve"> </w:t>
      </w:r>
      <w:r w:rsidRPr="00C5382B">
        <w:rPr>
          <w:szCs w:val="22"/>
        </w:rPr>
        <w:t>1</w:t>
      </w:r>
      <w:r>
        <w:rPr>
          <w:szCs w:val="22"/>
        </w:rPr>
        <w:t>77</w:t>
      </w:r>
      <w:r w:rsidRPr="00C5382B">
        <w:rPr>
          <w:szCs w:val="22"/>
        </w:rPr>
        <w:t xml:space="preserve"> microinvertebrate taxa </w:t>
      </w:r>
      <w:r w:rsidR="00512EB7">
        <w:rPr>
          <w:szCs w:val="22"/>
        </w:rPr>
        <w:t>(rotifer/proti</w:t>
      </w:r>
      <w:r>
        <w:rPr>
          <w:szCs w:val="22"/>
        </w:rPr>
        <w:t xml:space="preserve">st dominated) </w:t>
      </w:r>
      <w:r w:rsidRPr="00C5382B">
        <w:rPr>
          <w:szCs w:val="22"/>
        </w:rPr>
        <w:t>were discriminated</w:t>
      </w:r>
      <w:r w:rsidRPr="00F01413">
        <w:t xml:space="preserve"> from 1</w:t>
      </w:r>
      <w:r>
        <w:t>92</w:t>
      </w:r>
      <w:r w:rsidRPr="00F01413">
        <w:t xml:space="preserve"> trap samples</w:t>
      </w:r>
      <w:r>
        <w:t xml:space="preserve"> from sites below Lock 1 and Lock 6 (Appendix G). The microinvertebrate assemblages, below each lock, </w:t>
      </w:r>
      <w:r w:rsidRPr="003E3C0D">
        <w:t xml:space="preserve">were significantly different </w:t>
      </w:r>
      <w:r>
        <w:t xml:space="preserve">between </w:t>
      </w:r>
      <w:r w:rsidRPr="00B01827">
        <w:t xml:space="preserve">all sampling events </w:t>
      </w:r>
      <w:r w:rsidRPr="003E3C0D">
        <w:t>(Appendix G)</w:t>
      </w:r>
      <w:r w:rsidRPr="003E3C0D">
        <w:rPr>
          <w:color w:val="auto"/>
        </w:rPr>
        <w:t xml:space="preserve">. </w:t>
      </w:r>
      <w:r>
        <w:rPr>
          <w:color w:val="auto"/>
          <w:szCs w:val="22"/>
        </w:rPr>
        <w:t>However</w:t>
      </w:r>
      <w:r w:rsidRPr="003E3C0D">
        <w:rPr>
          <w:color w:val="auto"/>
          <w:szCs w:val="22"/>
        </w:rPr>
        <w:t xml:space="preserve">, it should be kept in mind that </w:t>
      </w:r>
      <w:r>
        <w:rPr>
          <w:color w:val="auto"/>
          <w:szCs w:val="22"/>
        </w:rPr>
        <w:t>the majority of</w:t>
      </w:r>
      <w:r w:rsidRPr="003E3C0D">
        <w:rPr>
          <w:color w:val="auto"/>
          <w:szCs w:val="22"/>
        </w:rPr>
        <w:t xml:space="preserve"> microinvertebrates predominating in the LMR</w:t>
      </w:r>
      <w:r>
        <w:rPr>
          <w:color w:val="auto"/>
          <w:szCs w:val="22"/>
        </w:rPr>
        <w:t xml:space="preserve"> have</w:t>
      </w:r>
      <w:r w:rsidRPr="003E3C0D">
        <w:rPr>
          <w:color w:val="auto"/>
          <w:szCs w:val="22"/>
        </w:rPr>
        <w:t xml:space="preserve"> life cycles </w:t>
      </w:r>
      <w:r>
        <w:rPr>
          <w:color w:val="auto"/>
          <w:szCs w:val="22"/>
        </w:rPr>
        <w:t xml:space="preserve">that </w:t>
      </w:r>
      <w:r w:rsidRPr="003E3C0D">
        <w:rPr>
          <w:color w:val="auto"/>
          <w:szCs w:val="22"/>
        </w:rPr>
        <w:t>are shorter than the inter-event timeframe (2 w</w:t>
      </w:r>
      <w:r>
        <w:rPr>
          <w:color w:val="auto"/>
          <w:szCs w:val="22"/>
        </w:rPr>
        <w:t>ee</w:t>
      </w:r>
      <w:r w:rsidRPr="003E3C0D">
        <w:rPr>
          <w:color w:val="auto"/>
          <w:szCs w:val="22"/>
        </w:rPr>
        <w:t>ks)</w:t>
      </w:r>
      <w:r>
        <w:rPr>
          <w:color w:val="auto"/>
          <w:szCs w:val="22"/>
        </w:rPr>
        <w:t>, and that s</w:t>
      </w:r>
      <w:r w:rsidRPr="003E3C0D">
        <w:rPr>
          <w:color w:val="auto"/>
          <w:szCs w:val="22"/>
        </w:rPr>
        <w:t xml:space="preserve">pecies compositional changes </w:t>
      </w:r>
      <w:r w:rsidRPr="00AC69A5">
        <w:rPr>
          <w:szCs w:val="22"/>
        </w:rPr>
        <w:t xml:space="preserve">are </w:t>
      </w:r>
      <w:r>
        <w:rPr>
          <w:szCs w:val="22"/>
        </w:rPr>
        <w:t>standard with plankters responding to spatial and tempor</w:t>
      </w:r>
      <w:r w:rsidR="007953E4">
        <w:rPr>
          <w:szCs w:val="22"/>
        </w:rPr>
        <w:t xml:space="preserve">al changes in physico-chemistry. Longitudinal successional/compositional changes in entrained microinvertebrate assemblages in the moving LMR system below Lock 6 </w:t>
      </w:r>
      <w:r w:rsidR="007B5BD0">
        <w:rPr>
          <w:szCs w:val="22"/>
        </w:rPr>
        <w:t>have been</w:t>
      </w:r>
      <w:r w:rsidR="007953E4">
        <w:rPr>
          <w:szCs w:val="22"/>
        </w:rPr>
        <w:t xml:space="preserve"> documented (Shiel </w:t>
      </w:r>
      <w:r w:rsidR="007953E4">
        <w:rPr>
          <w:i/>
          <w:szCs w:val="22"/>
        </w:rPr>
        <w:t xml:space="preserve">et al. </w:t>
      </w:r>
      <w:r w:rsidR="007953E4" w:rsidRPr="007953E4">
        <w:rPr>
          <w:szCs w:val="22"/>
        </w:rPr>
        <w:t>1982</w:t>
      </w:r>
      <w:r w:rsidR="007953E4">
        <w:rPr>
          <w:szCs w:val="22"/>
        </w:rPr>
        <w:t xml:space="preserve">, Ye </w:t>
      </w:r>
      <w:r w:rsidR="007953E4">
        <w:rPr>
          <w:i/>
          <w:szCs w:val="22"/>
        </w:rPr>
        <w:t xml:space="preserve">et al. </w:t>
      </w:r>
      <w:r w:rsidR="007953E4">
        <w:rPr>
          <w:szCs w:val="22"/>
        </w:rPr>
        <w:t>2016</w:t>
      </w:r>
      <w:r w:rsidR="007D5C95">
        <w:rPr>
          <w:szCs w:val="22"/>
        </w:rPr>
        <w:t>a</w:t>
      </w:r>
      <w:r w:rsidR="007953E4" w:rsidRPr="007953E4">
        <w:rPr>
          <w:szCs w:val="22"/>
        </w:rPr>
        <w:t>)</w:t>
      </w:r>
      <w:r w:rsidR="007953E4">
        <w:rPr>
          <w:szCs w:val="22"/>
        </w:rPr>
        <w:t>.</w:t>
      </w:r>
      <w:r>
        <w:rPr>
          <w:szCs w:val="22"/>
        </w:rPr>
        <w:t xml:space="preserve"> </w:t>
      </w:r>
      <w:r>
        <w:t>Microinvertebrate taxa driving the dissimilarity between sampling events below both locks are tabulated in Appendix G and described below in context with seasonal changes and watering events.</w:t>
      </w:r>
    </w:p>
    <w:p w14:paraId="1DA28146" w14:textId="20478206" w:rsidR="00DD178E" w:rsidRDefault="004060D9" w:rsidP="00DD178E">
      <w:pPr>
        <w:rPr>
          <w:szCs w:val="22"/>
        </w:rPr>
      </w:pPr>
      <w:r>
        <w:t>Below Lock 1, mean microinvertebrate density increased to a peak in mid-October (2,230 ind. L</w:t>
      </w:r>
      <w:r w:rsidRPr="00EC3DFA">
        <w:rPr>
          <w:vertAlign w:val="superscript"/>
        </w:rPr>
        <w:noBreakHyphen/>
        <w:t>1</w:t>
      </w:r>
      <w:r>
        <w:t>) and then steeply declined to 116 ind. L</w:t>
      </w:r>
      <w:r w:rsidRPr="004A5CF5">
        <w:rPr>
          <w:vertAlign w:val="superscript"/>
        </w:rPr>
        <w:t>-1</w:t>
      </w:r>
      <w:r>
        <w:t xml:space="preserve"> in mid-November, where density remained low (&lt;400 ind. L</w:t>
      </w:r>
      <w:r w:rsidRPr="00EC3DFA">
        <w:rPr>
          <w:vertAlign w:val="superscript"/>
        </w:rPr>
        <w:t>-1</w:t>
      </w:r>
      <w:r>
        <w:t>) until mid-December</w:t>
      </w:r>
      <w:r w:rsidRPr="000F0F8F">
        <w:t xml:space="preserve"> 2016 (</w:t>
      </w:r>
      <w:r w:rsidR="00D6611F">
        <w:fldChar w:fldCharType="begin"/>
      </w:r>
      <w:r w:rsidR="00D6611F">
        <w:instrText xml:space="preserve"> REF _Ref433380781 \h </w:instrText>
      </w:r>
      <w:r w:rsidR="00D6611F">
        <w:fldChar w:fldCharType="separate"/>
      </w:r>
      <w:r w:rsidR="004260C4">
        <w:t xml:space="preserve">Figure </w:t>
      </w:r>
      <w:r w:rsidR="004260C4">
        <w:rPr>
          <w:noProof/>
        </w:rPr>
        <w:t>14</w:t>
      </w:r>
      <w:r w:rsidR="00D6611F">
        <w:fldChar w:fldCharType="end"/>
      </w:r>
      <w:r w:rsidRPr="000F0F8F">
        <w:t xml:space="preserve">). Microinvertebrate diversity (taxa richness) followed a similar trend, where mean diversity </w:t>
      </w:r>
      <w:r>
        <w:t>increased to</w:t>
      </w:r>
      <w:r w:rsidRPr="000F0F8F">
        <w:t xml:space="preserve"> ~53</w:t>
      </w:r>
      <w:r>
        <w:t xml:space="preserve"> taxa in early November, and then fell</w:t>
      </w:r>
      <w:r w:rsidRPr="000F0F8F">
        <w:t xml:space="preserve"> to ~19 taxa</w:t>
      </w:r>
      <w:r>
        <w:t xml:space="preserve"> in</w:t>
      </w:r>
      <w:r w:rsidRPr="000F0F8F">
        <w:t xml:space="preserve"> mid-November (</w:t>
      </w:r>
      <w:r w:rsidR="00D6611F">
        <w:fldChar w:fldCharType="begin"/>
      </w:r>
      <w:r w:rsidR="00D6611F">
        <w:instrText xml:space="preserve"> REF _Ref433380781 \h </w:instrText>
      </w:r>
      <w:r w:rsidR="00D6611F">
        <w:fldChar w:fldCharType="separate"/>
      </w:r>
      <w:r w:rsidR="004260C4">
        <w:t xml:space="preserve">Figure </w:t>
      </w:r>
      <w:r w:rsidR="004260C4">
        <w:rPr>
          <w:noProof/>
        </w:rPr>
        <w:t>14</w:t>
      </w:r>
      <w:r w:rsidR="00D6611F">
        <w:fldChar w:fldCharType="end"/>
      </w:r>
      <w:r w:rsidRPr="000F0F8F">
        <w:t xml:space="preserve">). </w:t>
      </w:r>
      <w:r>
        <w:t xml:space="preserve">Peaks in density and diversity aligned with increased </w:t>
      </w:r>
      <w:r w:rsidR="00D87E0C">
        <w:t xml:space="preserve">Commonwealth environmental water delivery and increased </w:t>
      </w:r>
      <w:r>
        <w:t>river discharge (</w:t>
      </w:r>
      <w:r w:rsidR="00D6611F">
        <w:fldChar w:fldCharType="begin"/>
      </w:r>
      <w:r w:rsidR="00D6611F">
        <w:instrText xml:space="preserve"> REF _Ref416335496 \h </w:instrText>
      </w:r>
      <w:r w:rsidR="00D6611F">
        <w:fldChar w:fldCharType="separate"/>
      </w:r>
      <w:r w:rsidR="004260C4" w:rsidRPr="00160EF9">
        <w:t xml:space="preserve">Figure </w:t>
      </w:r>
      <w:r w:rsidR="004260C4">
        <w:rPr>
          <w:noProof/>
        </w:rPr>
        <w:t>3</w:t>
      </w:r>
      <w:r w:rsidR="00D6611F">
        <w:fldChar w:fldCharType="end"/>
      </w:r>
      <w:r w:rsidR="00D6611F">
        <w:t xml:space="preserve">; </w:t>
      </w:r>
      <w:r w:rsidR="00D6611F">
        <w:fldChar w:fldCharType="begin"/>
      </w:r>
      <w:r w:rsidR="00D6611F">
        <w:instrText xml:space="preserve"> REF _Ref433380781 \h </w:instrText>
      </w:r>
      <w:r w:rsidR="00D6611F">
        <w:fldChar w:fldCharType="separate"/>
      </w:r>
      <w:r w:rsidR="004260C4">
        <w:t xml:space="preserve">Figure </w:t>
      </w:r>
      <w:r w:rsidR="004260C4">
        <w:rPr>
          <w:noProof/>
        </w:rPr>
        <w:t>14</w:t>
      </w:r>
      <w:r w:rsidR="00D6611F">
        <w:fldChar w:fldCharType="end"/>
      </w:r>
      <w:r>
        <w:t xml:space="preserve">), which was a significant driver of assemblage structure (Figure G9 in </w:t>
      </w:r>
      <w:r>
        <w:lastRenderedPageBreak/>
        <w:t xml:space="preserve">Appendix G). </w:t>
      </w:r>
      <w:r w:rsidR="00512EB7">
        <w:t>Conversely</w:t>
      </w:r>
      <w:r>
        <w:t xml:space="preserve">, </w:t>
      </w:r>
      <w:r w:rsidR="00D87E0C">
        <w:t xml:space="preserve">the steep </w:t>
      </w:r>
      <w:r>
        <w:t>decreases in density and diversity were associated with: declining river flows (</w:t>
      </w:r>
      <w:r w:rsidR="00D6611F">
        <w:fldChar w:fldCharType="begin"/>
      </w:r>
      <w:r w:rsidR="00D6611F">
        <w:instrText xml:space="preserve"> REF _Ref416335496 \h </w:instrText>
      </w:r>
      <w:r w:rsidR="00D6611F">
        <w:fldChar w:fldCharType="separate"/>
      </w:r>
      <w:r w:rsidR="004260C4" w:rsidRPr="00160EF9">
        <w:t xml:space="preserve">Figure </w:t>
      </w:r>
      <w:r w:rsidR="004260C4">
        <w:rPr>
          <w:noProof/>
        </w:rPr>
        <w:t>3</w:t>
      </w:r>
      <w:r w:rsidR="00D6611F">
        <w:fldChar w:fldCharType="end"/>
      </w:r>
      <w:r w:rsidR="00D6611F">
        <w:t xml:space="preserve">; </w:t>
      </w:r>
      <w:r w:rsidR="00D6611F">
        <w:fldChar w:fldCharType="begin"/>
      </w:r>
      <w:r w:rsidR="00D6611F">
        <w:instrText xml:space="preserve"> REF _Ref433380781 \h </w:instrText>
      </w:r>
      <w:r w:rsidR="00D6611F">
        <w:fldChar w:fldCharType="separate"/>
      </w:r>
      <w:r w:rsidR="004260C4">
        <w:t xml:space="preserve">Figure </w:t>
      </w:r>
      <w:r w:rsidR="004260C4">
        <w:rPr>
          <w:noProof/>
        </w:rPr>
        <w:t>14</w:t>
      </w:r>
      <w:r w:rsidR="00D6611F">
        <w:fldChar w:fldCharType="end"/>
      </w:r>
      <w:r>
        <w:t xml:space="preserve">); a recession of water levels </w:t>
      </w:r>
      <w:r w:rsidRPr="0012327F">
        <w:t>at Lock 1 (</w:t>
      </w:r>
      <w:r w:rsidR="0012327F" w:rsidRPr="0012327F">
        <w:t>Figures G3 and G4 in Appendix G</w:t>
      </w:r>
      <w:r w:rsidRPr="0012327F">
        <w:t>);</w:t>
      </w:r>
      <w:r>
        <w:t xml:space="preserve"> and, potentially, the downstream passage of water from Weir Pool 2 following </w:t>
      </w:r>
      <w:r w:rsidRPr="0012327F">
        <w:t>WPR (</w:t>
      </w:r>
      <w:r w:rsidR="0012327F" w:rsidRPr="0012327F">
        <w:t>Figures G3 and G4 in Appendix G</w:t>
      </w:r>
      <w:r w:rsidRPr="0012327F">
        <w:t>),</w:t>
      </w:r>
      <w:r>
        <w:t xml:space="preserve"> which was supported by Commonwealth environmental water (Appendix B). It is unclear if </w:t>
      </w:r>
      <w:r>
        <w:rPr>
          <w:szCs w:val="22"/>
        </w:rPr>
        <w:t xml:space="preserve">the declines in diversity and density were related to the effects of the drawdown from Weir Pool 2 (e.g. </w:t>
      </w:r>
      <w:r w:rsidR="005F6249">
        <w:rPr>
          <w:szCs w:val="22"/>
        </w:rPr>
        <w:t>toxic leachates</w:t>
      </w:r>
      <w:r>
        <w:rPr>
          <w:szCs w:val="22"/>
        </w:rPr>
        <w:t xml:space="preserve"> from </w:t>
      </w:r>
      <w:r w:rsidR="005F6249">
        <w:rPr>
          <w:szCs w:val="22"/>
        </w:rPr>
        <w:t xml:space="preserve">a </w:t>
      </w:r>
      <w:r>
        <w:rPr>
          <w:szCs w:val="22"/>
        </w:rPr>
        <w:t>newly wetted area</w:t>
      </w:r>
      <w:r w:rsidR="005F6249">
        <w:rPr>
          <w:szCs w:val="22"/>
        </w:rPr>
        <w:t xml:space="preserve">, Portinho </w:t>
      </w:r>
      <w:r w:rsidR="005F6249" w:rsidRPr="005F6249">
        <w:rPr>
          <w:i/>
          <w:szCs w:val="22"/>
        </w:rPr>
        <w:t>et al.</w:t>
      </w:r>
      <w:r w:rsidR="005F6249">
        <w:rPr>
          <w:szCs w:val="22"/>
        </w:rPr>
        <w:t xml:space="preserve"> 2016</w:t>
      </w:r>
      <w:r>
        <w:rPr>
          <w:szCs w:val="22"/>
        </w:rPr>
        <w:t xml:space="preserve">), or a ‘new’ in-channel </w:t>
      </w:r>
      <w:r w:rsidR="00512EB7">
        <w:rPr>
          <w:szCs w:val="22"/>
        </w:rPr>
        <w:t>pulse</w:t>
      </w:r>
      <w:r>
        <w:rPr>
          <w:szCs w:val="22"/>
        </w:rPr>
        <w:t xml:space="preserve"> low in microinvertebrates. Reductions in dissolved oxygen measurements below Lock 1 following the drawdown of water from Weir Pool 2 during the sampling period are not evident (Figure C1 in Appendix C). </w:t>
      </w:r>
      <w:r>
        <w:t xml:space="preserve">While densities and diversities remained low and stable below Lock 1 during the water level </w:t>
      </w:r>
      <w:r w:rsidRPr="009D1086">
        <w:t xml:space="preserve">recession in Weir Pool 2 </w:t>
      </w:r>
      <w:r w:rsidRPr="000F0F8F">
        <w:t>(lag effect of travel time taken into account)</w:t>
      </w:r>
      <w:r w:rsidRPr="009D1086">
        <w:t>, there</w:t>
      </w:r>
      <w:r>
        <w:t xml:space="preserve"> was an increase in the number of littoral taxa (e.g. </w:t>
      </w:r>
      <w:r w:rsidRPr="001448A7">
        <w:t>testate amoebae and littoral rotifers</w:t>
      </w:r>
      <w:r>
        <w:t xml:space="preserve">, e.g. </w:t>
      </w:r>
      <w:r w:rsidRPr="001448A7">
        <w:rPr>
          <w:i/>
        </w:rPr>
        <w:t>Trichocera</w:t>
      </w:r>
      <w:r>
        <w:t>) during this period in mid-December</w:t>
      </w:r>
      <w:r w:rsidR="009A4459">
        <w:t xml:space="preserve">. </w:t>
      </w:r>
      <w:r w:rsidR="006868EB" w:rsidRPr="00132BC5">
        <w:t xml:space="preserve">These littoral taxa could have originated from flushed littoral margins of Weir Pool 2 </w:t>
      </w:r>
      <w:r w:rsidR="006868EB" w:rsidRPr="006868EB">
        <w:rPr>
          <w:color w:val="auto"/>
        </w:rPr>
        <w:t xml:space="preserve">from WPR or from </w:t>
      </w:r>
      <w:r w:rsidR="006868EB" w:rsidRPr="00132BC5">
        <w:t>a suite of management</w:t>
      </w:r>
      <w:r w:rsidR="006868EB">
        <w:t xml:space="preserve"> interventions further upstream, such as </w:t>
      </w:r>
      <w:r w:rsidR="006868EB" w:rsidRPr="00132BC5">
        <w:t>rai</w:t>
      </w:r>
      <w:r w:rsidR="00351DB5">
        <w:t>sings or lowering of Weir Pools </w:t>
      </w:r>
      <w:r w:rsidR="006868EB" w:rsidRPr="00132BC5">
        <w:t>5, 7, 8, 9 and 15, Chowilla in-channel rise or Barmah–Millew</w:t>
      </w:r>
      <w:r w:rsidR="006868EB">
        <w:t>a Forest floodplain inundation (</w:t>
      </w:r>
      <w:r w:rsidR="006868EB" w:rsidRPr="00132BC5">
        <w:t>Appendix B)</w:t>
      </w:r>
      <w:r w:rsidR="006868EB">
        <w:t>.</w:t>
      </w:r>
    </w:p>
    <w:p w14:paraId="47D6C7A9" w14:textId="5A150258" w:rsidR="002F5A3C" w:rsidRDefault="002F5A3C" w:rsidP="00FF7562">
      <w:pPr>
        <w:rPr>
          <w:szCs w:val="22"/>
        </w:rPr>
      </w:pPr>
    </w:p>
    <w:p w14:paraId="0E84DEC3" w14:textId="56EECED3" w:rsidR="00E034E8" w:rsidRDefault="00F70A70" w:rsidP="002F5A3C">
      <w:pPr>
        <w:jc w:val="center"/>
      </w:pPr>
      <w:r w:rsidRPr="00F70A70">
        <w:rPr>
          <w:noProof/>
          <w:lang w:eastAsia="en-AU"/>
        </w:rPr>
        <w:lastRenderedPageBreak/>
        <w:drawing>
          <wp:inline distT="0" distB="0" distL="0" distR="0" wp14:anchorId="54411CD1" wp14:editId="23BA9AB4">
            <wp:extent cx="5038343" cy="5593278"/>
            <wp:effectExtent l="0" t="0" r="0" b="762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l="5755" t="4248"/>
                    <a:stretch/>
                  </pic:blipFill>
                  <pic:spPr bwMode="auto">
                    <a:xfrm>
                      <a:off x="0" y="0"/>
                      <a:ext cx="5043573" cy="5599084"/>
                    </a:xfrm>
                    <a:prstGeom prst="rect">
                      <a:avLst/>
                    </a:prstGeom>
                    <a:noFill/>
                    <a:ln>
                      <a:noFill/>
                    </a:ln>
                    <a:extLst>
                      <a:ext uri="{53640926-AAD7-44D8-BBD7-CCE9431645EC}">
                        <a14:shadowObscured xmlns:a14="http://schemas.microsoft.com/office/drawing/2010/main"/>
                      </a:ext>
                    </a:extLst>
                  </pic:spPr>
                </pic:pic>
              </a:graphicData>
            </a:graphic>
          </wp:inline>
        </w:drawing>
      </w:r>
    </w:p>
    <w:p w14:paraId="1A6287C1" w14:textId="0F04C09A" w:rsidR="00E034E8" w:rsidRPr="00E034E8" w:rsidRDefault="00E034E8" w:rsidP="00B46038">
      <w:pPr>
        <w:pStyle w:val="Captions"/>
      </w:pPr>
      <w:bookmarkStart w:id="104" w:name="_Ref433380781"/>
      <w:bookmarkStart w:id="105" w:name="_Toc442173734"/>
      <w:bookmarkStart w:id="106" w:name="_Toc474147038"/>
      <w:r>
        <w:t xml:space="preserve">Figure </w:t>
      </w:r>
      <w:r w:rsidR="00C63D36">
        <w:fldChar w:fldCharType="begin"/>
      </w:r>
      <w:r w:rsidR="00C63D36">
        <w:instrText xml:space="preserve"> SEQ Figure \* ARABIC </w:instrText>
      </w:r>
      <w:r w:rsidR="00C63D36">
        <w:fldChar w:fldCharType="separate"/>
      </w:r>
      <w:r w:rsidR="004260C4">
        <w:rPr>
          <w:noProof/>
        </w:rPr>
        <w:t>14</w:t>
      </w:r>
      <w:r w:rsidR="00C63D36">
        <w:fldChar w:fldCharType="end"/>
      </w:r>
      <w:bookmarkEnd w:id="104"/>
      <w:r>
        <w:t xml:space="preserve">. </w:t>
      </w:r>
      <w:bookmarkEnd w:id="105"/>
      <w:r w:rsidR="00FF7562" w:rsidRPr="00E034E8">
        <w:t>Mean (±S.E.) (</w:t>
      </w:r>
      <w:r w:rsidR="00BE01B3">
        <w:t>a</w:t>
      </w:r>
      <w:r w:rsidR="00FF7562" w:rsidRPr="00E034E8">
        <w:t xml:space="preserve">) density and (b) </w:t>
      </w:r>
      <w:r w:rsidR="00FF7562">
        <w:t>taxa</w:t>
      </w:r>
      <w:r w:rsidR="00FF7562" w:rsidRPr="00E034E8">
        <w:t xml:space="preserve"> richness of microinvertebrates col</w:t>
      </w:r>
      <w:r w:rsidR="00FF7562">
        <w:t xml:space="preserve">lected in the </w:t>
      </w:r>
      <w:r w:rsidR="00FF7562" w:rsidRPr="00E034E8">
        <w:t>LMR Select</w:t>
      </w:r>
      <w:r w:rsidR="00FF7562">
        <w:t xml:space="preserve">ed Area at sites </w:t>
      </w:r>
      <w:r w:rsidR="00335B22">
        <w:t xml:space="preserve">below </w:t>
      </w:r>
      <w:r w:rsidR="00FF7562" w:rsidRPr="00E034E8">
        <w:t>Lock 1 (light bars</w:t>
      </w:r>
      <w:r w:rsidR="00FF7562">
        <w:t>) and Lock 6 (dark bars) in 2015/16, plotted against discharge (ML </w:t>
      </w:r>
      <w:r w:rsidR="00FF7562" w:rsidRPr="00E034E8">
        <w:t>day</w:t>
      </w:r>
      <w:r w:rsidR="00FF7562">
        <w:rPr>
          <w:vertAlign w:val="superscript"/>
        </w:rPr>
        <w:noBreakHyphen/>
      </w:r>
      <w:r w:rsidR="00FF7562" w:rsidRPr="00E034E8">
        <w:rPr>
          <w:vertAlign w:val="superscript"/>
        </w:rPr>
        <w:t>1</w:t>
      </w:r>
      <w:r w:rsidR="00FF7562" w:rsidRPr="00E034E8">
        <w:t xml:space="preserve">) in the </w:t>
      </w:r>
      <w:r w:rsidR="00FF7562">
        <w:t>LMR</w:t>
      </w:r>
      <w:r w:rsidR="00FF7562" w:rsidRPr="00E034E8">
        <w:t xml:space="preserve"> at the South Australian border (solid grey line) and water temperature (°C) (dashed black line). Sampling was undertaken approximately fortnightly from </w:t>
      </w:r>
      <w:r w:rsidR="00FF7562">
        <w:t xml:space="preserve">6 October 2015 to </w:t>
      </w:r>
      <w:r w:rsidR="00FF7562" w:rsidRPr="00E034E8">
        <w:t>2</w:t>
      </w:r>
      <w:r w:rsidR="00FF7562">
        <w:t>1</w:t>
      </w:r>
      <w:r w:rsidR="00FF7562" w:rsidRPr="00E034E8">
        <w:t xml:space="preserve"> January 201</w:t>
      </w:r>
      <w:r w:rsidR="00FF7562">
        <w:t>6</w:t>
      </w:r>
      <w:r w:rsidR="00FF7562" w:rsidRPr="00E034E8">
        <w:t>.</w:t>
      </w:r>
      <w:bookmarkEnd w:id="106"/>
    </w:p>
    <w:p w14:paraId="133F53B7" w14:textId="1D7DCD88" w:rsidR="004060D9" w:rsidRDefault="004060D9" w:rsidP="004060D9">
      <w:bookmarkStart w:id="107" w:name="_Toc441838736"/>
      <w:r>
        <w:t>While not as abrupt as below Lock 1, microinvertebrate density below Lock 6 showed a similar pattern; there was an increase from October to early November (1,178 ind. L</w:t>
      </w:r>
      <w:r w:rsidR="00D87E0C">
        <w:rPr>
          <w:vertAlign w:val="superscript"/>
        </w:rPr>
        <w:noBreakHyphen/>
      </w:r>
      <w:r w:rsidRPr="00193C5A">
        <w:rPr>
          <w:vertAlign w:val="superscript"/>
        </w:rPr>
        <w:t>1</w:t>
      </w:r>
      <w:r>
        <w:t>) and a decline in mid-</w:t>
      </w:r>
      <w:r w:rsidRPr="000F0F8F">
        <w:t>November (623 ind. L</w:t>
      </w:r>
      <w:r w:rsidRPr="000F0F8F">
        <w:rPr>
          <w:vertAlign w:val="superscript"/>
        </w:rPr>
        <w:t>-1</w:t>
      </w:r>
      <w:r w:rsidRPr="000F0F8F">
        <w:t>)</w:t>
      </w:r>
      <w:r w:rsidR="00D6611F">
        <w:t xml:space="preserve"> (</w:t>
      </w:r>
      <w:r w:rsidR="00D6611F">
        <w:fldChar w:fldCharType="begin"/>
      </w:r>
      <w:r w:rsidR="00D6611F">
        <w:instrText xml:space="preserve"> REF _Ref433380781 \h </w:instrText>
      </w:r>
      <w:r w:rsidR="00D6611F">
        <w:fldChar w:fldCharType="separate"/>
      </w:r>
      <w:r w:rsidR="004260C4">
        <w:t xml:space="preserve">Figure </w:t>
      </w:r>
      <w:r w:rsidR="004260C4">
        <w:rPr>
          <w:noProof/>
        </w:rPr>
        <w:t>14</w:t>
      </w:r>
      <w:r w:rsidR="00D6611F">
        <w:fldChar w:fldCharType="end"/>
      </w:r>
      <w:r w:rsidRPr="000F0F8F">
        <w:t>).</w:t>
      </w:r>
      <w:r>
        <w:t xml:space="preserve"> Mean diversity below Lock 6 increased from mid-October (~24 taxa) to early November, where it remained constant (~33–40 taxa) through to early January.</w:t>
      </w:r>
      <w:r w:rsidR="009A4459">
        <w:t xml:space="preserve"> </w:t>
      </w:r>
      <w:r w:rsidR="006868EB" w:rsidRPr="00132BC5">
        <w:t xml:space="preserve">Increases in densities and diversity during early November below Lock 6 were likely influenced by multiple factors including antecedent high river flow, raised water levels of Weir Pool 5 (Figures </w:t>
      </w:r>
      <w:r w:rsidR="006868EB" w:rsidRPr="00132BC5">
        <w:lastRenderedPageBreak/>
        <w:t xml:space="preserve">G3 and G4 in Appendix G), flows from the Chowilla in-channel rise event or upstream management interventions (e.g. upstream weir pool manipulation or return flows from Barmah–Millewa Forest, Appendix B). Littoral testates and rotifers (e.g. </w:t>
      </w:r>
      <w:r w:rsidR="006868EB" w:rsidRPr="00132BC5">
        <w:rPr>
          <w:i/>
        </w:rPr>
        <w:t>Lecane</w:t>
      </w:r>
      <w:r w:rsidR="006868EB" w:rsidRPr="00132BC5">
        <w:t xml:space="preserve">, </w:t>
      </w:r>
      <w:r w:rsidR="006868EB" w:rsidRPr="00132BC5">
        <w:rPr>
          <w:i/>
        </w:rPr>
        <w:t>Cephalodella</w:t>
      </w:r>
      <w:r w:rsidR="006868EB" w:rsidRPr="00132BC5">
        <w:t xml:space="preserve">, </w:t>
      </w:r>
      <w:r w:rsidR="006868EB" w:rsidRPr="00132BC5">
        <w:rPr>
          <w:i/>
        </w:rPr>
        <w:t>Trichocerca</w:t>
      </w:r>
      <w:r w:rsidR="006868EB" w:rsidRPr="00132BC5">
        <w:t xml:space="preserve">) </w:t>
      </w:r>
      <w:r w:rsidR="006868EB">
        <w:t>in trap samples at this time were</w:t>
      </w:r>
      <w:r w:rsidR="006868EB" w:rsidRPr="00132BC5">
        <w:t xml:space="preserve"> evidence of incursions from littoral margins. In early October, obligate littoral taxa (</w:t>
      </w:r>
      <w:r w:rsidR="006868EB">
        <w:t>c</w:t>
      </w:r>
      <w:r w:rsidR="006868EB" w:rsidRPr="00132BC5">
        <w:t xml:space="preserve">hydorids </w:t>
      </w:r>
      <w:r w:rsidR="006868EB" w:rsidRPr="00132BC5">
        <w:rPr>
          <w:i/>
        </w:rPr>
        <w:t xml:space="preserve">Picripleuroxus, Pseudochydorus </w:t>
      </w:r>
      <w:r w:rsidR="006868EB" w:rsidRPr="00132BC5">
        <w:t xml:space="preserve">and </w:t>
      </w:r>
      <w:r w:rsidR="006868EB" w:rsidRPr="00132BC5">
        <w:rPr>
          <w:i/>
        </w:rPr>
        <w:t>Pseudomonospilus</w:t>
      </w:r>
      <w:r w:rsidR="006868EB" w:rsidRPr="00132BC5">
        <w:t>)</w:t>
      </w:r>
      <w:r w:rsidR="006868EB" w:rsidRPr="00132BC5">
        <w:rPr>
          <w:i/>
        </w:rPr>
        <w:t xml:space="preserve"> </w:t>
      </w:r>
      <w:r w:rsidR="006868EB" w:rsidRPr="00132BC5">
        <w:t>a</w:t>
      </w:r>
      <w:r w:rsidR="006868EB" w:rsidRPr="00E52609">
        <w:t xml:space="preserve">lso were recorded. Raised water levels (either in weir pools </w:t>
      </w:r>
      <w:r w:rsidR="005402CA" w:rsidRPr="00E52609">
        <w:t xml:space="preserve">or </w:t>
      </w:r>
      <w:r w:rsidR="005402CA">
        <w:t>Chowilla Creek</w:t>
      </w:r>
      <w:r w:rsidR="006868EB" w:rsidRPr="00E52609">
        <w:t>) likely led to longer residence time of microinvertebrates, potentially permitting densit</w:t>
      </w:r>
      <w:r w:rsidR="006868EB">
        <w:t>ies</w:t>
      </w:r>
      <w:r w:rsidR="006868EB" w:rsidRPr="00E52609">
        <w:t xml:space="preserve"> to </w:t>
      </w:r>
      <w:r w:rsidR="006868EB">
        <w:t>increase</w:t>
      </w:r>
      <w:r w:rsidR="006868EB" w:rsidRPr="00076549">
        <w:t xml:space="preserve"> </w:t>
      </w:r>
      <w:r w:rsidR="006868EB" w:rsidRPr="00E52609">
        <w:t xml:space="preserve">in early November, </w:t>
      </w:r>
      <w:r w:rsidR="006868EB">
        <w:t>which then led to</w:t>
      </w:r>
      <w:r w:rsidR="006868EB" w:rsidRPr="00E52609">
        <w:t xml:space="preserve"> </w:t>
      </w:r>
      <w:r w:rsidR="006868EB">
        <w:t xml:space="preserve">increased </w:t>
      </w:r>
      <w:r w:rsidR="006868EB" w:rsidRPr="00E52609">
        <w:t xml:space="preserve">diversity after these littoral taxa were flushed from littoral margins. </w:t>
      </w:r>
      <w:r w:rsidR="006868EB">
        <w:t xml:space="preserve">The presence of littoral taxa (e.g. chydorids and testates) at sites in the main river channel of the LMR downstream, and not the immediately upstream, of the Chowilla junction </w:t>
      </w:r>
      <w:r w:rsidR="00E70115">
        <w:t>(</w:t>
      </w:r>
      <w:r w:rsidR="00E70115">
        <w:fldChar w:fldCharType="begin"/>
      </w:r>
      <w:r w:rsidR="00E70115">
        <w:instrText xml:space="preserve"> REF _Ref382232091 \h </w:instrText>
      </w:r>
      <w:r w:rsidR="00E70115">
        <w:fldChar w:fldCharType="separate"/>
      </w:r>
      <w:r w:rsidR="004260C4" w:rsidRPr="00C757C7">
        <w:t xml:space="preserve">Figure </w:t>
      </w:r>
      <w:r w:rsidR="004260C4">
        <w:rPr>
          <w:noProof/>
        </w:rPr>
        <w:t>7</w:t>
      </w:r>
      <w:r w:rsidR="00E70115">
        <w:fldChar w:fldCharType="end"/>
      </w:r>
      <w:r w:rsidR="00E70115">
        <w:t xml:space="preserve">) </w:t>
      </w:r>
      <w:r w:rsidR="006868EB">
        <w:t xml:space="preserve">suggests that Chowilla was likely a source of these littoral taxa (e.g. return flows from the in-channel rise event, Appendix B). </w:t>
      </w:r>
      <w:r w:rsidR="006868EB" w:rsidRPr="00E52609">
        <w:t>Similar</w:t>
      </w:r>
      <w:r w:rsidR="006868EB" w:rsidRPr="00132BC5">
        <w:t xml:space="preserve"> to below Lock 1, a decline in microinvertebrate density below Lock 6 in mid-November/early December aligned with declining river flow</w:t>
      </w:r>
      <w:r w:rsidRPr="0012327F">
        <w:t xml:space="preserve"> </w:t>
      </w:r>
      <w:r w:rsidR="00D87E0C" w:rsidRPr="0012327F">
        <w:t>(</w:t>
      </w:r>
      <w:r w:rsidR="00D87E0C" w:rsidRPr="0012327F">
        <w:fldChar w:fldCharType="begin"/>
      </w:r>
      <w:r w:rsidR="00D87E0C" w:rsidRPr="0012327F">
        <w:instrText xml:space="preserve"> REF _Ref433380781 \h </w:instrText>
      </w:r>
      <w:r w:rsidR="0012327F">
        <w:instrText xml:space="preserve"> \* MERGEFORMAT </w:instrText>
      </w:r>
      <w:r w:rsidR="00D87E0C" w:rsidRPr="0012327F">
        <w:fldChar w:fldCharType="separate"/>
      </w:r>
      <w:r w:rsidR="004260C4">
        <w:t xml:space="preserve">Figure </w:t>
      </w:r>
      <w:r w:rsidR="004260C4">
        <w:rPr>
          <w:noProof/>
        </w:rPr>
        <w:t>14</w:t>
      </w:r>
      <w:r w:rsidR="00D87E0C" w:rsidRPr="0012327F">
        <w:fldChar w:fldCharType="end"/>
      </w:r>
      <w:r w:rsidR="00D87E0C" w:rsidRPr="0012327F">
        <w:t xml:space="preserve">) </w:t>
      </w:r>
      <w:r w:rsidRPr="0012327F">
        <w:t>and receding water levels following WPR</w:t>
      </w:r>
      <w:r w:rsidR="00D87E0C" w:rsidRPr="0012327F">
        <w:t xml:space="preserve"> (</w:t>
      </w:r>
      <w:r w:rsidR="0012327F" w:rsidRPr="0012327F">
        <w:t>Figures G3 in Appendix G</w:t>
      </w:r>
      <w:r w:rsidR="00D87E0C" w:rsidRPr="0012327F">
        <w:t>)</w:t>
      </w:r>
      <w:r w:rsidRPr="0012327F">
        <w:t>. However</w:t>
      </w:r>
      <w:r>
        <w:t>, diversity remained high (~33–40 t</w:t>
      </w:r>
      <w:r w:rsidR="00867CFF">
        <w:t>axa) during this period</w:t>
      </w:r>
      <w:r>
        <w:t xml:space="preserve"> due to the influx of littoral taxa from a number of possible sources. </w:t>
      </w:r>
    </w:p>
    <w:p w14:paraId="7F7B3D36" w14:textId="5983DD24" w:rsidR="004060D9" w:rsidRDefault="004060D9" w:rsidP="004060D9">
      <w:pPr>
        <w:rPr>
          <w:szCs w:val="22"/>
        </w:rPr>
      </w:pPr>
      <w:r w:rsidRPr="00A66967">
        <w:t>With warmer temperatures in January, density and diversity below Lock 1 and Lock 6 increased</w:t>
      </w:r>
      <w:r w:rsidR="00D6611F">
        <w:t xml:space="preserve"> (</w:t>
      </w:r>
      <w:r w:rsidR="00D6611F">
        <w:fldChar w:fldCharType="begin"/>
      </w:r>
      <w:r w:rsidR="00D6611F">
        <w:instrText xml:space="preserve"> REF _Ref433380781 \h </w:instrText>
      </w:r>
      <w:r w:rsidR="00D6611F">
        <w:fldChar w:fldCharType="separate"/>
      </w:r>
      <w:r w:rsidR="004260C4">
        <w:t xml:space="preserve">Figure </w:t>
      </w:r>
      <w:r w:rsidR="004260C4">
        <w:rPr>
          <w:noProof/>
        </w:rPr>
        <w:t>14</w:t>
      </w:r>
      <w:r w:rsidR="00D6611F">
        <w:fldChar w:fldCharType="end"/>
      </w:r>
      <w:r>
        <w:t>)</w:t>
      </w:r>
      <w:r w:rsidRPr="00A66967">
        <w:t xml:space="preserve">, within ranges comparable to those from 2014/15 (Ye </w:t>
      </w:r>
      <w:r w:rsidRPr="00A66967">
        <w:rPr>
          <w:i/>
        </w:rPr>
        <w:t>et al.</w:t>
      </w:r>
      <w:r w:rsidRPr="00A66967">
        <w:t xml:space="preserve"> 2016</w:t>
      </w:r>
      <w:r w:rsidR="007D5C95">
        <w:t>a</w:t>
      </w:r>
      <w:r w:rsidRPr="00A66967">
        <w:t xml:space="preserve">). </w:t>
      </w:r>
      <w:r>
        <w:t>U</w:t>
      </w:r>
      <w:r w:rsidRPr="00A66967">
        <w:t xml:space="preserve">ntil the end of sampling </w:t>
      </w:r>
      <w:r>
        <w:t>(</w:t>
      </w:r>
      <w:r w:rsidRPr="00A66967">
        <w:t>late January</w:t>
      </w:r>
      <w:r>
        <w:t>),</w:t>
      </w:r>
      <w:r w:rsidRPr="00A66967">
        <w:t xml:space="preserve"> </w:t>
      </w:r>
      <w:r>
        <w:t>t</w:t>
      </w:r>
      <w:r w:rsidRPr="00A66967">
        <w:t xml:space="preserve">he </w:t>
      </w:r>
      <w:r>
        <w:t xml:space="preserve">microinvertebrate </w:t>
      </w:r>
      <w:r w:rsidRPr="00A66967">
        <w:t xml:space="preserve">assemblage reverted to </w:t>
      </w:r>
      <w:r w:rsidR="00512EB7">
        <w:t>a protist</w:t>
      </w:r>
      <w:r>
        <w:t xml:space="preserve">/rotifer dominant </w:t>
      </w:r>
      <w:r w:rsidR="00512EB7">
        <w:t xml:space="preserve">potamoplankton </w:t>
      </w:r>
      <w:r>
        <w:t xml:space="preserve">from </w:t>
      </w:r>
      <w:r w:rsidR="00512EB7">
        <w:t>a mixed littoral/limnetic assemblage. Warmer temperatures favoured</w:t>
      </w:r>
      <w:r w:rsidRPr="00A66967">
        <w:t xml:space="preserve"> warm-water species such as </w:t>
      </w:r>
      <w:r w:rsidRPr="00A66967">
        <w:rPr>
          <w:i/>
        </w:rPr>
        <w:t>Codonaria</w:t>
      </w:r>
      <w:r w:rsidRPr="00A66967">
        <w:t xml:space="preserve"> and other ciliates, brachio</w:t>
      </w:r>
      <w:r w:rsidR="00512EB7">
        <w:t xml:space="preserve">nid and synchaetid rotifers </w:t>
      </w:r>
      <w:r w:rsidRPr="00A66967">
        <w:t xml:space="preserve">below Lock 1, and </w:t>
      </w:r>
      <w:r w:rsidRPr="00A66967">
        <w:rPr>
          <w:i/>
        </w:rPr>
        <w:t xml:space="preserve">Keratella lenzi </w:t>
      </w:r>
      <w:r w:rsidRPr="00A66967">
        <w:t>below Lock 6</w:t>
      </w:r>
      <w:r>
        <w:t xml:space="preserve"> (Appendix G)</w:t>
      </w:r>
      <w:r w:rsidRPr="00A66967">
        <w:t>.</w:t>
      </w:r>
      <w:r>
        <w:t xml:space="preserve"> </w:t>
      </w:r>
      <w:r>
        <w:rPr>
          <w:szCs w:val="22"/>
        </w:rPr>
        <w:t xml:space="preserve">As for 2014/15 (Ye </w:t>
      </w:r>
      <w:r w:rsidRPr="00152930">
        <w:rPr>
          <w:i/>
          <w:szCs w:val="22"/>
        </w:rPr>
        <w:t>et al.</w:t>
      </w:r>
      <w:r>
        <w:rPr>
          <w:szCs w:val="22"/>
        </w:rPr>
        <w:t xml:space="preserve"> 2016</w:t>
      </w:r>
      <w:r w:rsidR="007D5C95">
        <w:rPr>
          <w:szCs w:val="22"/>
        </w:rPr>
        <w:t>a</w:t>
      </w:r>
      <w:r>
        <w:rPr>
          <w:szCs w:val="22"/>
        </w:rPr>
        <w:t>), p</w:t>
      </w:r>
      <w:r w:rsidRPr="00B92927">
        <w:rPr>
          <w:szCs w:val="22"/>
        </w:rPr>
        <w:t xml:space="preserve">opulation density increases </w:t>
      </w:r>
      <w:r>
        <w:rPr>
          <w:szCs w:val="22"/>
        </w:rPr>
        <w:t xml:space="preserve">of microinvertebrates </w:t>
      </w:r>
      <w:r w:rsidRPr="00B92927">
        <w:t>below</w:t>
      </w:r>
      <w:r w:rsidRPr="00B92927">
        <w:rPr>
          <w:szCs w:val="22"/>
        </w:rPr>
        <w:t xml:space="preserve"> L</w:t>
      </w:r>
      <w:r w:rsidRPr="00B92927">
        <w:t>oc</w:t>
      </w:r>
      <w:r w:rsidRPr="00B92927">
        <w:rPr>
          <w:szCs w:val="22"/>
        </w:rPr>
        <w:t>k</w:t>
      </w:r>
      <w:r w:rsidRPr="00B92927">
        <w:t> </w:t>
      </w:r>
      <w:r w:rsidRPr="00B92927">
        <w:rPr>
          <w:szCs w:val="22"/>
        </w:rPr>
        <w:t xml:space="preserve">1 </w:t>
      </w:r>
      <w:r>
        <w:rPr>
          <w:szCs w:val="22"/>
        </w:rPr>
        <w:t xml:space="preserve">and Lock 6 </w:t>
      </w:r>
      <w:r w:rsidRPr="00B92927">
        <w:rPr>
          <w:szCs w:val="22"/>
        </w:rPr>
        <w:t>during Jan</w:t>
      </w:r>
      <w:r w:rsidRPr="00B92927">
        <w:t>uary</w:t>
      </w:r>
      <w:r>
        <w:t xml:space="preserve"> </w:t>
      </w:r>
      <w:r w:rsidRPr="00B92927">
        <w:rPr>
          <w:szCs w:val="22"/>
        </w:rPr>
        <w:t xml:space="preserve">were </w:t>
      </w:r>
      <w:r>
        <w:rPr>
          <w:szCs w:val="22"/>
        </w:rPr>
        <w:t xml:space="preserve">likely </w:t>
      </w:r>
      <w:r w:rsidRPr="00B92927">
        <w:rPr>
          <w:szCs w:val="22"/>
        </w:rPr>
        <w:t xml:space="preserve">attributable to downstream passage of </w:t>
      </w:r>
      <w:r>
        <w:rPr>
          <w:szCs w:val="22"/>
        </w:rPr>
        <w:t xml:space="preserve">upstream </w:t>
      </w:r>
      <w:r w:rsidRPr="00B92927">
        <w:rPr>
          <w:szCs w:val="22"/>
        </w:rPr>
        <w:t xml:space="preserve">assemblage, additional taxa collected </w:t>
      </w:r>
      <w:r>
        <w:rPr>
          <w:szCs w:val="22"/>
        </w:rPr>
        <w:t>moving downstream</w:t>
      </w:r>
      <w:r w:rsidRPr="00B92927">
        <w:rPr>
          <w:szCs w:val="22"/>
        </w:rPr>
        <w:t>, and instream reproduction.</w:t>
      </w:r>
      <w:r>
        <w:rPr>
          <w:szCs w:val="22"/>
        </w:rPr>
        <w:t xml:space="preserve"> </w:t>
      </w:r>
    </w:p>
    <w:p w14:paraId="35E8477D" w14:textId="56C830DA" w:rsidR="004060D9" w:rsidRPr="00895746" w:rsidRDefault="006868EB" w:rsidP="004060D9">
      <w:r w:rsidRPr="00132BC5">
        <w:t>Notably, 25% (44 taxa) of the 2015/16 microinvertebrates (6 Rhizopoda, 27 Rotifera (mostly littoral in habit), 3 Cladocera, 3 Copepoda and 2 macroinvertebrates) recorded in the trap samples were not recorded in the previous year. Of these, rotifers</w:t>
      </w:r>
      <w:r w:rsidRPr="00132BC5">
        <w:rPr>
          <w:i/>
        </w:rPr>
        <w:t xml:space="preserve"> Hexarthra braziliensis</w:t>
      </w:r>
      <w:r w:rsidRPr="00132BC5">
        <w:t xml:space="preserve"> and </w:t>
      </w:r>
      <w:r w:rsidRPr="00132BC5">
        <w:rPr>
          <w:i/>
        </w:rPr>
        <w:t>Keratella americana</w:t>
      </w:r>
      <w:r>
        <w:rPr>
          <w:i/>
        </w:rPr>
        <w:t xml:space="preserve">, </w:t>
      </w:r>
      <w:r>
        <w:t xml:space="preserve">and </w:t>
      </w:r>
      <w:r w:rsidRPr="005402CA">
        <w:t xml:space="preserve">cladoceran </w:t>
      </w:r>
      <w:r>
        <w:rPr>
          <w:i/>
        </w:rPr>
        <w:t>Daphnia galeata</w:t>
      </w:r>
      <w:r w:rsidRPr="00132BC5">
        <w:t xml:space="preserve"> (‘notable taxa’ in Appendix G) are new to the continent, </w:t>
      </w:r>
      <w:r w:rsidRPr="00132BC5">
        <w:rPr>
          <w:i/>
        </w:rPr>
        <w:t xml:space="preserve">Brachionus caudatus, B. </w:t>
      </w:r>
      <w:r w:rsidRPr="00132BC5">
        <w:rPr>
          <w:i/>
        </w:rPr>
        <w:lastRenderedPageBreak/>
        <w:t>lyratus, Keratella javana and Filinia brachiata</w:t>
      </w:r>
      <w:r w:rsidRPr="00132BC5">
        <w:t xml:space="preserve"> among other</w:t>
      </w:r>
      <w:r w:rsidRPr="00132BC5">
        <w:rPr>
          <w:i/>
        </w:rPr>
        <w:t xml:space="preserve"> </w:t>
      </w:r>
      <w:r w:rsidRPr="00132BC5">
        <w:t>rare floodplain incursion species,</w:t>
      </w:r>
      <w:r w:rsidRPr="00132BC5">
        <w:rPr>
          <w:i/>
        </w:rPr>
        <w:t xml:space="preserve"> </w:t>
      </w:r>
      <w:r w:rsidRPr="00132BC5">
        <w:t xml:space="preserve">and the chydorids </w:t>
      </w:r>
      <w:r w:rsidRPr="00132BC5">
        <w:rPr>
          <w:i/>
        </w:rPr>
        <w:t xml:space="preserve">Pseudochydorus </w:t>
      </w:r>
      <w:r w:rsidRPr="00132BC5">
        <w:t>and</w:t>
      </w:r>
      <w:r w:rsidRPr="00132BC5">
        <w:rPr>
          <w:i/>
        </w:rPr>
        <w:t xml:space="preserve"> Picripleuroxus </w:t>
      </w:r>
      <w:r w:rsidRPr="00132BC5">
        <w:t>recorded from the LMR for the first time.</w:t>
      </w:r>
      <w:r w:rsidR="004060D9">
        <w:rPr>
          <w:szCs w:val="22"/>
        </w:rPr>
        <w:t xml:space="preserve"> </w:t>
      </w:r>
    </w:p>
    <w:p w14:paraId="51CC0C55" w14:textId="77777777" w:rsidR="005578F3" w:rsidRPr="00CC39E2" w:rsidRDefault="005578F3" w:rsidP="005578F3">
      <w:pPr>
        <w:pStyle w:val="Heading3"/>
      </w:pPr>
      <w:bookmarkStart w:id="108" w:name="_Toc474147061"/>
      <w:r w:rsidRPr="00645AC8">
        <w:t>Fish Spawning and Recruitment</w:t>
      </w:r>
      <w:bookmarkEnd w:id="107"/>
      <w:bookmarkEnd w:id="108"/>
    </w:p>
    <w:p w14:paraId="30367708" w14:textId="1A6BED40" w:rsidR="00E16C3F" w:rsidRPr="00DA725D" w:rsidRDefault="002612B9" w:rsidP="00E16C3F">
      <w:pPr>
        <w:rPr>
          <w:bCs/>
          <w:lang w:val="en-US"/>
        </w:rPr>
      </w:pPr>
      <w:r w:rsidRPr="00DA725D">
        <w:rPr>
          <w:bCs/>
        </w:rPr>
        <w:t>S</w:t>
      </w:r>
      <w:r w:rsidRPr="00DA725D">
        <w:rPr>
          <w:bCs/>
          <w:lang w:val="en-US"/>
        </w:rPr>
        <w:t>pawning and recruitment of golden perch (</w:t>
      </w:r>
      <w:r w:rsidRPr="00DA725D">
        <w:rPr>
          <w:bCs/>
          <w:i/>
          <w:lang w:val="en-US"/>
        </w:rPr>
        <w:t>Macquaria ambigua ambigua</w:t>
      </w:r>
      <w:r w:rsidRPr="00DA725D">
        <w:rPr>
          <w:bCs/>
          <w:lang w:val="en-US"/>
        </w:rPr>
        <w:t xml:space="preserve">) in the southern MDB corresponds with </w:t>
      </w:r>
      <w:r w:rsidR="00F249BD">
        <w:rPr>
          <w:bCs/>
          <w:lang w:val="en-US"/>
        </w:rPr>
        <w:t>increases in water temperature and</w:t>
      </w:r>
      <w:r>
        <w:rPr>
          <w:bCs/>
          <w:lang w:val="en-US"/>
        </w:rPr>
        <w:t xml:space="preserve"> discharge, either </w:t>
      </w:r>
      <w:r w:rsidR="0035197A">
        <w:rPr>
          <w:bCs/>
          <w:lang w:val="en-US"/>
        </w:rPr>
        <w:t>in-</w:t>
      </w:r>
      <w:r>
        <w:rPr>
          <w:bCs/>
          <w:lang w:val="en-US"/>
        </w:rPr>
        <w:t xml:space="preserve">channel or </w:t>
      </w:r>
      <w:r w:rsidRPr="00DA725D">
        <w:rPr>
          <w:bCs/>
          <w:lang w:val="en-US"/>
        </w:rPr>
        <w:t xml:space="preserve">overbank </w:t>
      </w:r>
      <w:r w:rsidRPr="00DA725D">
        <w:rPr>
          <w:bCs/>
        </w:rPr>
        <w:t>(Mallen-Cooper and Stuart 2003; Zampatti and Leigh 2013a; 2013b)</w:t>
      </w:r>
      <w:r w:rsidRPr="00DA725D">
        <w:rPr>
          <w:bCs/>
          <w:lang w:val="en-US"/>
        </w:rPr>
        <w:t xml:space="preserve">. </w:t>
      </w:r>
      <w:r>
        <w:rPr>
          <w:bCs/>
          <w:lang w:val="en-US"/>
        </w:rPr>
        <w:t xml:space="preserve">Similarly, abundant year classes of silver perch in the southern MDB correspond to in-channel increases in discharge (Mallen-Cooper and Stuart 2003). </w:t>
      </w:r>
      <w:r w:rsidRPr="00DA725D">
        <w:rPr>
          <w:bCs/>
          <w:lang w:val="en-US"/>
        </w:rPr>
        <w:t>As such, golden perch</w:t>
      </w:r>
      <w:r>
        <w:rPr>
          <w:bCs/>
          <w:lang w:val="en-US"/>
        </w:rPr>
        <w:t xml:space="preserve"> and silver perch</w:t>
      </w:r>
      <w:r w:rsidRPr="00DA725D">
        <w:rPr>
          <w:bCs/>
          <w:lang w:val="en-US"/>
        </w:rPr>
        <w:t xml:space="preserve"> </w:t>
      </w:r>
      <w:r>
        <w:rPr>
          <w:bCs/>
          <w:lang w:val="en-US"/>
        </w:rPr>
        <w:t>are</w:t>
      </w:r>
      <w:r w:rsidRPr="00DA725D">
        <w:rPr>
          <w:bCs/>
          <w:lang w:val="en-US"/>
        </w:rPr>
        <w:t xml:space="preserve"> considered candidate </w:t>
      </w:r>
      <w:r w:rsidR="00FC784D">
        <w:rPr>
          <w:bCs/>
          <w:lang w:val="en-US"/>
        </w:rPr>
        <w:t xml:space="preserve">flow-dependent </w:t>
      </w:r>
      <w:r w:rsidR="00E16C3F" w:rsidRPr="00DA725D">
        <w:rPr>
          <w:bCs/>
          <w:lang w:val="en-US"/>
        </w:rPr>
        <w:t>species for measuring ecological r</w:t>
      </w:r>
      <w:r w:rsidR="005379F7">
        <w:rPr>
          <w:bCs/>
          <w:lang w:val="en-US"/>
        </w:rPr>
        <w:t xml:space="preserve">esponse to environmental </w:t>
      </w:r>
      <w:r>
        <w:rPr>
          <w:bCs/>
          <w:lang w:val="en-US"/>
        </w:rPr>
        <w:t>water allocations</w:t>
      </w:r>
      <w:r w:rsidR="005379F7">
        <w:rPr>
          <w:bCs/>
          <w:lang w:val="en-US"/>
        </w:rPr>
        <w:t>.</w:t>
      </w:r>
      <w:r w:rsidR="00E16C3F" w:rsidRPr="00DA725D">
        <w:rPr>
          <w:bCs/>
          <w:lang w:val="en-US"/>
        </w:rPr>
        <w:t xml:space="preserve"> </w:t>
      </w:r>
      <w:r w:rsidR="00E16C3F" w:rsidRPr="00DA725D">
        <w:rPr>
          <w:bCs/>
        </w:rPr>
        <w:t>Understanding the influence of hydrology on the population dynamics of golden perch</w:t>
      </w:r>
      <w:r w:rsidR="00727448">
        <w:rPr>
          <w:bCs/>
        </w:rPr>
        <w:t xml:space="preserve"> and silver perch</w:t>
      </w:r>
      <w:r w:rsidR="00E16C3F" w:rsidRPr="00DA725D">
        <w:rPr>
          <w:bCs/>
        </w:rPr>
        <w:t>, however, is reliant on accurately determining the hydrological conditions at the time and place of crucial life</w:t>
      </w:r>
      <w:r w:rsidR="00CA1E4D">
        <w:rPr>
          <w:bCs/>
        </w:rPr>
        <w:t xml:space="preserve"> </w:t>
      </w:r>
      <w:r w:rsidR="00E16C3F" w:rsidRPr="00DA725D">
        <w:rPr>
          <w:bCs/>
        </w:rPr>
        <w:t>history processes. For example, to be able to accurately associate river flow with spawning, the time and place of spawning must be known.</w:t>
      </w:r>
      <w:r w:rsidR="00E16C3F" w:rsidRPr="00DA725D">
        <w:rPr>
          <w:bCs/>
          <w:lang w:val="en-US"/>
        </w:rPr>
        <w:t xml:space="preserve"> </w:t>
      </w:r>
    </w:p>
    <w:p w14:paraId="4F9381F5" w14:textId="7D6655FD" w:rsidR="00E16C3F" w:rsidRPr="00DA725D" w:rsidRDefault="002612B9" w:rsidP="00E16C3F">
      <w:pPr>
        <w:rPr>
          <w:bCs/>
        </w:rPr>
      </w:pPr>
      <w:r w:rsidRPr="002E5899">
        <w:rPr>
          <w:bCs/>
        </w:rPr>
        <w:t xml:space="preserve">In 2015/16, </w:t>
      </w:r>
      <w:r>
        <w:rPr>
          <w:bCs/>
        </w:rPr>
        <w:t>814</w:t>
      </w:r>
      <w:r w:rsidRPr="002E5899">
        <w:rPr>
          <w:bCs/>
        </w:rPr>
        <w:t xml:space="preserve"> GL of Commonwealth environmental water was </w:t>
      </w:r>
      <w:r w:rsidR="00F322AB">
        <w:rPr>
          <w:bCs/>
        </w:rPr>
        <w:t>delivered</w:t>
      </w:r>
      <w:r w:rsidR="00F322AB" w:rsidRPr="002E5899">
        <w:rPr>
          <w:bCs/>
        </w:rPr>
        <w:t xml:space="preserve"> </w:t>
      </w:r>
      <w:r w:rsidRPr="002E5899">
        <w:rPr>
          <w:bCs/>
        </w:rPr>
        <w:t xml:space="preserve">to the LMR Selected Area with environmental water peaking at </w:t>
      </w:r>
      <w:r w:rsidRPr="002E5899">
        <w:t>~6,700 ML day</w:t>
      </w:r>
      <w:r w:rsidRPr="002E5899">
        <w:rPr>
          <w:vertAlign w:val="superscript"/>
        </w:rPr>
        <w:t>-1</w:t>
      </w:r>
      <w:r w:rsidRPr="002E5899">
        <w:t xml:space="preserve"> on 2</w:t>
      </w:r>
      <w:r>
        <w:t>8 </w:t>
      </w:r>
      <w:r w:rsidRPr="002E5899">
        <w:t>October 2015</w:t>
      </w:r>
      <w:r>
        <w:t xml:space="preserve">, </w:t>
      </w:r>
      <w:r w:rsidR="00F50296">
        <w:t>during</w:t>
      </w:r>
      <w:r>
        <w:t xml:space="preserve"> a peak in total discharge of</w:t>
      </w:r>
      <w:r>
        <w:rPr>
          <w:bCs/>
        </w:rPr>
        <w:t xml:space="preserve"> </w:t>
      </w:r>
      <w:r>
        <w:t>~11,600 ML </w:t>
      </w:r>
      <w:r w:rsidRPr="002E5899">
        <w:t>day</w:t>
      </w:r>
      <w:r>
        <w:rPr>
          <w:vertAlign w:val="superscript"/>
        </w:rPr>
        <w:noBreakHyphen/>
      </w:r>
      <w:r w:rsidRPr="002E5899">
        <w:rPr>
          <w:vertAlign w:val="superscript"/>
        </w:rPr>
        <w:t>1</w:t>
      </w:r>
      <w:r w:rsidR="00D13C46">
        <w:rPr>
          <w:bCs/>
        </w:rPr>
        <w:t xml:space="preserve"> (</w:t>
      </w:r>
      <w:r w:rsidR="00394AA8">
        <w:rPr>
          <w:bCs/>
        </w:rPr>
        <w:fldChar w:fldCharType="begin"/>
      </w:r>
      <w:r w:rsidR="00D13C46">
        <w:rPr>
          <w:bCs/>
        </w:rPr>
        <w:instrText xml:space="preserve"> REF _Ref416335496 \h </w:instrText>
      </w:r>
      <w:r w:rsidR="00394AA8">
        <w:rPr>
          <w:bCs/>
        </w:rPr>
      </w:r>
      <w:r w:rsidR="00394AA8">
        <w:rPr>
          <w:bCs/>
        </w:rPr>
        <w:fldChar w:fldCharType="separate"/>
      </w:r>
      <w:r w:rsidR="004260C4" w:rsidRPr="00160EF9">
        <w:t xml:space="preserve">Figure </w:t>
      </w:r>
      <w:r w:rsidR="004260C4">
        <w:rPr>
          <w:noProof/>
        </w:rPr>
        <w:t>3</w:t>
      </w:r>
      <w:r w:rsidR="00394AA8">
        <w:rPr>
          <w:bCs/>
        </w:rPr>
        <w:fldChar w:fldCharType="end"/>
      </w:r>
      <w:r w:rsidR="00D13C46">
        <w:rPr>
          <w:bCs/>
        </w:rPr>
        <w:t xml:space="preserve">). </w:t>
      </w:r>
      <w:r w:rsidR="00E16C3F" w:rsidRPr="002E5899">
        <w:rPr>
          <w:bCs/>
        </w:rPr>
        <w:t>To</w:t>
      </w:r>
      <w:r w:rsidR="00E16C3F" w:rsidRPr="00DA725D">
        <w:rPr>
          <w:bCs/>
        </w:rPr>
        <w:t xml:space="preserve"> evaluate the contribution of Commonwealth environmental water to the spawning and recruitment of </w:t>
      </w:r>
      <w:r w:rsidR="00FC784D" w:rsidRPr="00DA725D">
        <w:rPr>
          <w:bCs/>
        </w:rPr>
        <w:t>golden perch</w:t>
      </w:r>
      <w:r w:rsidR="00FC784D">
        <w:rPr>
          <w:bCs/>
        </w:rPr>
        <w:t xml:space="preserve"> and silver perch</w:t>
      </w:r>
      <w:r w:rsidR="00FC784D" w:rsidRPr="00DA725D">
        <w:rPr>
          <w:bCs/>
        </w:rPr>
        <w:t xml:space="preserve"> </w:t>
      </w:r>
      <w:r w:rsidR="00E16C3F" w:rsidRPr="00DA725D">
        <w:rPr>
          <w:bCs/>
        </w:rPr>
        <w:t xml:space="preserve">in the LMR Selected Area, we sampled larval and young-of-year (YOY) </w:t>
      </w:r>
      <w:r w:rsidR="000F1913">
        <w:rPr>
          <w:bCs/>
        </w:rPr>
        <w:t>(</w:t>
      </w:r>
      <w:r w:rsidR="00394AA8">
        <w:rPr>
          <w:bCs/>
        </w:rPr>
        <w:fldChar w:fldCharType="begin"/>
      </w:r>
      <w:r w:rsidR="000F1913">
        <w:rPr>
          <w:bCs/>
        </w:rPr>
        <w:instrText xml:space="preserve"> REF _Ref438737671 \h </w:instrText>
      </w:r>
      <w:r w:rsidR="00394AA8">
        <w:rPr>
          <w:bCs/>
        </w:rPr>
      </w:r>
      <w:r w:rsidR="00394AA8">
        <w:rPr>
          <w:bCs/>
        </w:rPr>
        <w:fldChar w:fldCharType="separate"/>
      </w:r>
      <w:r w:rsidR="004260C4">
        <w:t xml:space="preserve">Figure </w:t>
      </w:r>
      <w:r w:rsidR="004260C4">
        <w:rPr>
          <w:noProof/>
        </w:rPr>
        <w:t>15</w:t>
      </w:r>
      <w:r w:rsidR="00394AA8">
        <w:rPr>
          <w:bCs/>
        </w:rPr>
        <w:fldChar w:fldCharType="end"/>
      </w:r>
      <w:r w:rsidR="000F1913">
        <w:rPr>
          <w:bCs/>
        </w:rPr>
        <w:t>)</w:t>
      </w:r>
      <w:r w:rsidR="00D13C46">
        <w:rPr>
          <w:bCs/>
        </w:rPr>
        <w:t xml:space="preserve"> at sites in the gorge and floodplain geomorphic zones</w:t>
      </w:r>
      <w:r w:rsidR="001056B4">
        <w:rPr>
          <w:bCs/>
        </w:rPr>
        <w:t xml:space="preserve"> (</w:t>
      </w:r>
      <w:r w:rsidR="00394AA8">
        <w:rPr>
          <w:bCs/>
        </w:rPr>
        <w:fldChar w:fldCharType="begin"/>
      </w:r>
      <w:r w:rsidR="001056B4">
        <w:rPr>
          <w:bCs/>
        </w:rPr>
        <w:instrText xml:space="preserve"> REF _Ref382232091 \h </w:instrText>
      </w:r>
      <w:r w:rsidR="00394AA8">
        <w:rPr>
          <w:bCs/>
        </w:rPr>
      </w:r>
      <w:r w:rsidR="00394AA8">
        <w:rPr>
          <w:bCs/>
        </w:rPr>
        <w:fldChar w:fldCharType="separate"/>
      </w:r>
      <w:r w:rsidR="004260C4" w:rsidRPr="00C757C7">
        <w:t xml:space="preserve">Figure </w:t>
      </w:r>
      <w:r w:rsidR="004260C4">
        <w:rPr>
          <w:noProof/>
        </w:rPr>
        <w:t>7</w:t>
      </w:r>
      <w:r w:rsidR="00394AA8">
        <w:rPr>
          <w:bCs/>
        </w:rPr>
        <w:fldChar w:fldCharType="end"/>
      </w:r>
      <w:r w:rsidR="001056B4">
        <w:rPr>
          <w:bCs/>
        </w:rPr>
        <w:t>)</w:t>
      </w:r>
      <w:r w:rsidR="00D13C46">
        <w:rPr>
          <w:bCs/>
        </w:rPr>
        <w:t>;</w:t>
      </w:r>
      <w:r w:rsidR="00D13C46" w:rsidRPr="00332DC6">
        <w:rPr>
          <w:bCs/>
        </w:rPr>
        <w:t xml:space="preserve"> </w:t>
      </w:r>
      <w:r w:rsidR="00E16C3F" w:rsidRPr="00DA725D">
        <w:rPr>
          <w:bCs/>
        </w:rPr>
        <w:t>used otolith microstructure and chemistry, specifically strontium (Sr) isotope ratios (</w:t>
      </w:r>
      <w:r w:rsidR="00E16C3F" w:rsidRPr="00DA725D">
        <w:rPr>
          <w:bCs/>
          <w:vertAlign w:val="superscript"/>
        </w:rPr>
        <w:t>87</w:t>
      </w:r>
      <w:r w:rsidR="00E16C3F" w:rsidRPr="00DA725D">
        <w:rPr>
          <w:bCs/>
        </w:rPr>
        <w:t>Sr/</w:t>
      </w:r>
      <w:r w:rsidR="00E16C3F" w:rsidRPr="00DA725D">
        <w:rPr>
          <w:bCs/>
          <w:vertAlign w:val="superscript"/>
        </w:rPr>
        <w:t>86</w:t>
      </w:r>
      <w:r w:rsidR="00E16C3F" w:rsidRPr="00DA725D">
        <w:rPr>
          <w:bCs/>
        </w:rPr>
        <w:t>Sr), to retrospectively determine the time and place of spawning of larv</w:t>
      </w:r>
      <w:r w:rsidR="00F44FD3">
        <w:rPr>
          <w:bCs/>
        </w:rPr>
        <w:t>ae</w:t>
      </w:r>
      <w:r w:rsidR="00E16C3F" w:rsidRPr="00DA725D">
        <w:rPr>
          <w:bCs/>
        </w:rPr>
        <w:t xml:space="preserve"> and YOY; and</w:t>
      </w:r>
      <w:r w:rsidR="00E16C3F" w:rsidRPr="00DA725D">
        <w:t xml:space="preserve"> used electrofishing to collect a representative subsample of the golden perch</w:t>
      </w:r>
      <w:r w:rsidR="00F44FD3">
        <w:t xml:space="preserve"> and silver perch</w:t>
      </w:r>
      <w:r w:rsidR="00E16C3F" w:rsidRPr="00DA725D">
        <w:t xml:space="preserve"> population</w:t>
      </w:r>
      <w:r w:rsidR="00FC784D">
        <w:t>s</w:t>
      </w:r>
      <w:r w:rsidR="00E16C3F" w:rsidRPr="00DA725D">
        <w:t xml:space="preserve"> in the LMR Selected Area to enable determination of population demographics</w:t>
      </w:r>
      <w:r w:rsidR="00E16C3F" w:rsidRPr="00DA725D">
        <w:rPr>
          <w:bCs/>
        </w:rPr>
        <w:t>.</w:t>
      </w:r>
    </w:p>
    <w:p w14:paraId="2EF93CB0" w14:textId="7A9A01CD" w:rsidR="001B6753" w:rsidRDefault="00E16C3F" w:rsidP="00E16C3F">
      <w:pPr>
        <w:jc w:val="center"/>
        <w:rPr>
          <w:bCs/>
        </w:rPr>
      </w:pPr>
      <w:r>
        <w:rPr>
          <w:bCs/>
          <w:noProof/>
          <w:lang w:eastAsia="en-AU"/>
        </w:rPr>
        <w:lastRenderedPageBreak/>
        <w:drawing>
          <wp:inline distT="0" distB="0" distL="0" distR="0" wp14:anchorId="2E6E7B34" wp14:editId="1F6B21D6">
            <wp:extent cx="2567148" cy="1908000"/>
            <wp:effectExtent l="0" t="0" r="508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Mac Amb 8 Feb 12.6ppt Rep 3 72h 40mm_2.jpg"/>
                    <pic:cNvPicPr/>
                  </pic:nvPicPr>
                  <pic:blipFill>
                    <a:blip r:embed="rId64" cstate="email">
                      <a:extLst>
                        <a:ext uri="{28A0092B-C50C-407E-A947-70E740481C1C}">
                          <a14:useLocalDpi xmlns:a14="http://schemas.microsoft.com/office/drawing/2010/main"/>
                        </a:ext>
                      </a:extLst>
                    </a:blip>
                    <a:stretch>
                      <a:fillRect/>
                    </a:stretch>
                  </pic:blipFill>
                  <pic:spPr>
                    <a:xfrm>
                      <a:off x="0" y="0"/>
                      <a:ext cx="2567148" cy="1908000"/>
                    </a:xfrm>
                    <a:prstGeom prst="rect">
                      <a:avLst/>
                    </a:prstGeom>
                  </pic:spPr>
                </pic:pic>
              </a:graphicData>
            </a:graphic>
          </wp:inline>
        </w:drawing>
      </w:r>
      <w:r w:rsidR="00AA3799" w:rsidRPr="00AA3799">
        <w:rPr>
          <w:bCs/>
          <w:noProof/>
          <w:lang w:eastAsia="en-AU"/>
        </w:rPr>
        <w:drawing>
          <wp:inline distT="0" distB="0" distL="0" distR="0" wp14:anchorId="30C357E5" wp14:editId="116372B9">
            <wp:extent cx="2933808" cy="1908000"/>
            <wp:effectExtent l="0" t="0" r="0" b="0"/>
            <wp:docPr id="51" name="Picture 51" descr="\\cluscbdfs02\USER30\SARDI\Inland Waters\E&amp;R\Murray Larval Projects\Copied from LB\Photos\Larval fish photos\Silver perch\Silver Perch JPEGS\Silverperch 16-1-07 1320_3 9 day 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scbdfs02\USER30\SARDI\Inland Waters\E&amp;R\Murray Larval Projects\Copied from LB\Photos\Larval fish photos\Silver perch\Silver Perch JPEGS\Silverperch 16-1-07 1320_3 9 day old.jpg"/>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933808" cy="1908000"/>
                    </a:xfrm>
                    <a:prstGeom prst="rect">
                      <a:avLst/>
                    </a:prstGeom>
                    <a:noFill/>
                    <a:ln>
                      <a:noFill/>
                    </a:ln>
                    <a:extLst>
                      <a:ext uri="{53640926-AAD7-44D8-BBD7-CCE9431645EC}">
                        <a14:shadowObscured xmlns:a14="http://schemas.microsoft.com/office/drawing/2010/main"/>
                      </a:ext>
                    </a:extLst>
                  </pic:spPr>
                </pic:pic>
              </a:graphicData>
            </a:graphic>
          </wp:inline>
        </w:drawing>
      </w:r>
    </w:p>
    <w:p w14:paraId="738CEDEE" w14:textId="34A82B55" w:rsidR="000F1913" w:rsidRPr="00332DC6" w:rsidRDefault="000F1913" w:rsidP="000F1913">
      <w:pPr>
        <w:pStyle w:val="Caption"/>
        <w:rPr>
          <w:bCs w:val="0"/>
        </w:rPr>
      </w:pPr>
      <w:bookmarkStart w:id="109" w:name="_Ref438737671"/>
      <w:bookmarkStart w:id="110" w:name="_Toc442173735"/>
      <w:bookmarkStart w:id="111" w:name="_Toc474147039"/>
      <w:r>
        <w:t xml:space="preserve">Figure </w:t>
      </w:r>
      <w:r w:rsidR="002A5644">
        <w:fldChar w:fldCharType="begin"/>
      </w:r>
      <w:r w:rsidR="002A5644">
        <w:instrText xml:space="preserve"> SEQ Figure \* ARABIC </w:instrText>
      </w:r>
      <w:r w:rsidR="002A5644">
        <w:fldChar w:fldCharType="separate"/>
      </w:r>
      <w:r w:rsidR="004260C4">
        <w:rPr>
          <w:noProof/>
        </w:rPr>
        <w:t>15</w:t>
      </w:r>
      <w:r w:rsidR="002A5644">
        <w:rPr>
          <w:noProof/>
        </w:rPr>
        <w:fldChar w:fldCharType="end"/>
      </w:r>
      <w:bookmarkEnd w:id="109"/>
      <w:r>
        <w:t xml:space="preserve">. </w:t>
      </w:r>
      <w:r w:rsidRPr="000F1913">
        <w:t xml:space="preserve">Larval </w:t>
      </w:r>
      <w:r w:rsidR="00AA3799">
        <w:t xml:space="preserve">golden perch </w:t>
      </w:r>
      <w:r w:rsidRPr="000F1913">
        <w:t xml:space="preserve">(left) and </w:t>
      </w:r>
      <w:r w:rsidR="00AA3799">
        <w:t>silver perch</w:t>
      </w:r>
      <w:r w:rsidRPr="000F1913">
        <w:t xml:space="preserve"> (right) were sample</w:t>
      </w:r>
      <w:r w:rsidR="00AA3799">
        <w:t xml:space="preserve">d as an indicator for spawning, while </w:t>
      </w:r>
      <w:r w:rsidR="00AA3799" w:rsidRPr="000F1913">
        <w:t>young-of-year</w:t>
      </w:r>
      <w:r w:rsidR="00AA3799">
        <w:t xml:space="preserve"> were sampled as an indicator for </w:t>
      </w:r>
      <w:r w:rsidRPr="000F1913">
        <w:t>recruitment.</w:t>
      </w:r>
      <w:bookmarkEnd w:id="110"/>
      <w:bookmarkEnd w:id="111"/>
    </w:p>
    <w:p w14:paraId="50AAA1F6" w14:textId="49A60C8F" w:rsidR="00E16C3F" w:rsidRPr="00235000" w:rsidRDefault="00E16C3F" w:rsidP="00E16C3F">
      <w:pPr>
        <w:rPr>
          <w:highlight w:val="yellow"/>
        </w:rPr>
      </w:pPr>
      <w:r w:rsidRPr="00FF6764">
        <w:t>In 2015/16, golden perch</w:t>
      </w:r>
      <w:r w:rsidR="001D186A">
        <w:t xml:space="preserve"> and silver perch</w:t>
      </w:r>
      <w:r w:rsidRPr="00FF6764">
        <w:t xml:space="preserve"> spawning, as indicated by the collection of larvae and retrospective determination of age and spawning location of larvae and YOY fish (i.e. age 0+), occurred from mid-October to </w:t>
      </w:r>
      <w:r w:rsidR="00AC115C">
        <w:t>mid-</w:t>
      </w:r>
      <w:r w:rsidR="001D186A">
        <w:t xml:space="preserve">November </w:t>
      </w:r>
      <w:r>
        <w:t>2015</w:t>
      </w:r>
      <w:r w:rsidRPr="00FF6764">
        <w:t xml:space="preserve"> in the LMR Selected Area. Larval a</w:t>
      </w:r>
      <w:r w:rsidRPr="006C1814">
        <w:t xml:space="preserve">bundances were low with a total of </w:t>
      </w:r>
      <w:r w:rsidR="001D186A">
        <w:t>two</w:t>
      </w:r>
      <w:r w:rsidRPr="006C1814">
        <w:t xml:space="preserve"> golden perch</w:t>
      </w:r>
      <w:r w:rsidR="001D186A">
        <w:t xml:space="preserve"> and one silver perch</w:t>
      </w:r>
      <w:r w:rsidRPr="006C1814">
        <w:t xml:space="preserve"> larvae collected over eight fortnightly</w:t>
      </w:r>
      <w:r w:rsidRPr="00FF6764">
        <w:t xml:space="preserve"> sampling events between October 2015 and January 2016</w:t>
      </w:r>
      <w:r w:rsidRPr="00AB5CF3">
        <w:t xml:space="preserve">. Spawning in the LMR Selected Area coincided with water temperatures ≥20 ˚C and </w:t>
      </w:r>
      <w:r>
        <w:t xml:space="preserve">periods </w:t>
      </w:r>
      <w:r w:rsidR="001D186A">
        <w:t xml:space="preserve">of </w:t>
      </w:r>
      <w:r w:rsidRPr="00AB5CF3">
        <w:t>decreasing discharge in October 2015 (~10,500–9,500 ML day</w:t>
      </w:r>
      <w:r w:rsidRPr="00AB5CF3">
        <w:rPr>
          <w:vertAlign w:val="superscript"/>
        </w:rPr>
        <w:t>-1</w:t>
      </w:r>
      <w:r w:rsidRPr="00AB5CF3">
        <w:t>) and November 2015 (~11,500–7,000 ML day</w:t>
      </w:r>
      <w:r w:rsidRPr="00AB5CF3">
        <w:rPr>
          <w:vertAlign w:val="superscript"/>
        </w:rPr>
        <w:t>-1</w:t>
      </w:r>
      <w:r w:rsidRPr="00AB5CF3">
        <w:t>).</w:t>
      </w:r>
    </w:p>
    <w:p w14:paraId="3D1436D4" w14:textId="4026586E" w:rsidR="00E16C3F" w:rsidRPr="00AE08C7" w:rsidRDefault="00E16C3F" w:rsidP="00E16C3F">
      <w:r w:rsidRPr="00AE08C7">
        <w:t>Assessment of the resilience of golden perch</w:t>
      </w:r>
      <w:r w:rsidR="00CE6E23">
        <w:t xml:space="preserve"> and silver perch</w:t>
      </w:r>
      <w:r w:rsidRPr="00AE08C7">
        <w:t xml:space="preserve"> populations requires an understanding of </w:t>
      </w:r>
      <w:r w:rsidR="002612B9">
        <w:t>survival</w:t>
      </w:r>
      <w:r w:rsidR="002612B9" w:rsidRPr="00AE08C7">
        <w:t xml:space="preserve"> </w:t>
      </w:r>
      <w:r w:rsidRPr="00AE08C7">
        <w:t>and population demographics. Sampling of golden perch</w:t>
      </w:r>
      <w:r w:rsidR="00CE6E23">
        <w:t xml:space="preserve"> and silver perch</w:t>
      </w:r>
      <w:r w:rsidRPr="00AE08C7">
        <w:t xml:space="preserve"> populations in the LMR Selected Area in 2016 revealed an absence of age 0+ and 1+ fish, indicating that recruitment to YOY, following spawning from October to November 2015, was poor</w:t>
      </w:r>
      <w:r w:rsidR="00CE6E23">
        <w:t xml:space="preserve"> for both species</w:t>
      </w:r>
      <w:r w:rsidRPr="00AE08C7">
        <w:t xml:space="preserve">. In combination, spawning and recruitment data indicate that the flow regime in the lower River Murray in spring–summer 2015/16 (including Commonwealth environmental water) led to minimal spawning and </w:t>
      </w:r>
      <w:r w:rsidR="00602DB7">
        <w:t>negligible</w:t>
      </w:r>
      <w:r>
        <w:t xml:space="preserve"> </w:t>
      </w:r>
      <w:r w:rsidRPr="00AE08C7">
        <w:t>recruitment of golden perch</w:t>
      </w:r>
      <w:r w:rsidR="00CE6E23">
        <w:t xml:space="preserve"> and silver perch</w:t>
      </w:r>
      <w:r w:rsidRPr="00AE08C7">
        <w:t xml:space="preserve"> in the LMR Selected Area.</w:t>
      </w:r>
    </w:p>
    <w:p w14:paraId="088D4691" w14:textId="4FCB53B2" w:rsidR="000B5B29" w:rsidRDefault="000B5B29" w:rsidP="000B5B29">
      <w:bookmarkStart w:id="112" w:name="_Toc467757154"/>
      <w:bookmarkStart w:id="113" w:name="_Toc467759217"/>
      <w:bookmarkEnd w:id="112"/>
      <w:bookmarkEnd w:id="113"/>
      <w:r w:rsidRPr="00AE08C7">
        <w:t xml:space="preserve">Despite the absence of age 0+ and 1+ fish, a broad range of age-classes of golden perch were collected, with fish ranging from age 2+ to 19+ years. Throughout the LMR, however, </w:t>
      </w:r>
      <w:r>
        <w:t xml:space="preserve">the sampled golden perch </w:t>
      </w:r>
      <w:r w:rsidRPr="00AE08C7">
        <w:t>population was dominated by age 6+ and 5+ fish, spawned in 2009/10 and 2010/11, respectively, in both the</w:t>
      </w:r>
      <w:r>
        <w:t xml:space="preserve"> Darling </w:t>
      </w:r>
      <w:r w:rsidR="008F70AF">
        <w:t xml:space="preserve">River </w:t>
      </w:r>
      <w:r>
        <w:t xml:space="preserve">and lower River </w:t>
      </w:r>
      <w:r w:rsidRPr="00AE08C7">
        <w:t xml:space="preserve">Murray </w:t>
      </w:r>
      <w:r>
        <w:t xml:space="preserve">(as determined by otolith </w:t>
      </w:r>
      <w:r w:rsidRPr="002011C9">
        <w:rPr>
          <w:vertAlign w:val="superscript"/>
        </w:rPr>
        <w:t>87</w:t>
      </w:r>
      <w:r w:rsidRPr="002011C9">
        <w:t>Sr/</w:t>
      </w:r>
      <w:r w:rsidRPr="002011C9">
        <w:rPr>
          <w:vertAlign w:val="superscript"/>
        </w:rPr>
        <w:t>86</w:t>
      </w:r>
      <w:r w:rsidRPr="002011C9">
        <w:t>Sr</w:t>
      </w:r>
      <w:r>
        <w:t xml:space="preserve">, Appendix </w:t>
      </w:r>
      <w:r w:rsidR="008F70AF">
        <w:t>H</w:t>
      </w:r>
      <w:r>
        <w:t>)</w:t>
      </w:r>
      <w:r w:rsidRPr="00AE08C7">
        <w:t xml:space="preserve">. Sequential year classes from 2010–2013 conferred resilience on the golden perch population in the LMR </w:t>
      </w:r>
      <w:r w:rsidRPr="00AE08C7">
        <w:lastRenderedPageBreak/>
        <w:t xml:space="preserve">following episodic recruitment throughout the </w:t>
      </w:r>
      <w:r w:rsidRPr="00AC115C">
        <w:t>Millennium drought (2001–2010) (Zampatti and Leigh 2013b). Nevertheless, negligible recruitment in 2015 and 2016, reveal the vulnerability of this species to flow regulation</w:t>
      </w:r>
      <w:r>
        <w:t>.</w:t>
      </w:r>
    </w:p>
    <w:p w14:paraId="2ED8E97D" w14:textId="7EC74FDF" w:rsidR="000B5B29" w:rsidRDefault="000B5B29" w:rsidP="000B5B29">
      <w:r>
        <w:t>Silver perch were collected in low abundance (</w:t>
      </w:r>
      <w:r w:rsidRPr="00B52FFE">
        <w:rPr>
          <w:i/>
        </w:rPr>
        <w:t>n</w:t>
      </w:r>
      <w:r w:rsidR="00B52FFE">
        <w:t xml:space="preserve"> </w:t>
      </w:r>
      <w:r>
        <w:t>=</w:t>
      </w:r>
      <w:r w:rsidR="00B52FFE">
        <w:t xml:space="preserve"> </w:t>
      </w:r>
      <w:r>
        <w:t>18) in the LMR Selected Area in 2016, and the sampled population (</w:t>
      </w:r>
      <w:r w:rsidRPr="00B52FFE">
        <w:rPr>
          <w:i/>
        </w:rPr>
        <w:t>n</w:t>
      </w:r>
      <w:r w:rsidR="00B52FFE">
        <w:t xml:space="preserve"> </w:t>
      </w:r>
      <w:r>
        <w:t>=</w:t>
      </w:r>
      <w:r w:rsidR="00B52FFE">
        <w:t xml:space="preserve"> </w:t>
      </w:r>
      <w:r>
        <w:t>9) ranged in age from 2+ to 6+ years. These ages corresponded to spawning from years 2009/10 to 2013/14 in the lower River Murray, mid-Murray and Darling rivers (</w:t>
      </w:r>
      <w:r w:rsidRPr="00984B84">
        <w:t xml:space="preserve">as determined by otolith </w:t>
      </w:r>
      <w:r w:rsidRPr="008F70AF">
        <w:rPr>
          <w:vertAlign w:val="superscript"/>
        </w:rPr>
        <w:t>87</w:t>
      </w:r>
      <w:r>
        <w:t>Sr/</w:t>
      </w:r>
      <w:r w:rsidRPr="008F70AF">
        <w:rPr>
          <w:vertAlign w:val="superscript"/>
        </w:rPr>
        <w:t>86</w:t>
      </w:r>
      <w:r>
        <w:t>Sr</w:t>
      </w:r>
      <w:r w:rsidRPr="00984B84">
        <w:t xml:space="preserve">, Appendix </w:t>
      </w:r>
      <w:r>
        <w:t>H</w:t>
      </w:r>
      <w:r w:rsidRPr="00984B84">
        <w:t>)</w:t>
      </w:r>
      <w:r>
        <w:t xml:space="preserve">. As for golden perch, negligible recruitment of silver perch in </w:t>
      </w:r>
      <w:r w:rsidRPr="002011C9">
        <w:t xml:space="preserve">2015 and 2016 </w:t>
      </w:r>
      <w:r>
        <w:t xml:space="preserve">also </w:t>
      </w:r>
      <w:r w:rsidRPr="002011C9">
        <w:t>reveal</w:t>
      </w:r>
      <w:r>
        <w:t>s</w:t>
      </w:r>
      <w:r w:rsidRPr="002011C9">
        <w:t xml:space="preserve"> the vulnerability of this species to flow regulation</w:t>
      </w:r>
      <w:r w:rsidRPr="00AC115C">
        <w:t>.</w:t>
      </w:r>
    </w:p>
    <w:p w14:paraId="6B54A0FD" w14:textId="77777777" w:rsidR="006C5E08" w:rsidRDefault="005578F3" w:rsidP="005B71FE">
      <w:pPr>
        <w:pStyle w:val="Heading1"/>
      </w:pPr>
      <w:r>
        <w:br w:type="page"/>
      </w:r>
      <w:bookmarkStart w:id="114" w:name="_Ref432499914"/>
      <w:bookmarkStart w:id="115" w:name="_Toc441838737"/>
      <w:bookmarkStart w:id="116" w:name="_Toc474147062"/>
      <w:r w:rsidR="003340E2" w:rsidRPr="00A24214">
        <w:lastRenderedPageBreak/>
        <w:t>Synthesis and evaluation</w:t>
      </w:r>
      <w:bookmarkEnd w:id="114"/>
      <w:bookmarkEnd w:id="115"/>
      <w:bookmarkEnd w:id="116"/>
    </w:p>
    <w:p w14:paraId="1404298D" w14:textId="0243098A" w:rsidR="00E31CAD" w:rsidRDefault="004F150D" w:rsidP="00844EA1">
      <w:pPr>
        <w:rPr>
          <w:rStyle w:val="CharChar7"/>
          <w:rFonts w:ascii="Century Gothic" w:hAnsi="Century Gothic" w:cs="Times New Roman"/>
          <w:color w:val="000000"/>
          <w:spacing w:val="0"/>
          <w:sz w:val="22"/>
          <w:szCs w:val="20"/>
        </w:rPr>
      </w:pPr>
      <w:r>
        <w:rPr>
          <w:rFonts w:eastAsiaTheme="majorEastAsia"/>
        </w:rPr>
        <w:t>T</w:t>
      </w:r>
      <w:r w:rsidR="00F9472A" w:rsidRPr="00A06B93">
        <w:rPr>
          <w:rFonts w:eastAsiaTheme="majorEastAsia"/>
        </w:rPr>
        <w:t xml:space="preserve">he </w:t>
      </w:r>
      <w:r w:rsidR="00B11A0A" w:rsidRPr="00A06B93">
        <w:rPr>
          <w:rFonts w:eastAsiaTheme="majorEastAsia"/>
        </w:rPr>
        <w:t>deliver</w:t>
      </w:r>
      <w:r w:rsidR="00F9472A" w:rsidRPr="00A06B93">
        <w:rPr>
          <w:rFonts w:eastAsiaTheme="majorEastAsia"/>
        </w:rPr>
        <w:t xml:space="preserve">y of </w:t>
      </w:r>
      <w:r w:rsidR="006C5E08" w:rsidRPr="00A06B93">
        <w:rPr>
          <w:rFonts w:eastAsiaTheme="majorEastAsia"/>
        </w:rPr>
        <w:t xml:space="preserve">Commonwealth environmental water </w:t>
      </w:r>
      <w:r>
        <w:rPr>
          <w:rFonts w:eastAsiaTheme="majorEastAsia"/>
        </w:rPr>
        <w:t xml:space="preserve">aims </w:t>
      </w:r>
      <w:r w:rsidR="006C5E08" w:rsidRPr="00A06B93">
        <w:rPr>
          <w:rFonts w:eastAsiaTheme="majorEastAsia"/>
        </w:rPr>
        <w:t xml:space="preserve">to increase the magnitude </w:t>
      </w:r>
      <w:r w:rsidR="00F76B21">
        <w:rPr>
          <w:rFonts w:eastAsiaTheme="majorEastAsia"/>
        </w:rPr>
        <w:t>and/</w:t>
      </w:r>
      <w:r w:rsidR="006C5E08" w:rsidRPr="00A06B93">
        <w:rPr>
          <w:rFonts w:eastAsiaTheme="majorEastAsia"/>
        </w:rPr>
        <w:t>or duration of natural freshes and overbank flows</w:t>
      </w:r>
      <w:r>
        <w:rPr>
          <w:rFonts w:eastAsiaTheme="majorEastAsia"/>
        </w:rPr>
        <w:t>.</w:t>
      </w:r>
      <w:r w:rsidR="006C5E08" w:rsidRPr="00A06B93">
        <w:rPr>
          <w:rFonts w:eastAsiaTheme="majorEastAsia"/>
        </w:rPr>
        <w:t xml:space="preserve"> </w:t>
      </w:r>
      <w:r w:rsidRPr="00A06B93">
        <w:rPr>
          <w:rFonts w:eastAsiaTheme="majorEastAsia"/>
        </w:rPr>
        <w:t xml:space="preserve">Over the long-term, </w:t>
      </w:r>
      <w:r>
        <w:rPr>
          <w:rFonts w:eastAsiaTheme="majorEastAsia"/>
        </w:rPr>
        <w:t xml:space="preserve">this </w:t>
      </w:r>
      <w:r w:rsidR="006C5E08" w:rsidRPr="00A06B93">
        <w:rPr>
          <w:rFonts w:eastAsiaTheme="majorEastAsia"/>
        </w:rPr>
        <w:t xml:space="preserve">is expected to make </w:t>
      </w:r>
      <w:r w:rsidR="00D41E9C" w:rsidRPr="00A06B93">
        <w:rPr>
          <w:rFonts w:eastAsiaTheme="majorEastAsia"/>
        </w:rPr>
        <w:t xml:space="preserve">a </w:t>
      </w:r>
      <w:r w:rsidR="006C5E08" w:rsidRPr="00A06B93">
        <w:rPr>
          <w:rFonts w:eastAsiaTheme="majorEastAsia"/>
        </w:rPr>
        <w:t xml:space="preserve">significant contribution to </w:t>
      </w:r>
      <w:r w:rsidR="00D41E9C" w:rsidRPr="00A06B93">
        <w:rPr>
          <w:rFonts w:eastAsiaTheme="majorEastAsia"/>
        </w:rPr>
        <w:t xml:space="preserve">achieving ecological </w:t>
      </w:r>
      <w:r w:rsidR="006C5E08" w:rsidRPr="00A06B93">
        <w:rPr>
          <w:rFonts w:eastAsiaTheme="majorEastAsia"/>
        </w:rPr>
        <w:t>outcomes</w:t>
      </w:r>
      <w:r w:rsidR="00266481" w:rsidRPr="00A06B93">
        <w:rPr>
          <w:rFonts w:eastAsiaTheme="majorEastAsia"/>
        </w:rPr>
        <w:t xml:space="preserve"> </w:t>
      </w:r>
      <w:r w:rsidR="006C5E08" w:rsidRPr="00A06B93">
        <w:rPr>
          <w:rFonts w:eastAsiaTheme="majorEastAsia"/>
        </w:rPr>
        <w:t xml:space="preserve">in the LMR Selected Area, through </w:t>
      </w:r>
      <w:r w:rsidR="00B11A0A" w:rsidRPr="00A06B93">
        <w:rPr>
          <w:rFonts w:eastAsiaTheme="majorEastAsia"/>
        </w:rPr>
        <w:t xml:space="preserve">restoring ecological processes </w:t>
      </w:r>
      <w:r w:rsidR="00AD2B15" w:rsidRPr="00A06B93">
        <w:rPr>
          <w:rFonts w:eastAsiaTheme="majorEastAsia"/>
        </w:rPr>
        <w:t xml:space="preserve">and </w:t>
      </w:r>
      <w:r w:rsidR="00C5221D" w:rsidRPr="00A06B93">
        <w:rPr>
          <w:rFonts w:eastAsiaTheme="majorEastAsia"/>
        </w:rPr>
        <w:t>improv</w:t>
      </w:r>
      <w:r w:rsidR="00F76B21">
        <w:rPr>
          <w:rFonts w:eastAsiaTheme="majorEastAsia"/>
        </w:rPr>
        <w:t>ing habitat for biota</w:t>
      </w:r>
      <w:r w:rsidR="00FF771C" w:rsidRPr="00A06B93">
        <w:rPr>
          <w:rFonts w:eastAsiaTheme="majorEastAsia"/>
        </w:rPr>
        <w:t xml:space="preserve"> in</w:t>
      </w:r>
      <w:r w:rsidR="00C5221D" w:rsidRPr="00A06B93">
        <w:rPr>
          <w:rFonts w:eastAsiaTheme="majorEastAsia"/>
        </w:rPr>
        <w:t xml:space="preserve"> the </w:t>
      </w:r>
      <w:r w:rsidR="00AD2B15" w:rsidRPr="00A06B93">
        <w:rPr>
          <w:rFonts w:eastAsiaTheme="majorEastAsia"/>
        </w:rPr>
        <w:t xml:space="preserve">main channel </w:t>
      </w:r>
      <w:r w:rsidR="006C5E08" w:rsidRPr="00A06B93">
        <w:rPr>
          <w:rFonts w:eastAsiaTheme="majorEastAsia"/>
        </w:rPr>
        <w:t>and floodplain</w:t>
      </w:r>
      <w:r w:rsidR="00C5221D" w:rsidRPr="00A06B93">
        <w:rPr>
          <w:rFonts w:eastAsiaTheme="majorEastAsia"/>
        </w:rPr>
        <w:t>/wetland</w:t>
      </w:r>
      <w:r w:rsidR="00FF771C" w:rsidRPr="00A06B93">
        <w:rPr>
          <w:rFonts w:eastAsiaTheme="majorEastAsia"/>
        </w:rPr>
        <w:t>s</w:t>
      </w:r>
      <w:r w:rsidR="006C5E08" w:rsidRPr="00A06B93">
        <w:rPr>
          <w:rFonts w:eastAsiaTheme="majorEastAsia"/>
        </w:rPr>
        <w:t xml:space="preserve"> </w:t>
      </w:r>
      <w:r w:rsidR="00D41E9C" w:rsidRPr="00A06B93">
        <w:rPr>
          <w:rFonts w:eastAsiaTheme="majorEastAsia"/>
        </w:rPr>
        <w:t xml:space="preserve">(see </w:t>
      </w:r>
      <w:r w:rsidR="00394AA8" w:rsidRPr="00A06B93">
        <w:rPr>
          <w:rFonts w:eastAsiaTheme="majorEastAsia"/>
        </w:rPr>
        <w:fldChar w:fldCharType="begin"/>
      </w:r>
      <w:r w:rsidR="006C5E08" w:rsidRPr="00A06B93">
        <w:rPr>
          <w:rFonts w:eastAsiaTheme="majorEastAsia"/>
        </w:rPr>
        <w:instrText xml:space="preserve"> REF _Ref381777206 \h </w:instrText>
      </w:r>
      <w:r w:rsidR="00CD3E9B" w:rsidRPr="00A06B93">
        <w:rPr>
          <w:rFonts w:eastAsiaTheme="majorEastAsia"/>
        </w:rPr>
        <w:instrText xml:space="preserve"> \* MERGEFORMAT </w:instrText>
      </w:r>
      <w:r w:rsidR="00394AA8" w:rsidRPr="00A06B93">
        <w:rPr>
          <w:rFonts w:eastAsiaTheme="majorEastAsia"/>
        </w:rPr>
      </w:r>
      <w:r w:rsidR="00394AA8" w:rsidRPr="00A06B93">
        <w:rPr>
          <w:rFonts w:eastAsiaTheme="majorEastAsia"/>
        </w:rPr>
        <w:fldChar w:fldCharType="separate"/>
      </w:r>
      <w:r w:rsidR="004260C4" w:rsidRPr="00C757C7">
        <w:t xml:space="preserve">Figure </w:t>
      </w:r>
      <w:r w:rsidR="004260C4">
        <w:rPr>
          <w:noProof/>
        </w:rPr>
        <w:t>8</w:t>
      </w:r>
      <w:r w:rsidR="00394AA8" w:rsidRPr="00A06B93">
        <w:rPr>
          <w:rFonts w:eastAsiaTheme="majorEastAsia"/>
        </w:rPr>
        <w:fldChar w:fldCharType="end"/>
      </w:r>
      <w:r w:rsidR="00D41E9C" w:rsidRPr="00A06B93">
        <w:rPr>
          <w:rFonts w:eastAsiaTheme="majorEastAsia"/>
        </w:rPr>
        <w:t>)</w:t>
      </w:r>
      <w:r w:rsidR="006C5E08" w:rsidRPr="00A06B93">
        <w:rPr>
          <w:rFonts w:eastAsiaTheme="majorEastAsia"/>
        </w:rPr>
        <w:t>.</w:t>
      </w:r>
      <w:r w:rsidR="00D41E9C" w:rsidRPr="00A06B93">
        <w:t xml:space="preserve"> </w:t>
      </w:r>
      <w:r w:rsidR="00AD2B15" w:rsidRPr="00A06B93">
        <w:t xml:space="preserve">To assess </w:t>
      </w:r>
      <w:r w:rsidR="00F76B21">
        <w:t xml:space="preserve">the </w:t>
      </w:r>
      <w:r w:rsidR="00AD2B15" w:rsidRPr="00A06B93">
        <w:t>ecological response</w:t>
      </w:r>
      <w:r w:rsidR="00747061">
        <w:t xml:space="preserve"> </w:t>
      </w:r>
      <w:r w:rsidR="00F76B21">
        <w:t>to</w:t>
      </w:r>
      <w:r w:rsidR="00747061">
        <w:t xml:space="preserve"> Commonwealth environmental water</w:t>
      </w:r>
      <w:r w:rsidR="00AD2B15" w:rsidRPr="00A06B93">
        <w:t xml:space="preserve">, </w:t>
      </w:r>
      <w:r w:rsidR="00F76B21">
        <w:t>a series of evaluation questions were investigated for CEWO. These questions were</w:t>
      </w:r>
      <w:r w:rsidR="00747061" w:rsidRPr="00A06B93">
        <w:t xml:space="preserve"> </w:t>
      </w:r>
      <w:r w:rsidR="00747061">
        <w:t xml:space="preserve">adapted from Basin-scale questions </w:t>
      </w:r>
      <w:r w:rsidR="00AD2B15" w:rsidRPr="00A06B93">
        <w:t>(</w:t>
      </w:r>
      <w:r w:rsidR="00C5221D" w:rsidRPr="00A06B93">
        <w:t>LMR LTIM M&amp;E Plan</w:t>
      </w:r>
      <w:r w:rsidR="00AD2B15" w:rsidRPr="00A06B93">
        <w:t>)</w:t>
      </w:r>
      <w:r w:rsidR="00F76B21">
        <w:t xml:space="preserve"> to be relevant for this Selected Area. </w:t>
      </w:r>
      <w:r w:rsidR="008F0525" w:rsidRPr="00A06B93">
        <w:t xml:space="preserve">In this </w:t>
      </w:r>
      <w:r w:rsidR="00747061">
        <w:t xml:space="preserve">second </w:t>
      </w:r>
      <w:r w:rsidR="008F0525" w:rsidRPr="00A06B93">
        <w:t>year’s report of the five</w:t>
      </w:r>
      <w:r w:rsidR="00C5221D" w:rsidRPr="00A06B93">
        <w:t>-</w:t>
      </w:r>
      <w:r w:rsidR="008F0525" w:rsidRPr="00A06B93">
        <w:t xml:space="preserve">year monitoring and evaluation project, </w:t>
      </w:r>
      <w:r w:rsidR="00FF771C" w:rsidRPr="00A06B93">
        <w:t xml:space="preserve">the </w:t>
      </w:r>
      <w:r w:rsidR="00D41E9C" w:rsidRPr="00A06B93">
        <w:t>ecological outcomes of the 201</w:t>
      </w:r>
      <w:r w:rsidR="00747061">
        <w:t>5/16</w:t>
      </w:r>
      <w:r w:rsidR="00D41E9C" w:rsidRPr="00A06B93">
        <w:t xml:space="preserve"> Commonwealth environmental water delivery </w:t>
      </w:r>
      <w:r w:rsidR="008F0525" w:rsidRPr="00A06B93">
        <w:t>are</w:t>
      </w:r>
      <w:r w:rsidR="00D41E9C" w:rsidRPr="00A06B93">
        <w:t xml:space="preserve"> focused on addressing CEWO short-term (one-year) evaluation question</w:t>
      </w:r>
      <w:r w:rsidR="00CD3E9B" w:rsidRPr="00A06B93">
        <w:t>s (</w:t>
      </w:r>
      <w:r w:rsidR="00CD3E9B" w:rsidRPr="00A06B93">
        <w:fldChar w:fldCharType="begin"/>
      </w:r>
      <w:r w:rsidR="00CD3E9B" w:rsidRPr="00A06B93">
        <w:instrText xml:space="preserve"> REF _Ref467686725 \h  \* MERGEFORMAT </w:instrText>
      </w:r>
      <w:r w:rsidR="00CD3E9B" w:rsidRPr="00A06B93">
        <w:fldChar w:fldCharType="separate"/>
      </w:r>
      <w:r w:rsidR="004260C4" w:rsidRPr="00A06B93">
        <w:t xml:space="preserve">Table </w:t>
      </w:r>
      <w:r w:rsidR="004260C4">
        <w:rPr>
          <w:noProof/>
        </w:rPr>
        <w:t>4</w:t>
      </w:r>
      <w:r w:rsidR="00CD3E9B" w:rsidRPr="00A06B93">
        <w:fldChar w:fldCharType="end"/>
      </w:r>
      <w:r w:rsidR="00544C25" w:rsidRPr="00A06B93">
        <w:t>)</w:t>
      </w:r>
      <w:r w:rsidR="00D41E9C" w:rsidRPr="00A06B93">
        <w:t xml:space="preserve">. </w:t>
      </w:r>
      <w:r w:rsidR="003B7580">
        <w:t>DEWNR short-term questions</w:t>
      </w:r>
      <w:r w:rsidR="00665CE2" w:rsidRPr="00665CE2">
        <w:t xml:space="preserve">, which serve as additional questions for the LMR and relate </w:t>
      </w:r>
      <w:r w:rsidR="00665CE2">
        <w:t xml:space="preserve">to ecological targets of the </w:t>
      </w:r>
      <w:r w:rsidR="00665CE2" w:rsidRPr="00665CE2">
        <w:t xml:space="preserve">South Australian Murray River </w:t>
      </w:r>
      <w:r w:rsidR="00665CE2">
        <w:t xml:space="preserve">LTWP, </w:t>
      </w:r>
      <w:r w:rsidR="003B7580" w:rsidRPr="00EC2438">
        <w:rPr>
          <w:rStyle w:val="CharChar7"/>
          <w:rFonts w:ascii="Century Gothic" w:hAnsi="Century Gothic" w:cs="Times New Roman"/>
          <w:color w:val="000000"/>
          <w:spacing w:val="0"/>
          <w:sz w:val="22"/>
          <w:szCs w:val="20"/>
        </w:rPr>
        <w:t xml:space="preserve">are </w:t>
      </w:r>
      <w:r w:rsidR="003D3A15">
        <w:rPr>
          <w:rStyle w:val="CharChar7"/>
          <w:rFonts w:ascii="Century Gothic" w:hAnsi="Century Gothic" w:cs="Times New Roman"/>
          <w:color w:val="000000"/>
          <w:spacing w:val="0"/>
          <w:sz w:val="22"/>
          <w:szCs w:val="20"/>
        </w:rPr>
        <w:t>discussed</w:t>
      </w:r>
      <w:r w:rsidR="003B7580">
        <w:rPr>
          <w:rStyle w:val="CharChar7"/>
          <w:rFonts w:ascii="Century Gothic" w:hAnsi="Century Gothic" w:cs="Times New Roman"/>
          <w:color w:val="000000"/>
          <w:spacing w:val="0"/>
          <w:sz w:val="22"/>
          <w:szCs w:val="20"/>
        </w:rPr>
        <w:t xml:space="preserve"> </w:t>
      </w:r>
      <w:r w:rsidR="008070E8">
        <w:rPr>
          <w:rStyle w:val="CharChar7"/>
          <w:rFonts w:ascii="Century Gothic" w:hAnsi="Century Gothic" w:cs="Times New Roman"/>
          <w:color w:val="000000"/>
          <w:spacing w:val="0"/>
          <w:sz w:val="22"/>
          <w:szCs w:val="20"/>
        </w:rPr>
        <w:t xml:space="preserve">in </w:t>
      </w:r>
      <w:r w:rsidR="00246C6E">
        <w:rPr>
          <w:rStyle w:val="CharChar7"/>
          <w:rFonts w:ascii="Century Gothic" w:hAnsi="Century Gothic" w:cs="Times New Roman"/>
          <w:color w:val="000000"/>
          <w:spacing w:val="0"/>
          <w:sz w:val="22"/>
          <w:szCs w:val="20"/>
        </w:rPr>
        <w:t>Appendix </w:t>
      </w:r>
      <w:r w:rsidR="003B7580">
        <w:rPr>
          <w:rStyle w:val="CharChar7"/>
          <w:rFonts w:ascii="Century Gothic" w:hAnsi="Century Gothic" w:cs="Times New Roman"/>
          <w:color w:val="000000"/>
          <w:spacing w:val="0"/>
          <w:sz w:val="22"/>
          <w:szCs w:val="20"/>
        </w:rPr>
        <w:t xml:space="preserve">I. </w:t>
      </w:r>
    </w:p>
    <w:p w14:paraId="07C01789" w14:textId="78ED0EF8" w:rsidR="002A58EA" w:rsidRDefault="00B10316" w:rsidP="002A58EA">
      <w:r>
        <w:rPr>
          <w:rFonts w:eastAsiaTheme="majorEastAsia"/>
        </w:rPr>
        <w:t>Overall, 2015/16 was a relatively dry year</w:t>
      </w:r>
      <w:r w:rsidR="003D3A15">
        <w:rPr>
          <w:rFonts w:eastAsiaTheme="majorEastAsia"/>
        </w:rPr>
        <w:t>. A total of</w:t>
      </w:r>
      <w:r w:rsidR="00927140" w:rsidRPr="00A06B93">
        <w:rPr>
          <w:rFonts w:eastAsiaTheme="majorEastAsia"/>
        </w:rPr>
        <w:t xml:space="preserve"> </w:t>
      </w:r>
      <w:r w:rsidR="00CC455E" w:rsidRPr="00A06B93">
        <w:t>~</w:t>
      </w:r>
      <w:r w:rsidR="00E31CAD">
        <w:t>814</w:t>
      </w:r>
      <w:r w:rsidR="001C6253" w:rsidRPr="00A06B93">
        <w:t> </w:t>
      </w:r>
      <w:r w:rsidR="00927140" w:rsidRPr="00A06B93">
        <w:t xml:space="preserve">GL of </w:t>
      </w:r>
      <w:r w:rsidR="006C5E08" w:rsidRPr="00A06B93">
        <w:rPr>
          <w:rFonts w:eastAsiaTheme="majorEastAsia"/>
        </w:rPr>
        <w:t xml:space="preserve">Commonwealth environmental water </w:t>
      </w:r>
      <w:r w:rsidR="00927140" w:rsidRPr="00A06B93">
        <w:rPr>
          <w:rFonts w:eastAsiaTheme="majorEastAsia"/>
        </w:rPr>
        <w:t>w</w:t>
      </w:r>
      <w:r w:rsidR="00B900C4" w:rsidRPr="00A06B93">
        <w:rPr>
          <w:rFonts w:eastAsiaTheme="majorEastAsia"/>
        </w:rPr>
        <w:t>as</w:t>
      </w:r>
      <w:r w:rsidR="00927140" w:rsidRPr="00A06B93">
        <w:rPr>
          <w:rFonts w:eastAsiaTheme="majorEastAsia"/>
        </w:rPr>
        <w:t xml:space="preserve"> delivered</w:t>
      </w:r>
      <w:r w:rsidR="006C5E08" w:rsidRPr="00A06B93">
        <w:rPr>
          <w:rFonts w:eastAsiaTheme="majorEastAsia"/>
        </w:rPr>
        <w:t xml:space="preserve"> to the LMR</w:t>
      </w:r>
      <w:r w:rsidR="00927140" w:rsidRPr="00A06B93">
        <w:rPr>
          <w:rFonts w:eastAsiaTheme="majorEastAsia"/>
        </w:rPr>
        <w:t xml:space="preserve">, </w:t>
      </w:r>
      <w:r w:rsidR="00927140" w:rsidRPr="00A06B93">
        <w:t xml:space="preserve">in conjunction with other sources of environmental </w:t>
      </w:r>
      <w:r w:rsidR="00C5221D" w:rsidRPr="00A06B93">
        <w:t>water</w:t>
      </w:r>
      <w:r w:rsidR="00927140" w:rsidRPr="00A06B93">
        <w:t xml:space="preserve"> (e.g. </w:t>
      </w:r>
      <w:r w:rsidR="00CB0AFF" w:rsidRPr="00A06B93">
        <w:t>MDBA The Living Murray</w:t>
      </w:r>
      <w:r w:rsidR="00927140" w:rsidRPr="00A06B93">
        <w:t>)</w:t>
      </w:r>
      <w:r w:rsidR="00D42265">
        <w:t>. Flow was delivered</w:t>
      </w:r>
      <w:r w:rsidR="00927140" w:rsidRPr="00A06B93">
        <w:t xml:space="preserve"> </w:t>
      </w:r>
      <w:r w:rsidR="00D17F5A">
        <w:t xml:space="preserve">through a </w:t>
      </w:r>
      <w:r w:rsidR="00B73004" w:rsidRPr="00A06B93">
        <w:t xml:space="preserve">series of </w:t>
      </w:r>
      <w:r w:rsidR="00D42265">
        <w:t xml:space="preserve">targeted </w:t>
      </w:r>
      <w:r w:rsidR="00B73004" w:rsidRPr="00A06B93">
        <w:t xml:space="preserve">watering events </w:t>
      </w:r>
      <w:r w:rsidR="00D42265">
        <w:t>t</w:t>
      </w:r>
      <w:r w:rsidR="00B73004" w:rsidRPr="00A06B93">
        <w:t>o th</w:t>
      </w:r>
      <w:r w:rsidR="00E31CAD">
        <w:t xml:space="preserve">is region </w:t>
      </w:r>
      <w:r w:rsidR="00D42265">
        <w:t>(</w:t>
      </w:r>
      <w:r w:rsidR="00B73004" w:rsidRPr="00A06B93">
        <w:t xml:space="preserve">along with return </w:t>
      </w:r>
      <w:r w:rsidR="00FC1EB8">
        <w:t xml:space="preserve">flows from </w:t>
      </w:r>
      <w:r w:rsidR="004F150D">
        <w:t xml:space="preserve">the </w:t>
      </w:r>
      <w:r w:rsidR="00FC1EB8">
        <w:t xml:space="preserve">Murrumbidgee River and </w:t>
      </w:r>
      <w:r w:rsidR="00B73004" w:rsidRPr="00A06B93">
        <w:t xml:space="preserve">Victorian tributaries) to achieve multi-site environmental outcomes. </w:t>
      </w:r>
      <w:r w:rsidR="00E31CAD">
        <w:t>Environmental watering</w:t>
      </w:r>
      <w:r w:rsidR="00E31CAD" w:rsidRPr="004354C1">
        <w:t xml:space="preserve"> helped to maintain river flow</w:t>
      </w:r>
      <w:r w:rsidR="00F76B21">
        <w:t>s in the LMR of</w:t>
      </w:r>
      <w:r w:rsidR="00E31CAD" w:rsidRPr="004354C1">
        <w:t xml:space="preserve"> </w:t>
      </w:r>
      <w:r w:rsidR="00E31CAD" w:rsidRPr="00C429DF">
        <w:t>9,600–11,700</w:t>
      </w:r>
      <w:r w:rsidR="004F150D">
        <w:t> </w:t>
      </w:r>
      <w:r w:rsidR="00E31CAD" w:rsidRPr="004354C1">
        <w:t>ML</w:t>
      </w:r>
      <w:r w:rsidR="004F150D">
        <w:t> </w:t>
      </w:r>
      <w:r w:rsidR="00E31CAD" w:rsidRPr="004354C1">
        <w:t>day</w:t>
      </w:r>
      <w:r w:rsidR="00E31CAD" w:rsidRPr="004354C1">
        <w:rPr>
          <w:vertAlign w:val="superscript"/>
        </w:rPr>
        <w:t>-1</w:t>
      </w:r>
      <w:r w:rsidR="00E31CAD" w:rsidRPr="004354C1">
        <w:t xml:space="preserve"> </w:t>
      </w:r>
      <w:r w:rsidR="00E31CAD">
        <w:t xml:space="preserve">from </w:t>
      </w:r>
      <w:r w:rsidR="00E31CAD" w:rsidRPr="00C429DF">
        <w:t>mid-</w:t>
      </w:r>
      <w:r w:rsidR="00E31CAD">
        <w:t>September to late October 2015,</w:t>
      </w:r>
      <w:r w:rsidR="00E31CAD" w:rsidRPr="00C757C7">
        <w:t xml:space="preserve"> </w:t>
      </w:r>
      <w:r w:rsidR="00E31CAD">
        <w:t>and at ~9,800 ML day</w:t>
      </w:r>
      <w:r w:rsidR="00E31CAD" w:rsidRPr="00D345F6">
        <w:rPr>
          <w:vertAlign w:val="superscript"/>
        </w:rPr>
        <w:t>-1</w:t>
      </w:r>
      <w:r w:rsidR="00E31CAD">
        <w:t xml:space="preserve"> </w:t>
      </w:r>
      <w:r w:rsidR="00F76B21">
        <w:t>from</w:t>
      </w:r>
      <w:r w:rsidR="00E31CAD">
        <w:t xml:space="preserve"> mid-to late February 2016</w:t>
      </w:r>
      <w:r w:rsidR="00D42265">
        <w:t xml:space="preserve">. Environmental water also facilitated </w:t>
      </w:r>
      <w:r w:rsidR="00B20415">
        <w:t>WPR</w:t>
      </w:r>
      <w:r w:rsidR="00D42265">
        <w:t xml:space="preserve"> events at Weir Pools 2 and 5, and supported </w:t>
      </w:r>
      <w:r w:rsidR="00FB3F5E">
        <w:t xml:space="preserve">the use of The Living Murray water to instigate </w:t>
      </w:r>
      <w:r w:rsidR="002A58EA" w:rsidRPr="00B6415F">
        <w:t xml:space="preserve">an </w:t>
      </w:r>
      <w:r w:rsidR="002A58EA">
        <w:rPr>
          <w:lang w:val="en-US"/>
        </w:rPr>
        <w:t xml:space="preserve">in-channel rise event in </w:t>
      </w:r>
      <w:r w:rsidR="002A58EA" w:rsidRPr="00B6415F">
        <w:t xml:space="preserve">Chowilla </w:t>
      </w:r>
      <w:r w:rsidR="002A58EA">
        <w:t>Anabranch. Furthermore</w:t>
      </w:r>
      <w:r w:rsidR="002A58EA" w:rsidRPr="002A58EA">
        <w:t xml:space="preserve">, </w:t>
      </w:r>
      <w:r w:rsidR="00C43530">
        <w:t xml:space="preserve">Commonwealth </w:t>
      </w:r>
      <w:r w:rsidR="002A58EA" w:rsidRPr="002A58EA">
        <w:t>e</w:t>
      </w:r>
      <w:r w:rsidR="00E31CAD" w:rsidRPr="002A58EA">
        <w:t>nvironmental water supplemented freshwater flows to the Lower Lakes and Coorong</w:t>
      </w:r>
      <w:r w:rsidR="002A58EA" w:rsidRPr="002A58EA">
        <w:t>, maintaining barrage releases from September 2015 to June 2016.</w:t>
      </w:r>
      <w:r w:rsidR="002A58EA" w:rsidRPr="00B6415F">
        <w:t xml:space="preserve"> </w:t>
      </w:r>
      <w:r w:rsidR="002A58EA" w:rsidRPr="00A06B93">
        <w:rPr>
          <w:color w:val="auto"/>
          <w:szCs w:val="22"/>
        </w:rPr>
        <w:t>The environmental water delivery</w:t>
      </w:r>
      <w:r w:rsidR="000F2E4A">
        <w:rPr>
          <w:color w:val="auto"/>
          <w:szCs w:val="22"/>
        </w:rPr>
        <w:t>, in combination with infrastructure operation,</w:t>
      </w:r>
      <w:r w:rsidR="002A58EA" w:rsidRPr="00A06B93">
        <w:rPr>
          <w:color w:val="auto"/>
          <w:szCs w:val="22"/>
        </w:rPr>
        <w:t xml:space="preserve"> contributed to a number of short-term ecological outcomes in </w:t>
      </w:r>
      <w:r w:rsidR="000F2E4A">
        <w:rPr>
          <w:color w:val="auto"/>
          <w:szCs w:val="22"/>
        </w:rPr>
        <w:t xml:space="preserve">the LMR Selected Area (Table 4). </w:t>
      </w:r>
      <w:r w:rsidR="000F2E4A">
        <w:t>K</w:t>
      </w:r>
      <w:r w:rsidR="002A58EA" w:rsidRPr="00A06B93">
        <w:t xml:space="preserve">ey outcomes </w:t>
      </w:r>
      <w:r>
        <w:t xml:space="preserve">are summarised </w:t>
      </w:r>
      <w:r w:rsidR="002A58EA" w:rsidRPr="00A06B93">
        <w:t>below.</w:t>
      </w:r>
    </w:p>
    <w:p w14:paraId="4BDA3776" w14:textId="63A71ABA" w:rsidR="00BE7960" w:rsidRPr="000759EA" w:rsidRDefault="00591979" w:rsidP="00334695">
      <w:r w:rsidRPr="00A06B93">
        <w:rPr>
          <w:rFonts w:eastAsiaTheme="majorEastAsia"/>
          <w:color w:val="auto"/>
          <w:szCs w:val="22"/>
        </w:rPr>
        <w:t xml:space="preserve">Commonwealth </w:t>
      </w:r>
      <w:r w:rsidR="00315997" w:rsidRPr="00A06B93">
        <w:rPr>
          <w:rFonts w:eastAsiaTheme="majorEastAsia"/>
          <w:color w:val="auto"/>
          <w:szCs w:val="22"/>
        </w:rPr>
        <w:t>environmental water</w:t>
      </w:r>
      <w:r w:rsidR="006F6983">
        <w:rPr>
          <w:rFonts w:eastAsiaTheme="majorEastAsia"/>
          <w:color w:val="auto"/>
          <w:szCs w:val="22"/>
        </w:rPr>
        <w:t xml:space="preserve"> contributed to</w:t>
      </w:r>
      <w:r w:rsidRPr="00A06B93">
        <w:rPr>
          <w:rFonts w:eastAsiaTheme="majorEastAsia"/>
          <w:color w:val="auto"/>
          <w:szCs w:val="22"/>
        </w:rPr>
        <w:t xml:space="preserve"> increased</w:t>
      </w:r>
      <w:r w:rsidR="006F6983">
        <w:rPr>
          <w:rFonts w:eastAsiaTheme="majorEastAsia"/>
          <w:color w:val="auto"/>
          <w:szCs w:val="22"/>
        </w:rPr>
        <w:t xml:space="preserve"> water velocities and</w:t>
      </w:r>
      <w:r w:rsidRPr="00A06B93">
        <w:rPr>
          <w:rFonts w:eastAsiaTheme="majorEastAsia"/>
          <w:color w:val="auto"/>
          <w:szCs w:val="22"/>
        </w:rPr>
        <w:t xml:space="preserve"> hydraulic diversity</w:t>
      </w:r>
      <w:r w:rsidR="004517DA">
        <w:rPr>
          <w:rFonts w:eastAsiaTheme="majorEastAsia"/>
          <w:color w:val="auto"/>
          <w:szCs w:val="22"/>
        </w:rPr>
        <w:t xml:space="preserve"> </w:t>
      </w:r>
      <w:r w:rsidRPr="00A06B93">
        <w:rPr>
          <w:rFonts w:eastAsiaTheme="majorEastAsia"/>
          <w:color w:val="auto"/>
          <w:szCs w:val="22"/>
        </w:rPr>
        <w:t>in the LMR Selected Area</w:t>
      </w:r>
      <w:r w:rsidR="00CB76A7">
        <w:rPr>
          <w:rFonts w:eastAsiaTheme="majorEastAsia"/>
          <w:color w:val="auto"/>
          <w:szCs w:val="22"/>
        </w:rPr>
        <w:t xml:space="preserve"> in 2015/16</w:t>
      </w:r>
      <w:r w:rsidRPr="00A06B93">
        <w:rPr>
          <w:rFonts w:eastAsiaTheme="majorEastAsia"/>
          <w:color w:val="auto"/>
          <w:szCs w:val="22"/>
        </w:rPr>
        <w:t xml:space="preserve">. </w:t>
      </w:r>
      <w:r w:rsidR="00F76B21" w:rsidRPr="00A06B93">
        <w:rPr>
          <w:rFonts w:eastAsiaTheme="majorEastAsia"/>
          <w:color w:val="auto"/>
          <w:szCs w:val="22"/>
        </w:rPr>
        <w:t>This was reflected by</w:t>
      </w:r>
      <w:r w:rsidR="00F76B21" w:rsidRPr="00A06B93">
        <w:rPr>
          <w:rFonts w:cs="Arial"/>
          <w:color w:val="auto"/>
          <w:szCs w:val="22"/>
        </w:rPr>
        <w:t xml:space="preserve"> </w:t>
      </w:r>
      <w:r w:rsidR="00592A83">
        <w:rPr>
          <w:rFonts w:cs="Arial"/>
          <w:color w:val="auto"/>
          <w:szCs w:val="22"/>
        </w:rPr>
        <w:t xml:space="preserve">generally </w:t>
      </w:r>
      <w:r w:rsidR="00F76B21" w:rsidRPr="00A06B93">
        <w:rPr>
          <w:rFonts w:cs="Arial"/>
          <w:color w:val="auto"/>
          <w:szCs w:val="22"/>
        </w:rPr>
        <w:lastRenderedPageBreak/>
        <w:t>increased median velocity</w:t>
      </w:r>
      <w:r w:rsidR="00F76B21">
        <w:rPr>
          <w:rFonts w:cs="Arial"/>
          <w:color w:val="auto"/>
          <w:szCs w:val="22"/>
        </w:rPr>
        <w:t xml:space="preserve"> in weir pools of ~0.1 m s</w:t>
      </w:r>
      <w:r w:rsidR="00F76B21" w:rsidRPr="00B20415">
        <w:rPr>
          <w:rFonts w:cs="Arial"/>
          <w:color w:val="auto"/>
          <w:szCs w:val="22"/>
          <w:vertAlign w:val="superscript"/>
        </w:rPr>
        <w:t>-1</w:t>
      </w:r>
      <w:r w:rsidR="00F76B21">
        <w:rPr>
          <w:rFonts w:cs="Arial"/>
          <w:color w:val="auto"/>
          <w:szCs w:val="22"/>
        </w:rPr>
        <w:t xml:space="preserve"> during winter and spring</w:t>
      </w:r>
      <w:r w:rsidR="00F76B21" w:rsidRPr="00A06B93">
        <w:rPr>
          <w:rFonts w:cs="Arial"/>
          <w:color w:val="auto"/>
          <w:szCs w:val="22"/>
        </w:rPr>
        <w:t>.</w:t>
      </w:r>
      <w:r w:rsidR="00D54F47">
        <w:rPr>
          <w:rFonts w:cs="Arial"/>
          <w:color w:val="auto"/>
          <w:szCs w:val="22"/>
        </w:rPr>
        <w:t xml:space="preserve"> </w:t>
      </w:r>
      <w:r w:rsidR="007962A1" w:rsidRPr="00D54F47">
        <w:rPr>
          <w:rFonts w:cs="Arial"/>
          <w:color w:val="auto"/>
          <w:szCs w:val="22"/>
        </w:rPr>
        <w:t xml:space="preserve">These increased water velocities may have provided </w:t>
      </w:r>
      <w:r w:rsidR="006C0D37">
        <w:rPr>
          <w:rFonts w:cs="Arial"/>
          <w:color w:val="auto"/>
          <w:szCs w:val="22"/>
        </w:rPr>
        <w:t>suitable</w:t>
      </w:r>
      <w:r w:rsidR="006C0D37" w:rsidRPr="00D54F47">
        <w:rPr>
          <w:rFonts w:cs="Arial"/>
          <w:color w:val="auto"/>
          <w:szCs w:val="22"/>
        </w:rPr>
        <w:t xml:space="preserve"> </w:t>
      </w:r>
      <w:r w:rsidR="007962A1" w:rsidRPr="00D54F47">
        <w:rPr>
          <w:rFonts w:cs="Arial"/>
          <w:color w:val="auto"/>
          <w:szCs w:val="22"/>
        </w:rPr>
        <w:t xml:space="preserve">habitat for fishes with life histories adapted to lotic (flowing water) </w:t>
      </w:r>
      <w:r w:rsidR="00CB76A7">
        <w:rPr>
          <w:rFonts w:cs="Arial"/>
          <w:color w:val="auto"/>
          <w:szCs w:val="22"/>
        </w:rPr>
        <w:t>habitats</w:t>
      </w:r>
      <w:r w:rsidR="007962A1" w:rsidRPr="00D54F47">
        <w:rPr>
          <w:rFonts w:cs="Arial"/>
          <w:color w:val="auto"/>
          <w:szCs w:val="22"/>
        </w:rPr>
        <w:t xml:space="preserve"> (e.g. golden perch, Murray cod). </w:t>
      </w:r>
      <w:r w:rsidR="00CB76A7">
        <w:rPr>
          <w:rFonts w:cs="Arial"/>
          <w:color w:val="auto"/>
          <w:szCs w:val="22"/>
        </w:rPr>
        <w:t>Nevertheless,</w:t>
      </w:r>
      <w:r w:rsidR="007764CB" w:rsidRPr="007764CB">
        <w:rPr>
          <w:rFonts w:cs="Arial"/>
          <w:color w:val="auto"/>
          <w:szCs w:val="22"/>
        </w:rPr>
        <w:t xml:space="preserve"> </w:t>
      </w:r>
      <w:r w:rsidR="00CB76A7">
        <w:t>d</w:t>
      </w:r>
      <w:r w:rsidR="000759EA">
        <w:t xml:space="preserve">uring this dry year, median velocities in the lower River Murray remained </w:t>
      </w:r>
      <w:r w:rsidR="00334695">
        <w:t xml:space="preserve">substantially </w:t>
      </w:r>
      <w:r w:rsidR="000759EA">
        <w:t xml:space="preserve">less than </w:t>
      </w:r>
      <w:r w:rsidR="00334695">
        <w:t xml:space="preserve">pre-regulation main channel velocities, which ranged </w:t>
      </w:r>
      <w:r w:rsidR="00FC65A9">
        <w:t xml:space="preserve">from </w:t>
      </w:r>
      <w:r w:rsidR="00334695">
        <w:t>~0.4–0.8 m s</w:t>
      </w:r>
      <w:r w:rsidR="00334695" w:rsidRPr="00334695">
        <w:rPr>
          <w:vertAlign w:val="superscript"/>
        </w:rPr>
        <w:t>-1</w:t>
      </w:r>
      <w:r w:rsidR="00334695">
        <w:t>, even at discharges &lt;10,000 ML day</w:t>
      </w:r>
      <w:r w:rsidR="00334695" w:rsidRPr="00334695">
        <w:rPr>
          <w:vertAlign w:val="superscript"/>
        </w:rPr>
        <w:t>-1</w:t>
      </w:r>
      <w:r w:rsidR="00334695">
        <w:t xml:space="preserve"> (Mallen-Cooper and Zampatti 2015). Consequently, environmental responses to increased water velocities associated with Commonwealth environmental water may be limited. </w:t>
      </w:r>
      <w:r w:rsidR="00093064" w:rsidRPr="00A06B93">
        <w:rPr>
          <w:rFonts w:cs="Arial"/>
          <w:color w:val="auto"/>
          <w:szCs w:val="22"/>
        </w:rPr>
        <w:t>Commonwealth environmental water</w:t>
      </w:r>
      <w:r w:rsidR="00093064">
        <w:rPr>
          <w:rFonts w:cs="Arial"/>
          <w:color w:val="auto"/>
          <w:szCs w:val="22"/>
        </w:rPr>
        <w:t xml:space="preserve"> in 2015/16 </w:t>
      </w:r>
      <w:r w:rsidR="0044575D" w:rsidRPr="00A06B93">
        <w:rPr>
          <w:rFonts w:cs="Arial"/>
          <w:color w:val="auto"/>
          <w:szCs w:val="22"/>
        </w:rPr>
        <w:t xml:space="preserve">also </w:t>
      </w:r>
      <w:r w:rsidR="00334695">
        <w:rPr>
          <w:rFonts w:cs="Arial"/>
          <w:color w:val="auto"/>
          <w:szCs w:val="22"/>
        </w:rPr>
        <w:t xml:space="preserve">contributed to </w:t>
      </w:r>
      <w:r w:rsidR="0044575D" w:rsidRPr="00A06B93">
        <w:rPr>
          <w:rFonts w:cs="Arial"/>
          <w:color w:val="auto"/>
          <w:szCs w:val="22"/>
        </w:rPr>
        <w:t>increase</w:t>
      </w:r>
      <w:r w:rsidR="00315FC9">
        <w:rPr>
          <w:rFonts w:cs="Arial"/>
          <w:color w:val="auto"/>
          <w:szCs w:val="22"/>
        </w:rPr>
        <w:t xml:space="preserve">s in </w:t>
      </w:r>
      <w:r w:rsidR="0044575D" w:rsidRPr="00A06B93">
        <w:rPr>
          <w:rFonts w:cs="Arial"/>
          <w:color w:val="auto"/>
          <w:szCs w:val="22"/>
        </w:rPr>
        <w:t>water levels of up to 0.</w:t>
      </w:r>
      <w:r w:rsidR="00315FC9">
        <w:rPr>
          <w:rFonts w:cs="Arial"/>
          <w:color w:val="auto"/>
          <w:szCs w:val="22"/>
        </w:rPr>
        <w:t>3</w:t>
      </w:r>
      <w:r w:rsidR="0044575D" w:rsidRPr="00A06B93">
        <w:rPr>
          <w:rFonts w:cs="Arial"/>
          <w:color w:val="auto"/>
          <w:szCs w:val="22"/>
        </w:rPr>
        <w:t xml:space="preserve"> m in the upper reaches </w:t>
      </w:r>
      <w:r w:rsidR="00315FC9">
        <w:rPr>
          <w:rFonts w:cs="Arial"/>
          <w:color w:val="auto"/>
          <w:szCs w:val="22"/>
        </w:rPr>
        <w:t xml:space="preserve">for weir pools </w:t>
      </w:r>
      <w:r w:rsidR="00334695">
        <w:rPr>
          <w:rFonts w:cs="Arial"/>
          <w:color w:val="auto"/>
          <w:szCs w:val="22"/>
        </w:rPr>
        <w:t xml:space="preserve">that were not subjected to </w:t>
      </w:r>
      <w:r w:rsidR="00315FC9">
        <w:rPr>
          <w:rFonts w:cs="Arial"/>
          <w:color w:val="auto"/>
          <w:szCs w:val="22"/>
        </w:rPr>
        <w:t>WPR, and up to 0.</w:t>
      </w:r>
      <w:r w:rsidR="00330905">
        <w:rPr>
          <w:rFonts w:cs="Arial"/>
          <w:color w:val="auto"/>
          <w:szCs w:val="22"/>
        </w:rPr>
        <w:t>7</w:t>
      </w:r>
      <w:r w:rsidR="00315FC9">
        <w:rPr>
          <w:rFonts w:cs="Arial"/>
          <w:color w:val="auto"/>
          <w:szCs w:val="22"/>
        </w:rPr>
        <w:t xml:space="preserve"> m </w:t>
      </w:r>
      <w:r w:rsidR="00BE7960">
        <w:rPr>
          <w:rFonts w:cs="Arial"/>
          <w:color w:val="auto"/>
          <w:szCs w:val="22"/>
        </w:rPr>
        <w:t xml:space="preserve">for </w:t>
      </w:r>
      <w:r w:rsidR="00334695">
        <w:rPr>
          <w:rFonts w:cs="Arial"/>
          <w:color w:val="auto"/>
          <w:szCs w:val="22"/>
        </w:rPr>
        <w:t>w</w:t>
      </w:r>
      <w:r w:rsidR="00315FC9">
        <w:rPr>
          <w:rFonts w:cs="Arial"/>
          <w:color w:val="auto"/>
          <w:szCs w:val="22"/>
        </w:rPr>
        <w:t xml:space="preserve">eir </w:t>
      </w:r>
      <w:r w:rsidR="00334695">
        <w:rPr>
          <w:rFonts w:cs="Arial"/>
          <w:color w:val="auto"/>
          <w:szCs w:val="22"/>
        </w:rPr>
        <w:t>p</w:t>
      </w:r>
      <w:r w:rsidR="00BE7960">
        <w:rPr>
          <w:rFonts w:cs="Arial"/>
          <w:color w:val="auto"/>
          <w:szCs w:val="22"/>
        </w:rPr>
        <w:t xml:space="preserve">ools </w:t>
      </w:r>
      <w:r w:rsidR="00334695">
        <w:rPr>
          <w:rFonts w:cs="Arial"/>
          <w:color w:val="auto"/>
          <w:szCs w:val="22"/>
        </w:rPr>
        <w:t>that were</w:t>
      </w:r>
      <w:r w:rsidR="00315FC9">
        <w:rPr>
          <w:rFonts w:cs="Arial"/>
          <w:color w:val="auto"/>
          <w:szCs w:val="22"/>
        </w:rPr>
        <w:t>. The higher water levels</w:t>
      </w:r>
      <w:r w:rsidR="0044575D" w:rsidRPr="00A06B93">
        <w:rPr>
          <w:rFonts w:cs="Arial"/>
          <w:color w:val="auto"/>
          <w:szCs w:val="22"/>
        </w:rPr>
        <w:t xml:space="preserve"> </w:t>
      </w:r>
      <w:r w:rsidR="006E7296">
        <w:rPr>
          <w:rFonts w:cs="Arial"/>
          <w:color w:val="auto"/>
          <w:szCs w:val="22"/>
        </w:rPr>
        <w:t>resulted in</w:t>
      </w:r>
      <w:r w:rsidR="0044575D" w:rsidRPr="00A06B93">
        <w:rPr>
          <w:rFonts w:cs="Arial"/>
          <w:color w:val="auto"/>
          <w:szCs w:val="22"/>
        </w:rPr>
        <w:t xml:space="preserve"> incre</w:t>
      </w:r>
      <w:r w:rsidR="00ED0370">
        <w:rPr>
          <w:rFonts w:cs="Arial"/>
          <w:color w:val="auto"/>
          <w:szCs w:val="22"/>
        </w:rPr>
        <w:t>ased inundat</w:t>
      </w:r>
      <w:r w:rsidR="00FC65A9">
        <w:rPr>
          <w:rFonts w:cs="Arial"/>
          <w:color w:val="auto"/>
          <w:szCs w:val="22"/>
        </w:rPr>
        <w:t>ion</w:t>
      </w:r>
      <w:r w:rsidR="00ED0370">
        <w:rPr>
          <w:rFonts w:cs="Arial"/>
          <w:color w:val="auto"/>
          <w:szCs w:val="22"/>
        </w:rPr>
        <w:t xml:space="preserve"> of the littoral </w:t>
      </w:r>
      <w:r w:rsidR="0044575D" w:rsidRPr="00A06B93">
        <w:rPr>
          <w:rFonts w:cs="Arial"/>
          <w:color w:val="auto"/>
          <w:szCs w:val="22"/>
        </w:rPr>
        <w:t>zone of the river channel</w:t>
      </w:r>
      <w:r w:rsidR="00315FC9">
        <w:rPr>
          <w:rFonts w:cs="Arial"/>
          <w:color w:val="auto"/>
          <w:szCs w:val="22"/>
        </w:rPr>
        <w:t xml:space="preserve">, and </w:t>
      </w:r>
      <w:r w:rsidR="00ED0370">
        <w:rPr>
          <w:rFonts w:cs="Arial"/>
          <w:color w:val="auto"/>
          <w:szCs w:val="22"/>
        </w:rPr>
        <w:t>increased connection with the floodplain in some areas</w:t>
      </w:r>
      <w:r w:rsidR="00BE7960">
        <w:rPr>
          <w:rFonts w:cs="Arial"/>
          <w:color w:val="auto"/>
          <w:szCs w:val="22"/>
        </w:rPr>
        <w:t>.</w:t>
      </w:r>
    </w:p>
    <w:p w14:paraId="497E0CEC" w14:textId="5DA4D4BD" w:rsidR="00591979" w:rsidRPr="00A06B93" w:rsidRDefault="003A2CAB" w:rsidP="00591979">
      <w:pPr>
        <w:rPr>
          <w:rFonts w:eastAsiaTheme="majorEastAsia"/>
          <w:color w:val="auto"/>
          <w:szCs w:val="22"/>
        </w:rPr>
      </w:pPr>
      <w:r w:rsidRPr="00A06B93">
        <w:rPr>
          <w:rFonts w:eastAsiaTheme="majorEastAsia"/>
          <w:color w:val="auto"/>
          <w:szCs w:val="22"/>
        </w:rPr>
        <w:t>Additional environmental/</w:t>
      </w:r>
      <w:r w:rsidR="00591979" w:rsidRPr="00A06B93">
        <w:rPr>
          <w:rFonts w:eastAsiaTheme="majorEastAsia"/>
          <w:color w:val="auto"/>
          <w:szCs w:val="22"/>
        </w:rPr>
        <w:t xml:space="preserve">ecological </w:t>
      </w:r>
      <w:r w:rsidR="00B566CC" w:rsidRPr="00A06B93">
        <w:rPr>
          <w:rFonts w:eastAsiaTheme="majorEastAsia"/>
          <w:color w:val="auto"/>
          <w:szCs w:val="22"/>
        </w:rPr>
        <w:t>outcomes</w:t>
      </w:r>
      <w:r w:rsidR="002033DE">
        <w:rPr>
          <w:rFonts w:eastAsiaTheme="majorEastAsia"/>
          <w:color w:val="auto"/>
          <w:szCs w:val="22"/>
        </w:rPr>
        <w:t xml:space="preserve"> in the LMR</w:t>
      </w:r>
      <w:r w:rsidRPr="00A06B93">
        <w:rPr>
          <w:rFonts w:eastAsiaTheme="majorEastAsia"/>
          <w:color w:val="auto"/>
          <w:szCs w:val="22"/>
        </w:rPr>
        <w:t xml:space="preserve">, associated with Commonwealth environmental water delivery </w:t>
      </w:r>
      <w:r w:rsidR="00591979" w:rsidRPr="00A06B93">
        <w:rPr>
          <w:rFonts w:eastAsiaTheme="majorEastAsia"/>
          <w:color w:val="auto"/>
          <w:szCs w:val="22"/>
        </w:rPr>
        <w:t>in 201</w:t>
      </w:r>
      <w:r w:rsidR="002033DE">
        <w:rPr>
          <w:rFonts w:eastAsiaTheme="majorEastAsia"/>
          <w:color w:val="auto"/>
          <w:szCs w:val="22"/>
        </w:rPr>
        <w:t>5/16</w:t>
      </w:r>
      <w:r w:rsidR="00591979" w:rsidRPr="00A06B93">
        <w:rPr>
          <w:rFonts w:eastAsiaTheme="majorEastAsia"/>
          <w:color w:val="auto"/>
          <w:szCs w:val="22"/>
        </w:rPr>
        <w:t>, includ</w:t>
      </w:r>
      <w:r w:rsidRPr="00A06B93">
        <w:rPr>
          <w:rFonts w:eastAsiaTheme="majorEastAsia"/>
          <w:color w:val="auto"/>
          <w:szCs w:val="22"/>
        </w:rPr>
        <w:t>ed</w:t>
      </w:r>
      <w:r w:rsidR="0007074F">
        <w:rPr>
          <w:rFonts w:eastAsiaTheme="majorEastAsia"/>
          <w:color w:val="auto"/>
          <w:szCs w:val="22"/>
        </w:rPr>
        <w:t>:</w:t>
      </w:r>
    </w:p>
    <w:p w14:paraId="03C29E5E" w14:textId="468D0894" w:rsidR="008A71A6" w:rsidRPr="00A06B93" w:rsidRDefault="008A71A6" w:rsidP="008A71A6">
      <w:pPr>
        <w:pStyle w:val="PlainText"/>
        <w:numPr>
          <w:ilvl w:val="0"/>
          <w:numId w:val="15"/>
        </w:numPr>
        <w:rPr>
          <w:color w:val="auto"/>
          <w:sz w:val="22"/>
          <w:szCs w:val="22"/>
        </w:rPr>
      </w:pPr>
      <w:r w:rsidRPr="00A06B93">
        <w:rPr>
          <w:rFonts w:ascii="Century Gothic" w:hAnsi="Century Gothic"/>
          <w:color w:val="auto"/>
          <w:sz w:val="22"/>
          <w:szCs w:val="22"/>
        </w:rPr>
        <w:t xml:space="preserve">Increased transport of nutrients and phytoplankton, which would likely stimulate primary </w:t>
      </w:r>
      <w:r w:rsidR="00615ED6" w:rsidRPr="00A06B93">
        <w:rPr>
          <w:rFonts w:ascii="Century Gothic" w:hAnsi="Century Gothic"/>
          <w:color w:val="auto"/>
          <w:sz w:val="22"/>
          <w:szCs w:val="22"/>
        </w:rPr>
        <w:t xml:space="preserve">and secondary </w:t>
      </w:r>
      <w:r w:rsidRPr="00A06B93">
        <w:rPr>
          <w:rFonts w:ascii="Century Gothic" w:hAnsi="Century Gothic"/>
          <w:color w:val="auto"/>
          <w:sz w:val="22"/>
          <w:szCs w:val="22"/>
        </w:rPr>
        <w:t xml:space="preserve">productivity in downstream ecosystems. </w:t>
      </w:r>
    </w:p>
    <w:p w14:paraId="5C422D73" w14:textId="7F203CA4" w:rsidR="00591979" w:rsidRPr="00A06B93" w:rsidRDefault="00591979" w:rsidP="00F77564">
      <w:pPr>
        <w:pStyle w:val="ListParagraph"/>
        <w:numPr>
          <w:ilvl w:val="0"/>
          <w:numId w:val="15"/>
        </w:numPr>
        <w:ind w:left="714" w:hanging="357"/>
        <w:rPr>
          <w:szCs w:val="22"/>
        </w:rPr>
      </w:pPr>
      <w:r w:rsidRPr="00A06B93">
        <w:t>Intermittent increases in supplies of organic material</w:t>
      </w:r>
      <w:r w:rsidR="00943966">
        <w:t xml:space="preserve"> through improved connection with the floodplain</w:t>
      </w:r>
      <w:r w:rsidRPr="00A06B93">
        <w:t xml:space="preserve">, which are deemed </w:t>
      </w:r>
      <w:r w:rsidR="00AC2E16">
        <w:t>important</w:t>
      </w:r>
      <w:r w:rsidRPr="00A06B93">
        <w:t xml:space="preserve"> to the food</w:t>
      </w:r>
      <w:r w:rsidR="00400B8E" w:rsidRPr="00A06B93">
        <w:t xml:space="preserve"> </w:t>
      </w:r>
      <w:r w:rsidRPr="00A06B93">
        <w:t xml:space="preserve">webs of rivers. </w:t>
      </w:r>
      <w:r w:rsidR="00583A16" w:rsidRPr="00A06B93">
        <w:t xml:space="preserve">The increases were linked to </w:t>
      </w:r>
      <w:r w:rsidR="00583A16">
        <w:t xml:space="preserve">WPR in Weir Pool 5, and possibly </w:t>
      </w:r>
      <w:r w:rsidR="00B52FFE">
        <w:t>return water from the Chowilla F</w:t>
      </w:r>
      <w:r w:rsidR="00583A16">
        <w:t xml:space="preserve">loodplain, both facilitated by </w:t>
      </w:r>
      <w:r w:rsidR="00583A16" w:rsidRPr="00A06B93">
        <w:rPr>
          <w:rFonts w:eastAsiaTheme="majorEastAsia"/>
          <w:color w:val="auto"/>
        </w:rPr>
        <w:t>Commonwealth environmental water</w:t>
      </w:r>
      <w:r w:rsidR="00583A16">
        <w:rPr>
          <w:rFonts w:eastAsiaTheme="majorEastAsia"/>
          <w:color w:val="auto"/>
        </w:rPr>
        <w:t>.</w:t>
      </w:r>
    </w:p>
    <w:p w14:paraId="3F48B158" w14:textId="6C7190A1" w:rsidR="00AD00FF" w:rsidRDefault="00B46AD8" w:rsidP="006875E4">
      <w:pPr>
        <w:pStyle w:val="ListParagraph"/>
        <w:numPr>
          <w:ilvl w:val="0"/>
          <w:numId w:val="15"/>
        </w:numPr>
        <w:rPr>
          <w:rFonts w:cs="Arial"/>
          <w:szCs w:val="22"/>
        </w:rPr>
      </w:pPr>
      <w:r w:rsidRPr="000331B7">
        <w:rPr>
          <w:szCs w:val="22"/>
        </w:rPr>
        <w:t>I</w:t>
      </w:r>
      <w:r w:rsidR="00591979" w:rsidRPr="000331B7">
        <w:rPr>
          <w:szCs w:val="22"/>
        </w:rPr>
        <w:t>ncreased microinvertebrate diversity and abundance</w:t>
      </w:r>
      <w:r w:rsidR="000331B7" w:rsidRPr="000331B7">
        <w:rPr>
          <w:szCs w:val="22"/>
        </w:rPr>
        <w:t xml:space="preserve">. </w:t>
      </w:r>
      <w:r w:rsidR="008E6DED">
        <w:t>However,</w:t>
      </w:r>
      <w:r w:rsidR="0096519E">
        <w:t xml:space="preserve"> </w:t>
      </w:r>
      <w:r w:rsidR="008E6DED">
        <w:t xml:space="preserve">high </w:t>
      </w:r>
      <w:r w:rsidR="0096519E">
        <w:t>abundances and diversity</w:t>
      </w:r>
      <w:r w:rsidR="008E6DED">
        <w:t xml:space="preserve"> were short-lived and</w:t>
      </w:r>
      <w:r w:rsidR="0096519E">
        <w:t xml:space="preserve"> </w:t>
      </w:r>
      <w:r w:rsidR="008E6DED">
        <w:t xml:space="preserve">sharply </w:t>
      </w:r>
      <w:r w:rsidR="0096519E">
        <w:t>de</w:t>
      </w:r>
      <w:r w:rsidR="005A6098">
        <w:t xml:space="preserve">creased </w:t>
      </w:r>
      <w:r w:rsidR="0096519E">
        <w:t>following</w:t>
      </w:r>
      <w:r w:rsidR="005A6098">
        <w:t xml:space="preserve"> a</w:t>
      </w:r>
      <w:r w:rsidR="00224894">
        <w:t xml:space="preserve"> reduction in river flow and</w:t>
      </w:r>
      <w:r w:rsidR="005A6098">
        <w:t xml:space="preserve"> recession in water levels</w:t>
      </w:r>
      <w:r w:rsidR="0096519E">
        <w:t>.</w:t>
      </w:r>
    </w:p>
    <w:p w14:paraId="4D5B12AB" w14:textId="5C79B443" w:rsidR="00591979" w:rsidRPr="00A06B93" w:rsidRDefault="00591979" w:rsidP="00591979">
      <w:pPr>
        <w:pStyle w:val="PlainText"/>
        <w:numPr>
          <w:ilvl w:val="0"/>
          <w:numId w:val="15"/>
        </w:numPr>
        <w:rPr>
          <w:color w:val="auto"/>
          <w:sz w:val="22"/>
          <w:szCs w:val="22"/>
        </w:rPr>
      </w:pPr>
      <w:r w:rsidRPr="00A06B93">
        <w:rPr>
          <w:rFonts w:ascii="Century Gothic" w:hAnsi="Century Gothic"/>
          <w:color w:val="auto"/>
          <w:sz w:val="22"/>
          <w:szCs w:val="22"/>
        </w:rPr>
        <w:t xml:space="preserve">Reduced salinity concentrations in the Murray Mouth and increased export </w:t>
      </w:r>
      <w:r w:rsidR="009F3E95" w:rsidRPr="00A06B93">
        <w:rPr>
          <w:rFonts w:ascii="Century Gothic" w:hAnsi="Century Gothic"/>
          <w:color w:val="auto"/>
          <w:sz w:val="22"/>
          <w:szCs w:val="22"/>
        </w:rPr>
        <w:t xml:space="preserve">from the Murray River Channel and Lower Lakes </w:t>
      </w:r>
      <w:r w:rsidRPr="00A06B93">
        <w:rPr>
          <w:rFonts w:ascii="Century Gothic" w:hAnsi="Century Gothic"/>
          <w:color w:val="auto"/>
          <w:sz w:val="22"/>
          <w:szCs w:val="22"/>
        </w:rPr>
        <w:t xml:space="preserve">and </w:t>
      </w:r>
      <w:r w:rsidR="00C82658" w:rsidRPr="00A06B93">
        <w:rPr>
          <w:rFonts w:ascii="Century Gothic" w:hAnsi="Century Gothic"/>
          <w:color w:val="auto"/>
          <w:sz w:val="22"/>
          <w:szCs w:val="22"/>
        </w:rPr>
        <w:t xml:space="preserve">reduced </w:t>
      </w:r>
      <w:r w:rsidR="009F3E95" w:rsidRPr="00A06B93">
        <w:rPr>
          <w:rFonts w:ascii="Century Gothic" w:hAnsi="Century Gothic"/>
          <w:color w:val="auto"/>
          <w:sz w:val="22"/>
          <w:szCs w:val="22"/>
        </w:rPr>
        <w:t xml:space="preserve">the </w:t>
      </w:r>
      <w:r w:rsidR="00C82658" w:rsidRPr="00A06B93">
        <w:rPr>
          <w:rFonts w:ascii="Century Gothic" w:hAnsi="Century Gothic"/>
          <w:color w:val="auto"/>
          <w:sz w:val="22"/>
          <w:szCs w:val="22"/>
        </w:rPr>
        <w:t>import of salt</w:t>
      </w:r>
      <w:r w:rsidR="00B8331A" w:rsidRPr="00A06B93">
        <w:rPr>
          <w:rFonts w:ascii="Century Gothic" w:hAnsi="Century Gothic"/>
          <w:color w:val="auto"/>
          <w:sz w:val="22"/>
          <w:szCs w:val="22"/>
        </w:rPr>
        <w:t xml:space="preserve"> </w:t>
      </w:r>
      <w:r w:rsidR="009F3E95" w:rsidRPr="00A06B93">
        <w:rPr>
          <w:rFonts w:ascii="Century Gothic" w:hAnsi="Century Gothic"/>
          <w:color w:val="auto"/>
          <w:sz w:val="22"/>
          <w:szCs w:val="22"/>
        </w:rPr>
        <w:t>to the Coorong</w:t>
      </w:r>
      <w:r w:rsidRPr="00A06B93">
        <w:rPr>
          <w:rFonts w:ascii="Century Gothic" w:hAnsi="Century Gothic"/>
          <w:color w:val="auto"/>
          <w:sz w:val="22"/>
          <w:szCs w:val="22"/>
        </w:rPr>
        <w:t>.</w:t>
      </w:r>
    </w:p>
    <w:p w14:paraId="469A185D" w14:textId="077C3FB0" w:rsidR="00EA5838" w:rsidRPr="00A06B93" w:rsidRDefault="00B566CC" w:rsidP="007D5C95">
      <w:pPr>
        <w:spacing w:before="0" w:after="0"/>
        <w:rPr>
          <w:rFonts w:eastAsia="MS Mincho" w:cs="Arial"/>
          <w:b/>
          <w:bCs/>
          <w:color w:val="auto"/>
          <w:kern w:val="0"/>
          <w:sz w:val="20"/>
          <w:lang w:val="en-US"/>
        </w:rPr>
      </w:pPr>
      <w:r w:rsidRPr="00A06B93">
        <w:rPr>
          <w:rFonts w:cs="Arial"/>
          <w:szCs w:val="22"/>
        </w:rPr>
        <w:t>However, t</w:t>
      </w:r>
      <w:r w:rsidR="008C30C7" w:rsidRPr="00A06B93">
        <w:rPr>
          <w:rFonts w:cs="Arial"/>
          <w:szCs w:val="22"/>
        </w:rPr>
        <w:t xml:space="preserve">here was limited </w:t>
      </w:r>
      <w:r w:rsidR="003F3614">
        <w:rPr>
          <w:rFonts w:cs="Arial"/>
          <w:szCs w:val="22"/>
        </w:rPr>
        <w:t xml:space="preserve">spawning and negligible recruitment (to YOY, age 0+) of </w:t>
      </w:r>
      <w:r w:rsidR="008C30C7" w:rsidRPr="00A06B93">
        <w:rPr>
          <w:rFonts w:cs="Arial"/>
          <w:szCs w:val="22"/>
        </w:rPr>
        <w:t xml:space="preserve">golden perch </w:t>
      </w:r>
      <w:r w:rsidR="00C413A8">
        <w:rPr>
          <w:rFonts w:cs="Arial"/>
          <w:szCs w:val="22"/>
        </w:rPr>
        <w:t>and silver perch during 2015</w:t>
      </w:r>
      <w:r w:rsidR="008C30C7" w:rsidRPr="00A06B93">
        <w:rPr>
          <w:rFonts w:cs="Arial"/>
          <w:szCs w:val="22"/>
        </w:rPr>
        <w:t>/1</w:t>
      </w:r>
      <w:r w:rsidR="00C413A8">
        <w:rPr>
          <w:rFonts w:cs="Arial"/>
          <w:szCs w:val="22"/>
        </w:rPr>
        <w:t>6</w:t>
      </w:r>
      <w:r w:rsidR="008C30C7" w:rsidRPr="00A06B93">
        <w:rPr>
          <w:rFonts w:cs="Arial"/>
          <w:szCs w:val="22"/>
        </w:rPr>
        <w:t xml:space="preserve">. </w:t>
      </w:r>
      <w:r w:rsidR="00AD2B15" w:rsidRPr="00A06B93">
        <w:rPr>
          <w:bCs/>
        </w:rPr>
        <w:t>These findings support contemporar</w:t>
      </w:r>
      <w:r w:rsidR="00BE778B" w:rsidRPr="00A06B93">
        <w:rPr>
          <w:bCs/>
        </w:rPr>
        <w:t>y conceptual models of the flow-</w:t>
      </w:r>
      <w:r w:rsidR="00AD2B15" w:rsidRPr="00A06B93">
        <w:rPr>
          <w:bCs/>
        </w:rPr>
        <w:t>related ecology of golden perch</w:t>
      </w:r>
      <w:r w:rsidR="00F7365C">
        <w:rPr>
          <w:bCs/>
        </w:rPr>
        <w:t xml:space="preserve"> and silver perch</w:t>
      </w:r>
      <w:r w:rsidR="00AD2B15" w:rsidRPr="00A06B93">
        <w:rPr>
          <w:bCs/>
        </w:rPr>
        <w:t xml:space="preserve"> in the lower River</w:t>
      </w:r>
      <w:r w:rsidR="0087158F" w:rsidRPr="00A06B93">
        <w:rPr>
          <w:bCs/>
        </w:rPr>
        <w:t xml:space="preserve"> Murray</w:t>
      </w:r>
      <w:r w:rsidR="00AD2B15" w:rsidRPr="00A06B93">
        <w:rPr>
          <w:bCs/>
        </w:rPr>
        <w:t>, with spawning and recruitment being associated with spring</w:t>
      </w:r>
      <w:r w:rsidR="00AD2B15" w:rsidRPr="00A06B93">
        <w:rPr>
          <w:rFonts w:cstheme="minorHAnsi"/>
          <w:bCs/>
        </w:rPr>
        <w:t>–</w:t>
      </w:r>
      <w:r w:rsidR="00AD2B15" w:rsidRPr="00A06B93">
        <w:rPr>
          <w:bCs/>
        </w:rPr>
        <w:lastRenderedPageBreak/>
        <w:t>summer in-channel flow variab</w:t>
      </w:r>
      <w:r w:rsidR="00342A82">
        <w:rPr>
          <w:bCs/>
        </w:rPr>
        <w:t>ility (nominally greater than 15</w:t>
      </w:r>
      <w:r w:rsidR="00AD2B15" w:rsidRPr="00A06B93">
        <w:rPr>
          <w:bCs/>
        </w:rPr>
        <w:t>,000 ML day</w:t>
      </w:r>
      <w:r w:rsidR="00AD2B15" w:rsidRPr="00A06B93">
        <w:rPr>
          <w:bCs/>
          <w:vertAlign w:val="superscript"/>
        </w:rPr>
        <w:t>-1</w:t>
      </w:r>
      <w:r w:rsidR="00AD2B15" w:rsidRPr="00A06B93">
        <w:rPr>
          <w:bCs/>
        </w:rPr>
        <w:t xml:space="preserve">) and overbank flows in the lower </w:t>
      </w:r>
      <w:r w:rsidR="00B8331A" w:rsidRPr="00A06B93">
        <w:rPr>
          <w:bCs/>
        </w:rPr>
        <w:t xml:space="preserve">River </w:t>
      </w:r>
      <w:r w:rsidR="00AD2B15" w:rsidRPr="00A06B93">
        <w:rPr>
          <w:bCs/>
        </w:rPr>
        <w:t>Murray or substantial flow pulses (e.g. 2,000</w:t>
      </w:r>
      <w:r w:rsidR="00AD2B15" w:rsidRPr="00A06B93">
        <w:rPr>
          <w:rFonts w:cstheme="minorHAnsi"/>
          <w:bCs/>
        </w:rPr>
        <w:t>–</w:t>
      </w:r>
      <w:r w:rsidR="00AD2B15" w:rsidRPr="00A06B93">
        <w:rPr>
          <w:bCs/>
        </w:rPr>
        <w:t>3,000 ML day</w:t>
      </w:r>
      <w:r w:rsidR="00AD2B15" w:rsidRPr="00A06B93">
        <w:rPr>
          <w:bCs/>
          <w:vertAlign w:val="superscript"/>
        </w:rPr>
        <w:t>-1</w:t>
      </w:r>
      <w:r w:rsidR="00AD2B15" w:rsidRPr="00A06B93">
        <w:rPr>
          <w:bCs/>
        </w:rPr>
        <w:t xml:space="preserve"> down the lower Darling River) (Zampatti and Leigh 2013a; Zampatti </w:t>
      </w:r>
      <w:r w:rsidR="00AD2B15" w:rsidRPr="00A06B93">
        <w:rPr>
          <w:bCs/>
          <w:i/>
        </w:rPr>
        <w:t>et al</w:t>
      </w:r>
      <w:r w:rsidR="00AD2B15" w:rsidRPr="00A06B93">
        <w:rPr>
          <w:bCs/>
        </w:rPr>
        <w:t>. 2015). Such hydrological characteristics were absent in 201</w:t>
      </w:r>
      <w:r w:rsidR="00C413A8">
        <w:rPr>
          <w:bCs/>
        </w:rPr>
        <w:t>5/16</w:t>
      </w:r>
      <w:r w:rsidR="00AD2B15" w:rsidRPr="00A06B93">
        <w:rPr>
          <w:bCs/>
        </w:rPr>
        <w:t xml:space="preserve">. </w:t>
      </w:r>
      <w:r w:rsidR="008C30C7" w:rsidRPr="00A06B93">
        <w:rPr>
          <w:bCs/>
        </w:rPr>
        <w:t xml:space="preserve">Moderation </w:t>
      </w:r>
      <w:r w:rsidR="008C30C7" w:rsidRPr="00A06B93">
        <w:rPr>
          <w:rFonts w:cs="Arial"/>
          <w:szCs w:val="22"/>
        </w:rPr>
        <w:t>and fragmentation of flow between the mi</w:t>
      </w:r>
      <w:r w:rsidR="00C413A8">
        <w:rPr>
          <w:rFonts w:cs="Arial"/>
          <w:szCs w:val="22"/>
        </w:rPr>
        <w:t>d</w:t>
      </w:r>
      <w:r w:rsidR="00EE30A6">
        <w:rPr>
          <w:rFonts w:cs="Arial"/>
          <w:szCs w:val="22"/>
        </w:rPr>
        <w:t>-Murray River</w:t>
      </w:r>
      <w:r w:rsidR="00C413A8">
        <w:rPr>
          <w:rFonts w:cs="Arial"/>
          <w:szCs w:val="22"/>
        </w:rPr>
        <w:t xml:space="preserve"> and lower River </w:t>
      </w:r>
      <w:r w:rsidR="00EE30A6">
        <w:rPr>
          <w:rFonts w:cs="Arial"/>
          <w:szCs w:val="22"/>
        </w:rPr>
        <w:t xml:space="preserve">Murray </w:t>
      </w:r>
      <w:r w:rsidR="00C413A8">
        <w:rPr>
          <w:rFonts w:cs="Arial"/>
          <w:szCs w:val="22"/>
        </w:rPr>
        <w:t>in 2015</w:t>
      </w:r>
      <w:r w:rsidR="008C30C7" w:rsidRPr="00A06B93">
        <w:rPr>
          <w:rFonts w:cs="Arial"/>
          <w:szCs w:val="22"/>
        </w:rPr>
        <w:t xml:space="preserve"> (through the operation of Lake Victoria)</w:t>
      </w:r>
      <w:r w:rsidR="00DC782C">
        <w:rPr>
          <w:rFonts w:cs="Arial"/>
          <w:szCs w:val="22"/>
        </w:rPr>
        <w:t xml:space="preserve"> (</w:t>
      </w:r>
      <w:r w:rsidR="00D277CB">
        <w:fldChar w:fldCharType="begin"/>
      </w:r>
      <w:r w:rsidR="00D277CB">
        <w:rPr>
          <w:rFonts w:cs="Arial"/>
          <w:szCs w:val="22"/>
        </w:rPr>
        <w:instrText xml:space="preserve"> REF _Ref473103996 \h </w:instrText>
      </w:r>
      <w:r w:rsidR="00D277CB">
        <w:fldChar w:fldCharType="separate"/>
      </w:r>
      <w:r w:rsidR="004260C4" w:rsidRPr="005574C9">
        <w:t xml:space="preserve">Figure </w:t>
      </w:r>
      <w:r w:rsidR="004260C4">
        <w:rPr>
          <w:noProof/>
        </w:rPr>
        <w:t>16</w:t>
      </w:r>
      <w:r w:rsidR="00D277CB">
        <w:fldChar w:fldCharType="end"/>
      </w:r>
      <w:r w:rsidR="00DC782C">
        <w:t>)</w:t>
      </w:r>
      <w:r w:rsidR="00F7365C">
        <w:rPr>
          <w:rFonts w:cs="Arial"/>
          <w:szCs w:val="22"/>
        </w:rPr>
        <w:t xml:space="preserve">, </w:t>
      </w:r>
      <w:r w:rsidR="00F7365C" w:rsidRPr="00C33117">
        <w:t>and an absence of flow in the Darling River</w:t>
      </w:r>
      <w:r w:rsidR="00F7365C">
        <w:t>,</w:t>
      </w:r>
      <w:r w:rsidR="008C30C7" w:rsidRPr="00A06B93">
        <w:rPr>
          <w:rFonts w:cs="Arial"/>
          <w:szCs w:val="22"/>
        </w:rPr>
        <w:t xml:space="preserve"> potentially </w:t>
      </w:r>
      <w:r w:rsidR="00342A82">
        <w:rPr>
          <w:rFonts w:cs="Arial"/>
          <w:szCs w:val="22"/>
        </w:rPr>
        <w:t>diminished</w:t>
      </w:r>
      <w:r w:rsidR="008C30C7" w:rsidRPr="00A06B93">
        <w:rPr>
          <w:rFonts w:cs="Arial"/>
          <w:szCs w:val="22"/>
        </w:rPr>
        <w:t xml:space="preserve"> spawning and</w:t>
      </w:r>
      <w:r w:rsidR="00602DB7">
        <w:rPr>
          <w:rFonts w:cs="Arial"/>
          <w:szCs w:val="22"/>
        </w:rPr>
        <w:t>/or</w:t>
      </w:r>
      <w:r w:rsidR="008C30C7" w:rsidRPr="00A06B93">
        <w:rPr>
          <w:rFonts w:cs="Arial"/>
          <w:szCs w:val="22"/>
        </w:rPr>
        <w:t xml:space="preserve"> recruitment of golden perch</w:t>
      </w:r>
      <w:r w:rsidR="0096519E">
        <w:rPr>
          <w:rFonts w:cs="Arial"/>
          <w:szCs w:val="22"/>
        </w:rPr>
        <w:t xml:space="preserve"> and silver perch</w:t>
      </w:r>
      <w:r w:rsidR="0082445A">
        <w:rPr>
          <w:rFonts w:cs="Arial"/>
          <w:szCs w:val="22"/>
        </w:rPr>
        <w:t xml:space="preserve"> in the LMR Selected Area</w:t>
      </w:r>
      <w:r w:rsidR="0082445A" w:rsidRPr="00A06B93">
        <w:rPr>
          <w:rFonts w:cs="Arial"/>
          <w:szCs w:val="22"/>
        </w:rPr>
        <w:t xml:space="preserve">. </w:t>
      </w:r>
      <w:bookmarkStart w:id="117" w:name="_Ref433708297"/>
    </w:p>
    <w:p w14:paraId="2CC5F7D8" w14:textId="5A062889" w:rsidR="00AC54CD" w:rsidRPr="00A06B93" w:rsidRDefault="00AC54CD" w:rsidP="00B46038">
      <w:pPr>
        <w:pStyle w:val="Captions"/>
      </w:pPr>
      <w:bookmarkStart w:id="118" w:name="_Ref467686725"/>
      <w:bookmarkStart w:id="119" w:name="_Toc442086407"/>
      <w:bookmarkStart w:id="120" w:name="_Toc474147022"/>
      <w:r w:rsidRPr="00A06B93">
        <w:t xml:space="preserve">Table </w:t>
      </w:r>
      <w:r w:rsidR="00394AA8" w:rsidRPr="00A06B93">
        <w:fldChar w:fldCharType="begin"/>
      </w:r>
      <w:r w:rsidR="009D45C9" w:rsidRPr="00A06B93">
        <w:instrText xml:space="preserve"> SEQ Table \* ARABIC </w:instrText>
      </w:r>
      <w:r w:rsidR="00394AA8" w:rsidRPr="00A06B93">
        <w:fldChar w:fldCharType="separate"/>
      </w:r>
      <w:r w:rsidR="004260C4">
        <w:rPr>
          <w:noProof/>
        </w:rPr>
        <w:t>4</w:t>
      </w:r>
      <w:r w:rsidR="00394AA8" w:rsidRPr="00A06B93">
        <w:rPr>
          <w:noProof/>
        </w:rPr>
        <w:fldChar w:fldCharType="end"/>
      </w:r>
      <w:bookmarkEnd w:id="117"/>
      <w:bookmarkEnd w:id="118"/>
      <w:r w:rsidRPr="00A06B93">
        <w:t xml:space="preserve">. </w:t>
      </w:r>
      <w:r w:rsidR="00B72291" w:rsidRPr="00A06B93">
        <w:t>CEWO</w:t>
      </w:r>
      <w:r w:rsidRPr="00A06B93">
        <w:t xml:space="preserve"> </w:t>
      </w:r>
      <w:r w:rsidR="00D94EF6" w:rsidRPr="00A06B93">
        <w:t xml:space="preserve">short-term (one-year) </w:t>
      </w:r>
      <w:r w:rsidRPr="00A06B93">
        <w:t xml:space="preserve">evaluation questions by Category 1 and 3 indicators. Evaluation questions are </w:t>
      </w:r>
      <w:r w:rsidR="00BD24E8" w:rsidRPr="00A06B93">
        <w:t xml:space="preserve">sourced or adapted from Gawne </w:t>
      </w:r>
      <w:r w:rsidR="00BD24E8" w:rsidRPr="00A06B93">
        <w:rPr>
          <w:i/>
        </w:rPr>
        <w:t>et al.</w:t>
      </w:r>
      <w:r w:rsidR="00BD24E8" w:rsidRPr="00A06B93">
        <w:t xml:space="preserve"> (2014)</w:t>
      </w:r>
      <w:r w:rsidRPr="00A06B93">
        <w:t xml:space="preserve">. Category 1 Hydrology (channel) and Category 1 Fish (channel) did not directly address specific </w:t>
      </w:r>
      <w:r w:rsidR="00C413A8">
        <w:t xml:space="preserve">CEWO </w:t>
      </w:r>
      <w:r w:rsidRPr="00A06B93">
        <w:t>evaluation questions thus are not presented, but Category 1 Hydrology (channel)</w:t>
      </w:r>
      <w:r w:rsidR="00D94EF6" w:rsidRPr="00A06B93">
        <w:t xml:space="preserve"> provided</w:t>
      </w:r>
      <w:r w:rsidRPr="00A06B93">
        <w:t xml:space="preserve"> fundamental information for analysis and evaluation of monitoring outcomes against hydrological condi</w:t>
      </w:r>
      <w:r w:rsidR="00315997" w:rsidRPr="00A06B93">
        <w:t>tions and environmental water delivery</w:t>
      </w:r>
      <w:r w:rsidRPr="00A06B93">
        <w:t xml:space="preserve"> for all indicators.</w:t>
      </w:r>
      <w:bookmarkEnd w:id="119"/>
      <w:r w:rsidR="007141EE">
        <w:t xml:space="preserve"> CEW = Commonwealth environmental water, WPR = weir pool raising.</w:t>
      </w:r>
      <w:bookmarkEnd w:id="120"/>
    </w:p>
    <w:tbl>
      <w:tblPr>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2632"/>
        <w:gridCol w:w="5021"/>
      </w:tblGrid>
      <w:tr w:rsidR="00613BA2" w:rsidRPr="00613BA2" w14:paraId="5AB06C03" w14:textId="77777777" w:rsidTr="00351DB5">
        <w:trPr>
          <w:cantSplit/>
          <w:tblHeader/>
        </w:trPr>
        <w:tc>
          <w:tcPr>
            <w:tcW w:w="1474" w:type="dxa"/>
            <w:tcBorders>
              <w:bottom w:val="single" w:sz="4" w:space="0" w:color="auto"/>
            </w:tcBorders>
            <w:shd w:val="clear" w:color="auto" w:fill="auto"/>
          </w:tcPr>
          <w:p w14:paraId="41C1EA64" w14:textId="77777777" w:rsidR="00AC54CD" w:rsidRPr="00613BA2" w:rsidRDefault="00AC54CD" w:rsidP="002E09B2">
            <w:pPr>
              <w:pStyle w:val="TableHeading"/>
              <w:jc w:val="left"/>
              <w:rPr>
                <w:sz w:val="19"/>
                <w:szCs w:val="19"/>
              </w:rPr>
            </w:pPr>
            <w:r w:rsidRPr="00613BA2">
              <w:rPr>
                <w:sz w:val="19"/>
                <w:szCs w:val="19"/>
              </w:rPr>
              <w:t>Indicator</w:t>
            </w:r>
          </w:p>
        </w:tc>
        <w:tc>
          <w:tcPr>
            <w:tcW w:w="2632" w:type="dxa"/>
            <w:tcBorders>
              <w:bottom w:val="single" w:sz="4" w:space="0" w:color="auto"/>
            </w:tcBorders>
            <w:shd w:val="clear" w:color="auto" w:fill="auto"/>
          </w:tcPr>
          <w:p w14:paraId="4749DEC3" w14:textId="77777777" w:rsidR="00AC54CD" w:rsidRPr="00613BA2" w:rsidRDefault="00AC54CD" w:rsidP="002E09B2">
            <w:pPr>
              <w:pStyle w:val="TableHeading"/>
              <w:jc w:val="left"/>
              <w:rPr>
                <w:sz w:val="19"/>
                <w:szCs w:val="19"/>
              </w:rPr>
            </w:pPr>
            <w:r w:rsidRPr="00613BA2">
              <w:rPr>
                <w:sz w:val="19"/>
                <w:szCs w:val="19"/>
              </w:rPr>
              <w:t>CEWO key one-year evaluation questions</w:t>
            </w:r>
          </w:p>
        </w:tc>
        <w:tc>
          <w:tcPr>
            <w:tcW w:w="5021" w:type="dxa"/>
            <w:tcBorders>
              <w:bottom w:val="single" w:sz="4" w:space="0" w:color="auto"/>
            </w:tcBorders>
            <w:shd w:val="clear" w:color="auto" w:fill="auto"/>
          </w:tcPr>
          <w:p w14:paraId="77F3AFE9" w14:textId="77777777" w:rsidR="00AC54CD" w:rsidRPr="00613BA2" w:rsidRDefault="00B73004" w:rsidP="002E09B2">
            <w:pPr>
              <w:pStyle w:val="TableHeading"/>
              <w:jc w:val="left"/>
              <w:rPr>
                <w:sz w:val="19"/>
                <w:szCs w:val="19"/>
              </w:rPr>
            </w:pPr>
            <w:r w:rsidRPr="00613BA2">
              <w:rPr>
                <w:sz w:val="19"/>
                <w:szCs w:val="19"/>
              </w:rPr>
              <w:t>Outcomes of Commonwealth environmental</w:t>
            </w:r>
            <w:r w:rsidR="00AC54CD" w:rsidRPr="00613BA2">
              <w:rPr>
                <w:sz w:val="19"/>
                <w:szCs w:val="19"/>
              </w:rPr>
              <w:t xml:space="preserve"> water delivery</w:t>
            </w:r>
          </w:p>
        </w:tc>
      </w:tr>
      <w:tr w:rsidR="00613BA2" w:rsidRPr="00613BA2" w14:paraId="06717252" w14:textId="77777777" w:rsidTr="00351DB5">
        <w:trPr>
          <w:cantSplit/>
        </w:trPr>
        <w:tc>
          <w:tcPr>
            <w:tcW w:w="1474" w:type="dxa"/>
            <w:tcBorders>
              <w:top w:val="single" w:sz="4" w:space="0" w:color="auto"/>
              <w:left w:val="single" w:sz="4" w:space="0" w:color="auto"/>
              <w:bottom w:val="nil"/>
              <w:right w:val="single" w:sz="4" w:space="0" w:color="auto"/>
            </w:tcBorders>
            <w:shd w:val="clear" w:color="auto" w:fill="auto"/>
          </w:tcPr>
          <w:p w14:paraId="3D2C9E5C" w14:textId="352C0CA0" w:rsidR="00AC54CD" w:rsidRPr="00613BA2" w:rsidRDefault="00AC54CD" w:rsidP="002E09B2">
            <w:pPr>
              <w:jc w:val="left"/>
              <w:rPr>
                <w:sz w:val="19"/>
                <w:szCs w:val="19"/>
              </w:rPr>
            </w:pPr>
            <w:r w:rsidRPr="00613BA2">
              <w:rPr>
                <w:sz w:val="19"/>
                <w:szCs w:val="19"/>
              </w:rPr>
              <w:t>Category 1. Stream</w:t>
            </w:r>
            <w:r w:rsidR="001474B1" w:rsidRPr="00613BA2">
              <w:rPr>
                <w:sz w:val="19"/>
                <w:szCs w:val="19"/>
              </w:rPr>
              <w:t xml:space="preserve"> M</w:t>
            </w:r>
            <w:r w:rsidRPr="00613BA2">
              <w:rPr>
                <w:sz w:val="19"/>
                <w:szCs w:val="19"/>
              </w:rPr>
              <w:t>etabolism</w:t>
            </w:r>
          </w:p>
        </w:tc>
        <w:tc>
          <w:tcPr>
            <w:tcW w:w="2632" w:type="dxa"/>
            <w:tcBorders>
              <w:top w:val="single" w:sz="4" w:space="0" w:color="auto"/>
              <w:left w:val="single" w:sz="4" w:space="0" w:color="auto"/>
              <w:bottom w:val="nil"/>
              <w:right w:val="single" w:sz="4" w:space="0" w:color="auto"/>
            </w:tcBorders>
            <w:shd w:val="clear" w:color="auto" w:fill="auto"/>
          </w:tcPr>
          <w:p w14:paraId="73C3FF25" w14:textId="5ECE9899" w:rsidR="00AC54CD" w:rsidRPr="00613BA2" w:rsidRDefault="00AC54CD" w:rsidP="002E09B2">
            <w:pPr>
              <w:jc w:val="left"/>
              <w:rPr>
                <w:sz w:val="19"/>
                <w:szCs w:val="19"/>
              </w:rPr>
            </w:pPr>
            <w:r w:rsidRPr="00613BA2">
              <w:rPr>
                <w:sz w:val="19"/>
                <w:szCs w:val="19"/>
              </w:rPr>
              <w:t>What did CEW contribute to patterns and rates of primary productivity</w:t>
            </w:r>
            <w:r w:rsidR="007141EE" w:rsidRPr="00613BA2">
              <w:rPr>
                <w:sz w:val="19"/>
                <w:szCs w:val="19"/>
              </w:rPr>
              <w:t xml:space="preserve"> and decomposition</w:t>
            </w:r>
            <w:r w:rsidRPr="00613BA2">
              <w:rPr>
                <w:sz w:val="19"/>
                <w:szCs w:val="19"/>
              </w:rPr>
              <w:t>?</w:t>
            </w:r>
            <w:r w:rsidRPr="00613BA2">
              <w:rPr>
                <w:sz w:val="19"/>
                <w:szCs w:val="19"/>
                <w:lang w:val="en-US"/>
              </w:rPr>
              <w:t xml:space="preserve"> </w:t>
            </w:r>
          </w:p>
        </w:tc>
        <w:tc>
          <w:tcPr>
            <w:tcW w:w="5021" w:type="dxa"/>
            <w:tcBorders>
              <w:top w:val="single" w:sz="4" w:space="0" w:color="auto"/>
              <w:left w:val="single" w:sz="4" w:space="0" w:color="auto"/>
              <w:bottom w:val="nil"/>
              <w:right w:val="single" w:sz="4" w:space="0" w:color="auto"/>
            </w:tcBorders>
            <w:shd w:val="clear" w:color="auto" w:fill="auto"/>
          </w:tcPr>
          <w:p w14:paraId="41201279" w14:textId="61CD44E4" w:rsidR="00AC54CD" w:rsidRPr="00613BA2" w:rsidRDefault="00C32435" w:rsidP="002D154C">
            <w:pPr>
              <w:jc w:val="left"/>
              <w:rPr>
                <w:sz w:val="19"/>
                <w:szCs w:val="19"/>
              </w:rPr>
            </w:pPr>
            <w:r w:rsidRPr="00C32435">
              <w:rPr>
                <w:sz w:val="19"/>
                <w:szCs w:val="19"/>
              </w:rPr>
              <w:t>There were enhanced gross primary production and respiration rates associated with WPR in Weir Pool 5 and return flows from Chowilla, both of which were supported by CEW. Integrated ecosystem net production was</w:t>
            </w:r>
            <w:r w:rsidR="002D154C">
              <w:rPr>
                <w:sz w:val="19"/>
                <w:szCs w:val="19"/>
              </w:rPr>
              <w:t xml:space="preserve"> near</w:t>
            </w:r>
            <w:r w:rsidRPr="00C32435">
              <w:rPr>
                <w:sz w:val="19"/>
                <w:szCs w:val="19"/>
              </w:rPr>
              <w:t xml:space="preserve"> zero, indicating that organic material was derived from aquatic production with little enhancement from external supplies that could have further increased food supplies.</w:t>
            </w:r>
          </w:p>
        </w:tc>
      </w:tr>
      <w:tr w:rsidR="00613BA2" w:rsidRPr="00613BA2" w14:paraId="3DE6A649" w14:textId="77777777" w:rsidTr="00396077">
        <w:trPr>
          <w:cantSplit/>
        </w:trPr>
        <w:tc>
          <w:tcPr>
            <w:tcW w:w="1474" w:type="dxa"/>
            <w:tcBorders>
              <w:top w:val="nil"/>
              <w:left w:val="single" w:sz="4" w:space="0" w:color="auto"/>
              <w:bottom w:val="single" w:sz="4" w:space="0" w:color="auto"/>
              <w:right w:val="single" w:sz="4" w:space="0" w:color="auto"/>
            </w:tcBorders>
            <w:shd w:val="clear" w:color="auto" w:fill="auto"/>
          </w:tcPr>
          <w:p w14:paraId="6782AF30" w14:textId="77777777" w:rsidR="002F5EF6" w:rsidRPr="00613BA2" w:rsidRDefault="002F5EF6" w:rsidP="002E09B2">
            <w:pPr>
              <w:jc w:val="left"/>
              <w:rPr>
                <w:sz w:val="19"/>
                <w:szCs w:val="19"/>
              </w:rPr>
            </w:pPr>
          </w:p>
        </w:tc>
        <w:tc>
          <w:tcPr>
            <w:tcW w:w="2632" w:type="dxa"/>
            <w:tcBorders>
              <w:top w:val="nil"/>
              <w:left w:val="single" w:sz="4" w:space="0" w:color="auto"/>
              <w:bottom w:val="single" w:sz="4" w:space="0" w:color="auto"/>
              <w:right w:val="single" w:sz="4" w:space="0" w:color="auto"/>
            </w:tcBorders>
            <w:shd w:val="clear" w:color="auto" w:fill="auto"/>
          </w:tcPr>
          <w:p w14:paraId="1B87B103" w14:textId="77777777" w:rsidR="002F5EF6" w:rsidRPr="00613BA2" w:rsidRDefault="002F5EF6" w:rsidP="002E09B2">
            <w:pPr>
              <w:jc w:val="left"/>
              <w:rPr>
                <w:sz w:val="19"/>
                <w:szCs w:val="19"/>
              </w:rPr>
            </w:pPr>
            <w:r w:rsidRPr="00613BA2">
              <w:rPr>
                <w:sz w:val="19"/>
                <w:szCs w:val="19"/>
              </w:rPr>
              <w:t>What did CEW contribute to dissolved oxygen levels?</w:t>
            </w:r>
          </w:p>
        </w:tc>
        <w:tc>
          <w:tcPr>
            <w:tcW w:w="5021" w:type="dxa"/>
            <w:tcBorders>
              <w:top w:val="nil"/>
              <w:left w:val="single" w:sz="4" w:space="0" w:color="auto"/>
              <w:bottom w:val="single" w:sz="4" w:space="0" w:color="auto"/>
              <w:right w:val="single" w:sz="4" w:space="0" w:color="auto"/>
            </w:tcBorders>
            <w:shd w:val="clear" w:color="auto" w:fill="auto"/>
          </w:tcPr>
          <w:p w14:paraId="3F9E7B22" w14:textId="66E5BFF2" w:rsidR="002F5EF6" w:rsidRPr="00613BA2" w:rsidRDefault="00C32435" w:rsidP="00E763B3">
            <w:pPr>
              <w:jc w:val="left"/>
              <w:rPr>
                <w:sz w:val="19"/>
                <w:szCs w:val="19"/>
              </w:rPr>
            </w:pPr>
            <w:r w:rsidRPr="00C32435">
              <w:rPr>
                <w:sz w:val="19"/>
                <w:szCs w:val="19"/>
              </w:rPr>
              <w:t xml:space="preserve">Oxygen concentrations did not </w:t>
            </w:r>
            <w:r w:rsidR="00E763B3">
              <w:rPr>
                <w:sz w:val="19"/>
                <w:szCs w:val="19"/>
              </w:rPr>
              <w:t>fall</w:t>
            </w:r>
            <w:r w:rsidR="00E763B3" w:rsidRPr="00C32435">
              <w:rPr>
                <w:sz w:val="19"/>
                <w:szCs w:val="19"/>
              </w:rPr>
              <w:t xml:space="preserve"> </w:t>
            </w:r>
            <w:r w:rsidRPr="00C32435">
              <w:rPr>
                <w:sz w:val="19"/>
                <w:szCs w:val="19"/>
              </w:rPr>
              <w:t>below acceptable levels (&gt;50% saturation).</w:t>
            </w:r>
          </w:p>
        </w:tc>
      </w:tr>
      <w:tr w:rsidR="00613BA2" w:rsidRPr="00613BA2" w14:paraId="0DD1D3CC" w14:textId="77777777" w:rsidTr="00396077">
        <w:trPr>
          <w:cantSplit/>
        </w:trPr>
        <w:tc>
          <w:tcPr>
            <w:tcW w:w="1474" w:type="dxa"/>
            <w:tcBorders>
              <w:top w:val="single" w:sz="4" w:space="0" w:color="auto"/>
              <w:left w:val="single" w:sz="4" w:space="0" w:color="auto"/>
              <w:bottom w:val="single" w:sz="4" w:space="0" w:color="auto"/>
              <w:right w:val="single" w:sz="4" w:space="0" w:color="auto"/>
            </w:tcBorders>
            <w:shd w:val="clear" w:color="auto" w:fill="auto"/>
          </w:tcPr>
          <w:p w14:paraId="54861DAD" w14:textId="31631BDA" w:rsidR="00AC54CD" w:rsidRPr="00613BA2" w:rsidRDefault="001474B1" w:rsidP="002E09B2">
            <w:pPr>
              <w:jc w:val="left"/>
              <w:rPr>
                <w:sz w:val="19"/>
                <w:szCs w:val="19"/>
              </w:rPr>
            </w:pPr>
            <w:r w:rsidRPr="00613BA2">
              <w:rPr>
                <w:sz w:val="19"/>
                <w:szCs w:val="19"/>
              </w:rPr>
              <w:t>Category 3. Hydrological R</w:t>
            </w:r>
            <w:r w:rsidR="00AC54CD" w:rsidRPr="00613BA2">
              <w:rPr>
                <w:sz w:val="19"/>
                <w:szCs w:val="19"/>
              </w:rPr>
              <w:t>egime</w:t>
            </w:r>
            <w:r w:rsidR="00E763B3">
              <w:rPr>
                <w:sz w:val="19"/>
                <w:szCs w:val="19"/>
              </w:rPr>
              <w:t>*</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382D69EA" w14:textId="3C6BBF16" w:rsidR="00145E41" w:rsidRPr="00613BA2" w:rsidRDefault="00AC54CD" w:rsidP="00C32435">
            <w:pPr>
              <w:jc w:val="left"/>
              <w:rPr>
                <w:sz w:val="19"/>
                <w:szCs w:val="19"/>
              </w:rPr>
            </w:pPr>
            <w:r w:rsidRPr="00613BA2">
              <w:rPr>
                <w:sz w:val="19"/>
                <w:szCs w:val="19"/>
              </w:rPr>
              <w:t>What did CEW contribute to hydraul</w:t>
            </w:r>
            <w:r w:rsidR="006B7AFF" w:rsidRPr="00613BA2">
              <w:rPr>
                <w:sz w:val="19"/>
                <w:szCs w:val="19"/>
              </w:rPr>
              <w:t>ic diversity within weir pools?</w:t>
            </w:r>
            <w:r w:rsidR="00C32435" w:rsidRPr="00613BA2">
              <w:rPr>
                <w:sz w:val="19"/>
                <w:szCs w:val="19"/>
              </w:rPr>
              <w:t xml:space="preserve"> </w:t>
            </w:r>
          </w:p>
        </w:tc>
        <w:tc>
          <w:tcPr>
            <w:tcW w:w="5021" w:type="dxa"/>
            <w:tcBorders>
              <w:top w:val="single" w:sz="4" w:space="0" w:color="auto"/>
              <w:left w:val="single" w:sz="4" w:space="0" w:color="auto"/>
              <w:bottom w:val="single" w:sz="4" w:space="0" w:color="auto"/>
              <w:right w:val="single" w:sz="4" w:space="0" w:color="auto"/>
            </w:tcBorders>
            <w:shd w:val="clear" w:color="auto" w:fill="auto"/>
          </w:tcPr>
          <w:p w14:paraId="4144F758" w14:textId="4CD5133B" w:rsidR="00AC54CD" w:rsidRPr="00613BA2" w:rsidRDefault="00C32435" w:rsidP="008636A3">
            <w:pPr>
              <w:jc w:val="left"/>
              <w:rPr>
                <w:rFonts w:cs="Arial"/>
                <w:color w:val="auto"/>
                <w:sz w:val="19"/>
                <w:szCs w:val="19"/>
              </w:rPr>
            </w:pPr>
            <w:r w:rsidRPr="00C32435">
              <w:rPr>
                <w:rFonts w:cs="Arial"/>
                <w:color w:val="auto"/>
                <w:sz w:val="19"/>
                <w:szCs w:val="19"/>
              </w:rPr>
              <w:t>Increase</w:t>
            </w:r>
            <w:r w:rsidR="0073026E">
              <w:rPr>
                <w:rFonts w:cs="Arial"/>
                <w:color w:val="auto"/>
                <w:sz w:val="19"/>
                <w:szCs w:val="19"/>
              </w:rPr>
              <w:t xml:space="preserve"> in weir pool</w:t>
            </w:r>
            <w:r w:rsidRPr="00C32435">
              <w:rPr>
                <w:rFonts w:cs="Arial"/>
                <w:color w:val="auto"/>
                <w:sz w:val="19"/>
                <w:szCs w:val="19"/>
              </w:rPr>
              <w:t xml:space="preserve"> median </w:t>
            </w:r>
            <w:r w:rsidR="008636A3">
              <w:rPr>
                <w:rFonts w:cs="Arial"/>
                <w:color w:val="auto"/>
                <w:sz w:val="19"/>
                <w:szCs w:val="19"/>
              </w:rPr>
              <w:t xml:space="preserve">water </w:t>
            </w:r>
            <w:r w:rsidRPr="00C32435">
              <w:rPr>
                <w:rFonts w:cs="Arial"/>
                <w:color w:val="auto"/>
                <w:sz w:val="19"/>
                <w:szCs w:val="19"/>
              </w:rPr>
              <w:t>velocit</w:t>
            </w:r>
            <w:r w:rsidR="008636A3">
              <w:rPr>
                <w:rFonts w:cs="Arial"/>
                <w:color w:val="auto"/>
                <w:sz w:val="19"/>
                <w:szCs w:val="19"/>
              </w:rPr>
              <w:t>ies</w:t>
            </w:r>
            <w:r w:rsidR="0073026E">
              <w:rPr>
                <w:rFonts w:cs="Arial"/>
                <w:color w:val="auto"/>
                <w:sz w:val="19"/>
                <w:szCs w:val="19"/>
              </w:rPr>
              <w:t xml:space="preserve"> of</w:t>
            </w:r>
            <w:r w:rsidRPr="00C32435">
              <w:rPr>
                <w:rFonts w:cs="Arial"/>
                <w:color w:val="auto"/>
                <w:sz w:val="19"/>
                <w:szCs w:val="19"/>
              </w:rPr>
              <w:t xml:space="preserve"> ~0.1 m s</w:t>
            </w:r>
            <w:r w:rsidRPr="00C32435">
              <w:rPr>
                <w:rFonts w:cs="Arial"/>
                <w:color w:val="auto"/>
                <w:sz w:val="19"/>
                <w:szCs w:val="19"/>
                <w:vertAlign w:val="superscript"/>
              </w:rPr>
              <w:t>-1</w:t>
            </w:r>
            <w:r w:rsidRPr="00C32435">
              <w:rPr>
                <w:rFonts w:cs="Arial"/>
                <w:color w:val="auto"/>
                <w:sz w:val="19"/>
                <w:szCs w:val="19"/>
              </w:rPr>
              <w:t xml:space="preserve"> during winter and spring compared to without CEW, with some cross sections in the weir pool </w:t>
            </w:r>
            <w:r w:rsidR="004D0CFF">
              <w:rPr>
                <w:rFonts w:cs="Arial"/>
                <w:color w:val="auto"/>
                <w:sz w:val="19"/>
                <w:szCs w:val="19"/>
              </w:rPr>
              <w:t xml:space="preserve">ranging </w:t>
            </w:r>
            <w:r w:rsidR="00330905">
              <w:rPr>
                <w:rFonts w:cs="Arial"/>
                <w:color w:val="auto"/>
                <w:sz w:val="19"/>
                <w:szCs w:val="19"/>
              </w:rPr>
              <w:t>0.1</w:t>
            </w:r>
            <w:r w:rsidR="001777BD">
              <w:rPr>
                <w:rFonts w:cs="Arial"/>
                <w:color w:val="auto"/>
                <w:sz w:val="19"/>
                <w:szCs w:val="19"/>
              </w:rPr>
              <w:t>7</w:t>
            </w:r>
            <w:r w:rsidR="00330905">
              <w:rPr>
                <w:rFonts w:cs="Arial"/>
                <w:color w:val="auto"/>
                <w:sz w:val="19"/>
                <w:szCs w:val="19"/>
              </w:rPr>
              <w:t>–0.3 m </w:t>
            </w:r>
            <w:r w:rsidRPr="00C32435">
              <w:rPr>
                <w:rFonts w:cs="Arial"/>
                <w:color w:val="auto"/>
                <w:sz w:val="19"/>
                <w:szCs w:val="19"/>
              </w:rPr>
              <w:t>s</w:t>
            </w:r>
            <w:r w:rsidRPr="00C32435">
              <w:rPr>
                <w:rFonts w:cs="Arial"/>
                <w:color w:val="auto"/>
                <w:sz w:val="19"/>
                <w:szCs w:val="19"/>
                <w:vertAlign w:val="superscript"/>
              </w:rPr>
              <w:t>-1</w:t>
            </w:r>
            <w:r w:rsidRPr="00C32435">
              <w:rPr>
                <w:rFonts w:cs="Arial"/>
                <w:color w:val="auto"/>
                <w:sz w:val="19"/>
                <w:szCs w:val="19"/>
              </w:rPr>
              <w:t>.</w:t>
            </w:r>
          </w:p>
        </w:tc>
      </w:tr>
      <w:tr w:rsidR="00613BA2" w:rsidRPr="00613BA2" w14:paraId="65CD867E" w14:textId="77777777" w:rsidTr="00396077">
        <w:trPr>
          <w:cantSplit/>
          <w:trHeight w:val="1744"/>
        </w:trPr>
        <w:tc>
          <w:tcPr>
            <w:tcW w:w="1474" w:type="dxa"/>
            <w:tcBorders>
              <w:top w:val="single" w:sz="4" w:space="0" w:color="auto"/>
              <w:left w:val="single" w:sz="4" w:space="0" w:color="auto"/>
              <w:bottom w:val="single" w:sz="4" w:space="0" w:color="auto"/>
              <w:right w:val="single" w:sz="4" w:space="0" w:color="auto"/>
            </w:tcBorders>
            <w:shd w:val="clear" w:color="auto" w:fill="auto"/>
          </w:tcPr>
          <w:p w14:paraId="45B6F102" w14:textId="4E91035F" w:rsidR="006B7AFF" w:rsidRPr="00613BA2" w:rsidRDefault="00396077" w:rsidP="002E09B2">
            <w:pPr>
              <w:jc w:val="left"/>
              <w:rPr>
                <w:sz w:val="19"/>
                <w:szCs w:val="19"/>
              </w:rPr>
            </w:pPr>
            <w:r w:rsidRPr="00396077">
              <w:rPr>
                <w:sz w:val="19"/>
                <w:szCs w:val="19"/>
              </w:rPr>
              <w:lastRenderedPageBreak/>
              <w:t>Category 3. Hydrological Regime*</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1648A089" w14:textId="2B84A7CA" w:rsidR="006B7AFF" w:rsidRPr="00613BA2" w:rsidRDefault="00145E41" w:rsidP="002E09B2">
            <w:pPr>
              <w:jc w:val="left"/>
              <w:rPr>
                <w:sz w:val="19"/>
                <w:szCs w:val="19"/>
              </w:rPr>
            </w:pPr>
            <w:r w:rsidRPr="00613BA2">
              <w:rPr>
                <w:sz w:val="19"/>
                <w:szCs w:val="19"/>
              </w:rPr>
              <w:t>What did CEW contribute to variability in water levels within weir pools</w:t>
            </w:r>
            <w:r w:rsidR="005E4983" w:rsidRPr="00613BA2">
              <w:rPr>
                <w:sz w:val="19"/>
                <w:szCs w:val="19"/>
              </w:rPr>
              <w:t>?</w:t>
            </w:r>
            <w:r w:rsidR="00061A11" w:rsidRPr="00061A11">
              <w:rPr>
                <w:sz w:val="19"/>
                <w:szCs w:val="19"/>
                <w:vertAlign w:val="superscript"/>
              </w:rPr>
              <w:t xml:space="preserve"> </w:t>
            </w:r>
          </w:p>
        </w:tc>
        <w:tc>
          <w:tcPr>
            <w:tcW w:w="5021" w:type="dxa"/>
            <w:tcBorders>
              <w:top w:val="single" w:sz="4" w:space="0" w:color="auto"/>
              <w:left w:val="single" w:sz="4" w:space="0" w:color="auto"/>
              <w:bottom w:val="single" w:sz="4" w:space="0" w:color="auto"/>
              <w:right w:val="single" w:sz="4" w:space="0" w:color="auto"/>
            </w:tcBorders>
            <w:shd w:val="clear" w:color="auto" w:fill="auto"/>
          </w:tcPr>
          <w:p w14:paraId="7B437431" w14:textId="0EACF95B" w:rsidR="006B7AFF" w:rsidRPr="00613BA2" w:rsidRDefault="00C32435" w:rsidP="002E09B2">
            <w:pPr>
              <w:jc w:val="left"/>
              <w:rPr>
                <w:rFonts w:cs="Arial"/>
                <w:color w:val="auto"/>
                <w:sz w:val="19"/>
                <w:szCs w:val="19"/>
              </w:rPr>
            </w:pPr>
            <w:r w:rsidRPr="00C32435">
              <w:rPr>
                <w:rFonts w:cs="Arial"/>
                <w:color w:val="auto"/>
                <w:sz w:val="19"/>
                <w:szCs w:val="19"/>
              </w:rPr>
              <w:t>Increases in water levels in weir pools of up to 0.3 m in the upper reaches for weir pools without WPR, and up to 0.</w:t>
            </w:r>
            <w:r w:rsidR="00330905">
              <w:rPr>
                <w:rFonts w:cs="Arial"/>
                <w:color w:val="auto"/>
                <w:sz w:val="19"/>
                <w:szCs w:val="19"/>
              </w:rPr>
              <w:t>7</w:t>
            </w:r>
            <w:r w:rsidRPr="00C32435">
              <w:rPr>
                <w:rFonts w:cs="Arial"/>
                <w:color w:val="auto"/>
                <w:sz w:val="19"/>
                <w:szCs w:val="19"/>
              </w:rPr>
              <w:t xml:space="preserve"> m in weir pools with WPR.</w:t>
            </w:r>
            <w:r w:rsidR="00061A11" w:rsidRPr="00061A11">
              <w:rPr>
                <w:sz w:val="19"/>
                <w:szCs w:val="19"/>
                <w:vertAlign w:val="superscript"/>
              </w:rPr>
              <w:t xml:space="preserve"> #</w:t>
            </w:r>
          </w:p>
        </w:tc>
      </w:tr>
      <w:tr w:rsidR="00613BA2" w:rsidRPr="00613BA2" w14:paraId="25DD0A61" w14:textId="77777777" w:rsidTr="00351DB5">
        <w:trPr>
          <w:cantSplit/>
        </w:trPr>
        <w:tc>
          <w:tcPr>
            <w:tcW w:w="1474" w:type="dxa"/>
            <w:tcBorders>
              <w:top w:val="single" w:sz="4" w:space="0" w:color="auto"/>
              <w:left w:val="single" w:sz="4" w:space="0" w:color="auto"/>
              <w:bottom w:val="nil"/>
              <w:right w:val="single" w:sz="4" w:space="0" w:color="auto"/>
            </w:tcBorders>
            <w:shd w:val="clear" w:color="auto" w:fill="auto"/>
          </w:tcPr>
          <w:p w14:paraId="18AD7202" w14:textId="27F9B35F" w:rsidR="00AC54CD" w:rsidRPr="00613BA2" w:rsidRDefault="001474B1" w:rsidP="002E09B2">
            <w:pPr>
              <w:jc w:val="left"/>
              <w:rPr>
                <w:sz w:val="19"/>
                <w:szCs w:val="19"/>
              </w:rPr>
            </w:pPr>
            <w:r w:rsidRPr="00613BA2">
              <w:rPr>
                <w:sz w:val="19"/>
                <w:szCs w:val="19"/>
              </w:rPr>
              <w:t>Category 3. Matter T</w:t>
            </w:r>
            <w:r w:rsidR="00AC54CD" w:rsidRPr="00613BA2">
              <w:rPr>
                <w:sz w:val="19"/>
                <w:szCs w:val="19"/>
              </w:rPr>
              <w:t>ransport</w:t>
            </w:r>
            <w:r w:rsidR="00E763B3">
              <w:rPr>
                <w:sz w:val="19"/>
                <w:szCs w:val="19"/>
              </w:rPr>
              <w:t>*</w:t>
            </w:r>
          </w:p>
        </w:tc>
        <w:tc>
          <w:tcPr>
            <w:tcW w:w="2632" w:type="dxa"/>
            <w:tcBorders>
              <w:top w:val="single" w:sz="4" w:space="0" w:color="auto"/>
              <w:left w:val="single" w:sz="4" w:space="0" w:color="auto"/>
              <w:bottom w:val="nil"/>
              <w:right w:val="single" w:sz="4" w:space="0" w:color="auto"/>
            </w:tcBorders>
            <w:shd w:val="clear" w:color="auto" w:fill="auto"/>
          </w:tcPr>
          <w:p w14:paraId="50FB6F39" w14:textId="6AF3D776" w:rsidR="00AC54CD" w:rsidRPr="00613BA2" w:rsidRDefault="00613BA2" w:rsidP="00613BA2">
            <w:pPr>
              <w:jc w:val="left"/>
              <w:rPr>
                <w:sz w:val="19"/>
                <w:szCs w:val="19"/>
              </w:rPr>
            </w:pPr>
            <w:r w:rsidRPr="00613BA2">
              <w:rPr>
                <w:sz w:val="19"/>
                <w:szCs w:val="19"/>
              </w:rPr>
              <w:t xml:space="preserve">What did CEW contribute to salinity levels and transport? </w:t>
            </w:r>
          </w:p>
        </w:tc>
        <w:tc>
          <w:tcPr>
            <w:tcW w:w="5021" w:type="dxa"/>
            <w:tcBorders>
              <w:top w:val="single" w:sz="4" w:space="0" w:color="auto"/>
              <w:left w:val="single" w:sz="4" w:space="0" w:color="auto"/>
              <w:bottom w:val="nil"/>
              <w:right w:val="single" w:sz="4" w:space="0" w:color="auto"/>
            </w:tcBorders>
            <w:shd w:val="clear" w:color="auto" w:fill="auto"/>
          </w:tcPr>
          <w:p w14:paraId="2567B0BC" w14:textId="77777777" w:rsidR="00C32435" w:rsidRPr="00C32435" w:rsidRDefault="00C32435" w:rsidP="00C32435">
            <w:pPr>
              <w:jc w:val="left"/>
              <w:rPr>
                <w:sz w:val="19"/>
                <w:szCs w:val="19"/>
              </w:rPr>
            </w:pPr>
            <w:r w:rsidRPr="00C32435">
              <w:rPr>
                <w:sz w:val="19"/>
                <w:szCs w:val="19"/>
              </w:rPr>
              <w:t xml:space="preserve">Reduced salinity concentrations in the Murray River Channel, Lower Lakes and, in particular, the Murray Mouth. </w:t>
            </w:r>
          </w:p>
          <w:p w14:paraId="58E6B5E5" w14:textId="15F3E940" w:rsidR="00EB2D5B" w:rsidRPr="00613BA2" w:rsidRDefault="00C32435" w:rsidP="00C32435">
            <w:pPr>
              <w:jc w:val="left"/>
              <w:rPr>
                <w:sz w:val="19"/>
                <w:szCs w:val="19"/>
              </w:rPr>
            </w:pPr>
            <w:r w:rsidRPr="00C32435">
              <w:rPr>
                <w:sz w:val="19"/>
                <w:szCs w:val="19"/>
              </w:rPr>
              <w:t>Increased export of salt from the Murray River Channel and Lower Lakes, and decreased net import of salt to the Coorong.</w:t>
            </w:r>
          </w:p>
        </w:tc>
      </w:tr>
      <w:tr w:rsidR="00613BA2" w:rsidRPr="00613BA2" w14:paraId="2E1CF1AC" w14:textId="77777777" w:rsidTr="00351DB5">
        <w:trPr>
          <w:cantSplit/>
        </w:trPr>
        <w:tc>
          <w:tcPr>
            <w:tcW w:w="1474" w:type="dxa"/>
            <w:tcBorders>
              <w:top w:val="nil"/>
              <w:left w:val="single" w:sz="4" w:space="0" w:color="auto"/>
              <w:bottom w:val="nil"/>
              <w:right w:val="single" w:sz="4" w:space="0" w:color="auto"/>
            </w:tcBorders>
            <w:shd w:val="clear" w:color="auto" w:fill="auto"/>
          </w:tcPr>
          <w:p w14:paraId="2BE3EC34" w14:textId="77777777" w:rsidR="002F5EF6" w:rsidRPr="00613BA2" w:rsidRDefault="002F5EF6" w:rsidP="002E09B2">
            <w:pPr>
              <w:jc w:val="left"/>
              <w:rPr>
                <w:sz w:val="19"/>
                <w:szCs w:val="19"/>
              </w:rPr>
            </w:pPr>
          </w:p>
        </w:tc>
        <w:tc>
          <w:tcPr>
            <w:tcW w:w="2632" w:type="dxa"/>
            <w:tcBorders>
              <w:top w:val="nil"/>
              <w:left w:val="single" w:sz="4" w:space="0" w:color="auto"/>
              <w:bottom w:val="nil"/>
              <w:right w:val="single" w:sz="4" w:space="0" w:color="auto"/>
            </w:tcBorders>
            <w:shd w:val="clear" w:color="auto" w:fill="auto"/>
          </w:tcPr>
          <w:p w14:paraId="61E94CDF" w14:textId="6DD25166" w:rsidR="002F5EF6" w:rsidRPr="00613BA2" w:rsidRDefault="00613BA2" w:rsidP="00613BA2">
            <w:pPr>
              <w:jc w:val="left"/>
              <w:rPr>
                <w:sz w:val="19"/>
                <w:szCs w:val="19"/>
              </w:rPr>
            </w:pPr>
            <w:r w:rsidRPr="00613BA2">
              <w:rPr>
                <w:sz w:val="19"/>
                <w:szCs w:val="19"/>
              </w:rPr>
              <w:t>What did CEW contribute to nutrient concentrations and transport?</w:t>
            </w:r>
          </w:p>
        </w:tc>
        <w:tc>
          <w:tcPr>
            <w:tcW w:w="5021" w:type="dxa"/>
            <w:tcBorders>
              <w:top w:val="nil"/>
              <w:left w:val="single" w:sz="4" w:space="0" w:color="auto"/>
              <w:bottom w:val="nil"/>
              <w:right w:val="single" w:sz="4" w:space="0" w:color="auto"/>
            </w:tcBorders>
            <w:shd w:val="clear" w:color="auto" w:fill="auto"/>
          </w:tcPr>
          <w:p w14:paraId="4E36F9E0" w14:textId="031E7893" w:rsidR="002F5EF6" w:rsidRPr="00613BA2" w:rsidRDefault="00C32435" w:rsidP="002E09B2">
            <w:pPr>
              <w:jc w:val="left"/>
              <w:rPr>
                <w:color w:val="auto"/>
                <w:sz w:val="19"/>
                <w:szCs w:val="19"/>
              </w:rPr>
            </w:pPr>
            <w:r w:rsidRPr="00C32435">
              <w:rPr>
                <w:color w:val="auto"/>
                <w:sz w:val="19"/>
                <w:szCs w:val="19"/>
              </w:rPr>
              <w:t>Minor differences in the concentrations of nutrients, but increased transport of all studied nutrients.</w:t>
            </w:r>
          </w:p>
        </w:tc>
      </w:tr>
      <w:tr w:rsidR="00613BA2" w:rsidRPr="00613BA2" w14:paraId="5D13DBEC" w14:textId="77777777" w:rsidTr="00351DB5">
        <w:trPr>
          <w:cantSplit/>
        </w:trPr>
        <w:tc>
          <w:tcPr>
            <w:tcW w:w="1474" w:type="dxa"/>
            <w:tcBorders>
              <w:top w:val="nil"/>
              <w:left w:val="single" w:sz="4" w:space="0" w:color="auto"/>
              <w:bottom w:val="nil"/>
              <w:right w:val="single" w:sz="4" w:space="0" w:color="auto"/>
            </w:tcBorders>
            <w:shd w:val="clear" w:color="auto" w:fill="auto"/>
          </w:tcPr>
          <w:p w14:paraId="4023346C" w14:textId="77777777" w:rsidR="008D6C7E" w:rsidRPr="00613BA2" w:rsidRDefault="008D6C7E" w:rsidP="002E09B2">
            <w:pPr>
              <w:jc w:val="left"/>
              <w:rPr>
                <w:sz w:val="19"/>
                <w:szCs w:val="19"/>
              </w:rPr>
            </w:pPr>
          </w:p>
        </w:tc>
        <w:tc>
          <w:tcPr>
            <w:tcW w:w="2632" w:type="dxa"/>
            <w:tcBorders>
              <w:top w:val="nil"/>
              <w:left w:val="single" w:sz="4" w:space="0" w:color="auto"/>
              <w:bottom w:val="nil"/>
              <w:right w:val="single" w:sz="4" w:space="0" w:color="auto"/>
            </w:tcBorders>
            <w:shd w:val="clear" w:color="auto" w:fill="auto"/>
          </w:tcPr>
          <w:p w14:paraId="219EDB2B" w14:textId="3889B489" w:rsidR="008D6C7E" w:rsidRPr="00613BA2" w:rsidRDefault="00613BA2" w:rsidP="002E09B2">
            <w:pPr>
              <w:jc w:val="left"/>
              <w:rPr>
                <w:sz w:val="19"/>
                <w:szCs w:val="19"/>
              </w:rPr>
            </w:pPr>
            <w:r w:rsidRPr="00613BA2">
              <w:rPr>
                <w:sz w:val="19"/>
                <w:szCs w:val="19"/>
              </w:rPr>
              <w:t>What did CEW contribute to concentrations and transport of phytoplankton?</w:t>
            </w:r>
          </w:p>
        </w:tc>
        <w:tc>
          <w:tcPr>
            <w:tcW w:w="5021" w:type="dxa"/>
            <w:tcBorders>
              <w:top w:val="nil"/>
              <w:left w:val="single" w:sz="4" w:space="0" w:color="auto"/>
              <w:bottom w:val="nil"/>
              <w:right w:val="single" w:sz="4" w:space="0" w:color="auto"/>
            </w:tcBorders>
            <w:shd w:val="clear" w:color="auto" w:fill="auto"/>
          </w:tcPr>
          <w:p w14:paraId="664AC27B" w14:textId="5F08DAAC" w:rsidR="008D6C7E" w:rsidRPr="00613BA2" w:rsidRDefault="00C32435" w:rsidP="002E09B2">
            <w:pPr>
              <w:jc w:val="left"/>
              <w:rPr>
                <w:color w:val="auto"/>
                <w:sz w:val="19"/>
                <w:szCs w:val="19"/>
              </w:rPr>
            </w:pPr>
            <w:r w:rsidRPr="00C32435">
              <w:rPr>
                <w:color w:val="auto"/>
                <w:sz w:val="19"/>
                <w:szCs w:val="19"/>
              </w:rPr>
              <w:t>Whilst there was no apparent effect on phytoplankton concentrations, there was an increased transport of phytoplankton through the system.</w:t>
            </w:r>
          </w:p>
        </w:tc>
      </w:tr>
      <w:tr w:rsidR="00613BA2" w:rsidRPr="00613BA2" w14:paraId="145927D9" w14:textId="77777777" w:rsidTr="00351DB5">
        <w:trPr>
          <w:cantSplit/>
        </w:trPr>
        <w:tc>
          <w:tcPr>
            <w:tcW w:w="1474" w:type="dxa"/>
            <w:tcBorders>
              <w:top w:val="nil"/>
              <w:left w:val="single" w:sz="4" w:space="0" w:color="auto"/>
              <w:bottom w:val="nil"/>
              <w:right w:val="single" w:sz="4" w:space="0" w:color="auto"/>
            </w:tcBorders>
            <w:shd w:val="clear" w:color="auto" w:fill="auto"/>
          </w:tcPr>
          <w:p w14:paraId="18888443" w14:textId="77777777" w:rsidR="008D6C7E" w:rsidRPr="00613BA2" w:rsidRDefault="008D6C7E" w:rsidP="002E09B2">
            <w:pPr>
              <w:jc w:val="left"/>
              <w:rPr>
                <w:sz w:val="19"/>
                <w:szCs w:val="19"/>
              </w:rPr>
            </w:pPr>
          </w:p>
        </w:tc>
        <w:tc>
          <w:tcPr>
            <w:tcW w:w="2632" w:type="dxa"/>
            <w:tcBorders>
              <w:top w:val="nil"/>
              <w:left w:val="single" w:sz="4" w:space="0" w:color="auto"/>
              <w:bottom w:val="single" w:sz="4" w:space="0" w:color="auto"/>
              <w:right w:val="single" w:sz="4" w:space="0" w:color="auto"/>
            </w:tcBorders>
            <w:shd w:val="clear" w:color="auto" w:fill="auto"/>
          </w:tcPr>
          <w:p w14:paraId="4846B137" w14:textId="69C3E9D0" w:rsidR="008D6C7E" w:rsidRPr="00613BA2" w:rsidRDefault="008D6C7E" w:rsidP="002E09B2">
            <w:pPr>
              <w:jc w:val="left"/>
              <w:rPr>
                <w:sz w:val="19"/>
                <w:szCs w:val="19"/>
              </w:rPr>
            </w:pPr>
            <w:r w:rsidRPr="00613BA2">
              <w:rPr>
                <w:sz w:val="19"/>
                <w:szCs w:val="19"/>
              </w:rPr>
              <w:t xml:space="preserve">What did CEW contribute to ecosystem function? </w:t>
            </w:r>
          </w:p>
        </w:tc>
        <w:tc>
          <w:tcPr>
            <w:tcW w:w="5021" w:type="dxa"/>
            <w:tcBorders>
              <w:top w:val="nil"/>
              <w:left w:val="single" w:sz="4" w:space="0" w:color="auto"/>
              <w:bottom w:val="single" w:sz="4" w:space="0" w:color="auto"/>
              <w:right w:val="single" w:sz="4" w:space="0" w:color="auto"/>
            </w:tcBorders>
            <w:shd w:val="clear" w:color="auto" w:fill="auto"/>
          </w:tcPr>
          <w:p w14:paraId="5B0971A2" w14:textId="64842E41" w:rsidR="008D6C7E" w:rsidRPr="00613BA2" w:rsidRDefault="00C32435" w:rsidP="002E09B2">
            <w:pPr>
              <w:jc w:val="left"/>
              <w:rPr>
                <w:color w:val="auto"/>
                <w:sz w:val="19"/>
                <w:szCs w:val="19"/>
              </w:rPr>
            </w:pPr>
            <w:r w:rsidRPr="00C32435">
              <w:rPr>
                <w:color w:val="auto"/>
                <w:sz w:val="19"/>
                <w:szCs w:val="19"/>
              </w:rPr>
              <w:t>Increased exchange of nutrients and phytoplankton between critical habitats of the Lower Murray would may have supported primary and secondary productivity in the region and in doing so supported food webs of the LMR, Lower Lakes and Coorong.</w:t>
            </w:r>
          </w:p>
        </w:tc>
      </w:tr>
      <w:tr w:rsidR="00613BA2" w:rsidRPr="00613BA2" w14:paraId="5E605A34" w14:textId="77777777" w:rsidTr="00396077">
        <w:trPr>
          <w:cantSplit/>
        </w:trPr>
        <w:tc>
          <w:tcPr>
            <w:tcW w:w="1474" w:type="dxa"/>
            <w:tcBorders>
              <w:top w:val="nil"/>
              <w:left w:val="single" w:sz="4" w:space="0" w:color="auto"/>
              <w:bottom w:val="single" w:sz="4" w:space="0" w:color="auto"/>
              <w:right w:val="single" w:sz="4" w:space="0" w:color="auto"/>
            </w:tcBorders>
            <w:shd w:val="clear" w:color="auto" w:fill="auto"/>
          </w:tcPr>
          <w:p w14:paraId="4E156587" w14:textId="19E0B281" w:rsidR="008D6C7E" w:rsidRPr="00613BA2" w:rsidRDefault="008D6C7E" w:rsidP="002E09B2">
            <w:pPr>
              <w:jc w:val="left"/>
              <w:rPr>
                <w:sz w:val="19"/>
                <w:szCs w:val="19"/>
              </w:rPr>
            </w:pP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25E4D877" w14:textId="7E237B11" w:rsidR="008D6C7E" w:rsidRPr="00613BA2" w:rsidRDefault="008D6C7E" w:rsidP="002E09B2">
            <w:pPr>
              <w:jc w:val="left"/>
              <w:rPr>
                <w:sz w:val="19"/>
                <w:szCs w:val="19"/>
              </w:rPr>
            </w:pPr>
            <w:r w:rsidRPr="00613BA2">
              <w:rPr>
                <w:sz w:val="19"/>
                <w:szCs w:val="19"/>
              </w:rPr>
              <w:t>What did CEW contribute to water quality to support aquatic biota and normal biogeochemical processes?</w:t>
            </w:r>
          </w:p>
        </w:tc>
        <w:tc>
          <w:tcPr>
            <w:tcW w:w="5021" w:type="dxa"/>
            <w:tcBorders>
              <w:top w:val="single" w:sz="4" w:space="0" w:color="auto"/>
              <w:left w:val="single" w:sz="4" w:space="0" w:color="auto"/>
              <w:bottom w:val="single" w:sz="4" w:space="0" w:color="auto"/>
              <w:right w:val="single" w:sz="4" w:space="0" w:color="auto"/>
            </w:tcBorders>
            <w:shd w:val="clear" w:color="auto" w:fill="auto"/>
          </w:tcPr>
          <w:p w14:paraId="575120B3" w14:textId="75D1918B" w:rsidR="008D6C7E" w:rsidRPr="00613BA2" w:rsidRDefault="00C32435" w:rsidP="002E09B2">
            <w:pPr>
              <w:jc w:val="left"/>
              <w:rPr>
                <w:color w:val="auto"/>
                <w:sz w:val="19"/>
                <w:szCs w:val="19"/>
              </w:rPr>
            </w:pPr>
            <w:r w:rsidRPr="00C32435">
              <w:rPr>
                <w:color w:val="auto"/>
                <w:sz w:val="19"/>
                <w:szCs w:val="19"/>
              </w:rPr>
              <w:t>Reduced salinity concentrations in the Lower Lakes and Murray Mouth may have improved habitat for freshwater and estuarine biota in the region.</w:t>
            </w:r>
          </w:p>
        </w:tc>
      </w:tr>
      <w:tr w:rsidR="00613BA2" w:rsidRPr="00613BA2" w14:paraId="7947819A" w14:textId="77777777" w:rsidTr="00396077">
        <w:trPr>
          <w:cantSplit/>
        </w:trPr>
        <w:tc>
          <w:tcPr>
            <w:tcW w:w="1474" w:type="dxa"/>
            <w:tcBorders>
              <w:top w:val="single" w:sz="4" w:space="0" w:color="auto"/>
              <w:left w:val="single" w:sz="4" w:space="0" w:color="auto"/>
              <w:bottom w:val="nil"/>
              <w:right w:val="single" w:sz="4" w:space="0" w:color="auto"/>
            </w:tcBorders>
            <w:shd w:val="clear" w:color="auto" w:fill="auto"/>
          </w:tcPr>
          <w:p w14:paraId="27703185" w14:textId="6B4BE4FC" w:rsidR="00AC54CD" w:rsidRPr="00613BA2" w:rsidRDefault="00AC54CD" w:rsidP="002E09B2">
            <w:pPr>
              <w:jc w:val="left"/>
              <w:rPr>
                <w:sz w:val="19"/>
                <w:szCs w:val="19"/>
              </w:rPr>
            </w:pPr>
            <w:r w:rsidRPr="00613BA2">
              <w:rPr>
                <w:sz w:val="19"/>
                <w:szCs w:val="19"/>
              </w:rPr>
              <w:lastRenderedPageBreak/>
              <w:t>Category 3. Micro-invertebrate</w:t>
            </w:r>
            <w:r w:rsidR="001474B1" w:rsidRPr="00613BA2">
              <w:rPr>
                <w:sz w:val="19"/>
                <w:szCs w:val="19"/>
              </w:rPr>
              <w:t>s</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36E18194" w14:textId="01ADF9F1" w:rsidR="007F0266" w:rsidRPr="00613BA2" w:rsidRDefault="00AC54CD" w:rsidP="002E09B2">
            <w:pPr>
              <w:jc w:val="left"/>
              <w:rPr>
                <w:sz w:val="19"/>
                <w:szCs w:val="19"/>
              </w:rPr>
            </w:pPr>
            <w:r w:rsidRPr="00613BA2">
              <w:rPr>
                <w:sz w:val="19"/>
                <w:szCs w:val="19"/>
              </w:rPr>
              <w:t>What did CEW contribute to microinvertebrate diversity?</w:t>
            </w:r>
          </w:p>
        </w:tc>
        <w:tc>
          <w:tcPr>
            <w:tcW w:w="5021" w:type="dxa"/>
            <w:tcBorders>
              <w:top w:val="single" w:sz="4" w:space="0" w:color="auto"/>
              <w:left w:val="single" w:sz="4" w:space="0" w:color="auto"/>
              <w:bottom w:val="single" w:sz="4" w:space="0" w:color="auto"/>
              <w:right w:val="single" w:sz="4" w:space="0" w:color="auto"/>
            </w:tcBorders>
            <w:shd w:val="clear" w:color="auto" w:fill="auto"/>
          </w:tcPr>
          <w:p w14:paraId="0434D121" w14:textId="196DDC28" w:rsidR="007F0266" w:rsidRPr="00613BA2" w:rsidRDefault="00C32435" w:rsidP="002E09B2">
            <w:pPr>
              <w:jc w:val="left"/>
              <w:rPr>
                <w:sz w:val="19"/>
                <w:szCs w:val="19"/>
              </w:rPr>
            </w:pPr>
            <w:r w:rsidRPr="00C32435">
              <w:rPr>
                <w:sz w:val="19"/>
                <w:szCs w:val="19"/>
              </w:rPr>
              <w:t>Peaks in microinvertebrate diversity below Lock 6 and Lock 1 aligned with peaks in river discharge and CEW delivery. Most in-channel taxa were not true potamoplankton (plankton of flowing waters), but transported taxa from floodplain or riparian sources (e.g. Chowilla).</w:t>
            </w:r>
          </w:p>
        </w:tc>
      </w:tr>
      <w:tr w:rsidR="00613BA2" w:rsidRPr="00613BA2" w14:paraId="71842F12" w14:textId="77777777" w:rsidTr="00396077">
        <w:trPr>
          <w:cantSplit/>
        </w:trPr>
        <w:tc>
          <w:tcPr>
            <w:tcW w:w="1474" w:type="dxa"/>
            <w:tcBorders>
              <w:top w:val="nil"/>
              <w:left w:val="single" w:sz="4" w:space="0" w:color="auto"/>
              <w:bottom w:val="nil"/>
              <w:right w:val="single" w:sz="4" w:space="0" w:color="auto"/>
            </w:tcBorders>
            <w:shd w:val="clear" w:color="auto" w:fill="auto"/>
          </w:tcPr>
          <w:p w14:paraId="752B220E" w14:textId="6EE5E36E" w:rsidR="002A3FBC" w:rsidRPr="00613BA2" w:rsidRDefault="002A3FBC" w:rsidP="002E09B2">
            <w:pPr>
              <w:jc w:val="left"/>
              <w:rPr>
                <w:sz w:val="19"/>
                <w:szCs w:val="19"/>
              </w:rPr>
            </w:pPr>
          </w:p>
        </w:tc>
        <w:tc>
          <w:tcPr>
            <w:tcW w:w="2632" w:type="dxa"/>
            <w:tcBorders>
              <w:top w:val="single" w:sz="4" w:space="0" w:color="auto"/>
              <w:left w:val="single" w:sz="4" w:space="0" w:color="auto"/>
              <w:bottom w:val="nil"/>
              <w:right w:val="single" w:sz="4" w:space="0" w:color="auto"/>
            </w:tcBorders>
            <w:shd w:val="clear" w:color="auto" w:fill="auto"/>
          </w:tcPr>
          <w:p w14:paraId="12C66F9F" w14:textId="46345596" w:rsidR="002A3FBC" w:rsidRPr="00613BA2" w:rsidRDefault="002A3FBC" w:rsidP="002E09B2">
            <w:pPr>
              <w:jc w:val="left"/>
              <w:rPr>
                <w:sz w:val="19"/>
                <w:szCs w:val="19"/>
              </w:rPr>
            </w:pPr>
            <w:r w:rsidRPr="00613BA2">
              <w:rPr>
                <w:sz w:val="19"/>
                <w:szCs w:val="19"/>
              </w:rPr>
              <w:t>What did CEW contribute via upstream connectivity to microinvertebrate communities of the LMR Selected Area?</w:t>
            </w:r>
          </w:p>
        </w:tc>
        <w:tc>
          <w:tcPr>
            <w:tcW w:w="5021" w:type="dxa"/>
            <w:tcBorders>
              <w:top w:val="single" w:sz="4" w:space="0" w:color="auto"/>
              <w:left w:val="single" w:sz="4" w:space="0" w:color="auto"/>
              <w:bottom w:val="nil"/>
              <w:right w:val="single" w:sz="4" w:space="0" w:color="auto"/>
            </w:tcBorders>
            <w:shd w:val="clear" w:color="auto" w:fill="auto"/>
          </w:tcPr>
          <w:p w14:paraId="61B4D60A" w14:textId="061F9AB0" w:rsidR="002A3FBC" w:rsidRPr="00613BA2" w:rsidRDefault="00C32435" w:rsidP="002E09B2">
            <w:pPr>
              <w:jc w:val="left"/>
              <w:rPr>
                <w:sz w:val="19"/>
                <w:szCs w:val="19"/>
              </w:rPr>
            </w:pPr>
            <w:r w:rsidRPr="00C32435">
              <w:rPr>
                <w:sz w:val="19"/>
                <w:szCs w:val="19"/>
              </w:rPr>
              <w:t xml:space="preserve">Many (25%) microinvertebrates from 2015/16 were not recorded during 2014/15. Some will have originated from littoral margins in the LMR (e.g. WPR or Chowilla return flows), but some likely originated from </w:t>
            </w:r>
            <w:r w:rsidR="00AB18AB">
              <w:rPr>
                <w:sz w:val="19"/>
                <w:szCs w:val="19"/>
              </w:rPr>
              <w:t xml:space="preserve">further </w:t>
            </w:r>
            <w:r w:rsidRPr="00C32435">
              <w:rPr>
                <w:sz w:val="19"/>
                <w:szCs w:val="19"/>
              </w:rPr>
              <w:t>upstream, including novel taxa for the continent or for the LMR.</w:t>
            </w:r>
          </w:p>
        </w:tc>
      </w:tr>
      <w:tr w:rsidR="00613BA2" w:rsidRPr="00613BA2" w14:paraId="3057722D" w14:textId="77777777" w:rsidTr="00396077">
        <w:trPr>
          <w:cantSplit/>
        </w:trPr>
        <w:tc>
          <w:tcPr>
            <w:tcW w:w="1474" w:type="dxa"/>
            <w:tcBorders>
              <w:top w:val="nil"/>
              <w:left w:val="single" w:sz="4" w:space="0" w:color="auto"/>
              <w:bottom w:val="nil"/>
              <w:right w:val="single" w:sz="4" w:space="0" w:color="auto"/>
            </w:tcBorders>
            <w:shd w:val="clear" w:color="auto" w:fill="auto"/>
          </w:tcPr>
          <w:p w14:paraId="500F51BB" w14:textId="77777777" w:rsidR="002A3FBC" w:rsidRPr="00613BA2" w:rsidRDefault="002A3FBC" w:rsidP="002E09B2">
            <w:pPr>
              <w:jc w:val="left"/>
              <w:rPr>
                <w:sz w:val="19"/>
                <w:szCs w:val="19"/>
              </w:rPr>
            </w:pPr>
          </w:p>
        </w:tc>
        <w:tc>
          <w:tcPr>
            <w:tcW w:w="2632" w:type="dxa"/>
            <w:tcBorders>
              <w:top w:val="nil"/>
              <w:left w:val="single" w:sz="4" w:space="0" w:color="auto"/>
              <w:bottom w:val="nil"/>
              <w:right w:val="single" w:sz="4" w:space="0" w:color="auto"/>
            </w:tcBorders>
            <w:shd w:val="clear" w:color="auto" w:fill="auto"/>
          </w:tcPr>
          <w:p w14:paraId="76BF5277" w14:textId="60C42D3A" w:rsidR="002A3FBC" w:rsidRPr="00613BA2" w:rsidRDefault="002A3FBC" w:rsidP="002E09B2">
            <w:pPr>
              <w:jc w:val="left"/>
              <w:rPr>
                <w:sz w:val="19"/>
                <w:szCs w:val="19"/>
              </w:rPr>
            </w:pPr>
            <w:r w:rsidRPr="00613BA2">
              <w:rPr>
                <w:sz w:val="19"/>
                <w:szCs w:val="19"/>
              </w:rPr>
              <w:t xml:space="preserve">What did CEW contribute to the timing and presence of key species in relation to diet of large-bodied native fish larvae (e.g. golden perch)? </w:t>
            </w:r>
          </w:p>
        </w:tc>
        <w:tc>
          <w:tcPr>
            <w:tcW w:w="5021" w:type="dxa"/>
            <w:tcBorders>
              <w:top w:val="nil"/>
              <w:left w:val="single" w:sz="4" w:space="0" w:color="auto"/>
              <w:bottom w:val="nil"/>
              <w:right w:val="single" w:sz="4" w:space="0" w:color="auto"/>
            </w:tcBorders>
            <w:shd w:val="clear" w:color="auto" w:fill="auto"/>
          </w:tcPr>
          <w:p w14:paraId="24CB8FC6" w14:textId="07539B30" w:rsidR="002A3FBC" w:rsidRPr="00613BA2" w:rsidRDefault="00C32435" w:rsidP="002E09B2">
            <w:pPr>
              <w:jc w:val="left"/>
              <w:rPr>
                <w:sz w:val="19"/>
                <w:szCs w:val="19"/>
              </w:rPr>
            </w:pPr>
            <w:r w:rsidRPr="00C32435">
              <w:rPr>
                <w:sz w:val="19"/>
                <w:szCs w:val="19"/>
              </w:rPr>
              <w:t>Relationship between timing of ambient (present in the environment) microinvertebrates, driven by CEW, and their presence in fish diet could not be determined.</w:t>
            </w:r>
          </w:p>
        </w:tc>
      </w:tr>
      <w:tr w:rsidR="00613BA2" w:rsidRPr="00613BA2" w14:paraId="2D130753" w14:textId="77777777" w:rsidTr="00396077">
        <w:trPr>
          <w:cantSplit/>
        </w:trPr>
        <w:tc>
          <w:tcPr>
            <w:tcW w:w="1474" w:type="dxa"/>
            <w:tcBorders>
              <w:top w:val="nil"/>
              <w:left w:val="single" w:sz="4" w:space="0" w:color="auto"/>
              <w:bottom w:val="single" w:sz="4" w:space="0" w:color="auto"/>
              <w:right w:val="single" w:sz="4" w:space="0" w:color="auto"/>
            </w:tcBorders>
            <w:shd w:val="clear" w:color="auto" w:fill="auto"/>
          </w:tcPr>
          <w:p w14:paraId="052A02A3" w14:textId="77777777" w:rsidR="002A3FBC" w:rsidRPr="00613BA2" w:rsidRDefault="002A3FBC" w:rsidP="002E09B2">
            <w:pPr>
              <w:jc w:val="left"/>
              <w:rPr>
                <w:sz w:val="19"/>
                <w:szCs w:val="19"/>
              </w:rPr>
            </w:pPr>
          </w:p>
        </w:tc>
        <w:tc>
          <w:tcPr>
            <w:tcW w:w="2632" w:type="dxa"/>
            <w:tcBorders>
              <w:top w:val="nil"/>
              <w:left w:val="single" w:sz="4" w:space="0" w:color="auto"/>
              <w:bottom w:val="single" w:sz="4" w:space="0" w:color="auto"/>
              <w:right w:val="single" w:sz="4" w:space="0" w:color="auto"/>
            </w:tcBorders>
            <w:shd w:val="clear" w:color="auto" w:fill="auto"/>
          </w:tcPr>
          <w:p w14:paraId="37B3CE07" w14:textId="2469960B" w:rsidR="002A3FBC" w:rsidRPr="00613BA2" w:rsidRDefault="002A3FBC" w:rsidP="002E09B2">
            <w:pPr>
              <w:jc w:val="left"/>
              <w:rPr>
                <w:sz w:val="19"/>
                <w:szCs w:val="19"/>
              </w:rPr>
            </w:pPr>
            <w:r w:rsidRPr="00613BA2">
              <w:rPr>
                <w:sz w:val="19"/>
                <w:szCs w:val="19"/>
              </w:rPr>
              <w:t>What did CEW contribute to microinvertebrate abundance (density)?</w:t>
            </w:r>
          </w:p>
        </w:tc>
        <w:tc>
          <w:tcPr>
            <w:tcW w:w="5021" w:type="dxa"/>
            <w:tcBorders>
              <w:top w:val="nil"/>
              <w:left w:val="single" w:sz="4" w:space="0" w:color="auto"/>
              <w:bottom w:val="single" w:sz="4" w:space="0" w:color="auto"/>
              <w:right w:val="single" w:sz="4" w:space="0" w:color="auto"/>
            </w:tcBorders>
            <w:shd w:val="clear" w:color="auto" w:fill="auto"/>
          </w:tcPr>
          <w:p w14:paraId="07F3BFD5" w14:textId="479BD7D3" w:rsidR="002A3FBC" w:rsidRPr="00613BA2" w:rsidRDefault="00C32435" w:rsidP="002E09B2">
            <w:pPr>
              <w:jc w:val="left"/>
              <w:rPr>
                <w:sz w:val="19"/>
                <w:szCs w:val="19"/>
              </w:rPr>
            </w:pPr>
            <w:r w:rsidRPr="00C32435">
              <w:rPr>
                <w:sz w:val="19"/>
                <w:szCs w:val="19"/>
              </w:rPr>
              <w:t>Flow, which CEW contributed to, was a driver of density through October 2015, particularly at Lock 1. With reduced flows and a recession of water levels, there was a proportional drop in abundance, followed by a steady increase of warm-water taxa through summer.</w:t>
            </w:r>
          </w:p>
        </w:tc>
      </w:tr>
      <w:tr w:rsidR="00613BA2" w:rsidRPr="005341AA" w14:paraId="3CF9E2B8" w14:textId="77777777" w:rsidTr="00396077">
        <w:trPr>
          <w:cantSplit/>
        </w:trPr>
        <w:tc>
          <w:tcPr>
            <w:tcW w:w="1474" w:type="dxa"/>
            <w:tcBorders>
              <w:top w:val="single" w:sz="4" w:space="0" w:color="auto"/>
              <w:left w:val="single" w:sz="4" w:space="0" w:color="auto"/>
              <w:bottom w:val="single" w:sz="4" w:space="0" w:color="auto"/>
              <w:right w:val="single" w:sz="4" w:space="0" w:color="auto"/>
            </w:tcBorders>
            <w:shd w:val="clear" w:color="auto" w:fill="auto"/>
          </w:tcPr>
          <w:p w14:paraId="4743EE00" w14:textId="272D6043" w:rsidR="00057B95" w:rsidRPr="00613BA2" w:rsidRDefault="00057B95" w:rsidP="002E09B2">
            <w:pPr>
              <w:jc w:val="left"/>
              <w:rPr>
                <w:sz w:val="19"/>
                <w:szCs w:val="19"/>
              </w:rPr>
            </w:pPr>
            <w:r w:rsidRPr="00613BA2">
              <w:rPr>
                <w:sz w:val="19"/>
                <w:szCs w:val="19"/>
              </w:rPr>
              <w:t>Category 3. Fis</w:t>
            </w:r>
            <w:r w:rsidR="001474B1" w:rsidRPr="00613BA2">
              <w:rPr>
                <w:sz w:val="19"/>
                <w:szCs w:val="19"/>
              </w:rPr>
              <w:t>h Spawning and R</w:t>
            </w:r>
            <w:r w:rsidRPr="00613BA2">
              <w:rPr>
                <w:sz w:val="19"/>
                <w:szCs w:val="19"/>
              </w:rPr>
              <w:t>ecruitment</w:t>
            </w:r>
          </w:p>
        </w:tc>
        <w:tc>
          <w:tcPr>
            <w:tcW w:w="2632" w:type="dxa"/>
            <w:tcBorders>
              <w:top w:val="single" w:sz="4" w:space="0" w:color="auto"/>
              <w:left w:val="single" w:sz="4" w:space="0" w:color="auto"/>
              <w:bottom w:val="single" w:sz="4" w:space="0" w:color="auto"/>
              <w:right w:val="single" w:sz="4" w:space="0" w:color="auto"/>
            </w:tcBorders>
            <w:shd w:val="clear" w:color="auto" w:fill="auto"/>
          </w:tcPr>
          <w:p w14:paraId="140E55FC" w14:textId="412BA011" w:rsidR="00057B95" w:rsidRPr="00613BA2" w:rsidRDefault="00057B95" w:rsidP="002E09B2">
            <w:pPr>
              <w:jc w:val="left"/>
              <w:rPr>
                <w:sz w:val="19"/>
                <w:szCs w:val="19"/>
              </w:rPr>
            </w:pPr>
            <w:r w:rsidRPr="00613BA2">
              <w:rPr>
                <w:sz w:val="19"/>
                <w:szCs w:val="19"/>
              </w:rPr>
              <w:t xml:space="preserve">What did CEW contribute to </w:t>
            </w:r>
            <w:r w:rsidR="00777B59" w:rsidRPr="00613BA2">
              <w:rPr>
                <w:sz w:val="19"/>
                <w:szCs w:val="19"/>
              </w:rPr>
              <w:t>reproduction of golden perch and silver perch</w:t>
            </w:r>
            <w:r w:rsidRPr="00613BA2">
              <w:rPr>
                <w:sz w:val="19"/>
                <w:szCs w:val="19"/>
              </w:rPr>
              <w:t xml:space="preserve">? </w:t>
            </w:r>
          </w:p>
        </w:tc>
        <w:tc>
          <w:tcPr>
            <w:tcW w:w="5021" w:type="dxa"/>
            <w:tcBorders>
              <w:top w:val="single" w:sz="4" w:space="0" w:color="auto"/>
              <w:left w:val="single" w:sz="4" w:space="0" w:color="auto"/>
              <w:bottom w:val="single" w:sz="4" w:space="0" w:color="auto"/>
              <w:right w:val="single" w:sz="4" w:space="0" w:color="auto"/>
            </w:tcBorders>
            <w:shd w:val="clear" w:color="auto" w:fill="auto"/>
          </w:tcPr>
          <w:p w14:paraId="0505722D" w14:textId="601FC80A" w:rsidR="00057B95" w:rsidRPr="005341AA" w:rsidRDefault="00C32435" w:rsidP="002E09B2">
            <w:pPr>
              <w:jc w:val="left"/>
              <w:rPr>
                <w:sz w:val="19"/>
                <w:szCs w:val="19"/>
              </w:rPr>
            </w:pPr>
            <w:r w:rsidRPr="00C32435">
              <w:rPr>
                <w:sz w:val="19"/>
                <w:szCs w:val="19"/>
              </w:rPr>
              <w:t>Delivery of CEW to the lower River Murray in 2015/16 corresponded with limited spawning and negligible recruitment (to YOY, age 0+) of golden perch and silver perch.</w:t>
            </w:r>
          </w:p>
        </w:tc>
      </w:tr>
    </w:tbl>
    <w:p w14:paraId="58935A3D" w14:textId="77777777" w:rsidR="00E763B3" w:rsidRDefault="00E763B3" w:rsidP="00E763B3">
      <w:pPr>
        <w:spacing w:line="240" w:lineRule="auto"/>
        <w:rPr>
          <w:sz w:val="18"/>
          <w:szCs w:val="18"/>
        </w:rPr>
      </w:pPr>
      <w:bookmarkStart w:id="121" w:name="_Ref423521341"/>
      <w:bookmarkStart w:id="122" w:name="_Toc441838738"/>
      <w:bookmarkEnd w:id="72"/>
      <w:r w:rsidRPr="00872C6C">
        <w:rPr>
          <w:sz w:val="18"/>
          <w:szCs w:val="18"/>
        </w:rPr>
        <w:t>* Evaluation of CEW for Hydrological Regime and Matter Transport indicators is based on modelled data.</w:t>
      </w:r>
    </w:p>
    <w:p w14:paraId="135E698C" w14:textId="77777777" w:rsidR="00C764B4" w:rsidRDefault="00061A11">
      <w:pPr>
        <w:spacing w:before="0" w:after="200" w:line="276" w:lineRule="auto"/>
        <w:jc w:val="left"/>
        <w:rPr>
          <w:sz w:val="19"/>
          <w:szCs w:val="19"/>
        </w:rPr>
      </w:pPr>
      <w:r w:rsidRPr="00061A11">
        <w:rPr>
          <w:sz w:val="19"/>
          <w:szCs w:val="19"/>
          <w:vertAlign w:val="superscript"/>
        </w:rPr>
        <w:t>#</w:t>
      </w:r>
      <w:r w:rsidRPr="00061A11">
        <w:rPr>
          <w:sz w:val="19"/>
          <w:szCs w:val="19"/>
        </w:rPr>
        <w:t xml:space="preserve"> An increase in water level of 0.45 m and 0.5 m at the downstream end of Weir Pools 5 and 2, respectively, was achieved through infrastructure operation and maintained through the delivery of CEW to compensate for losses. </w:t>
      </w:r>
    </w:p>
    <w:p w14:paraId="029691F1" w14:textId="602085A9" w:rsidR="00557193" w:rsidRDefault="003D0382" w:rsidP="003D0382">
      <w:pPr>
        <w:spacing w:before="0" w:after="200" w:line="276" w:lineRule="auto"/>
        <w:jc w:val="center"/>
        <w:rPr>
          <w:sz w:val="19"/>
          <w:szCs w:val="19"/>
        </w:rPr>
      </w:pPr>
      <w:r w:rsidRPr="003D0382">
        <w:rPr>
          <w:noProof/>
          <w:lang w:eastAsia="en-AU"/>
        </w:rPr>
        <w:lastRenderedPageBreak/>
        <w:drawing>
          <wp:inline distT="0" distB="0" distL="0" distR="0" wp14:anchorId="52A6563A" wp14:editId="19DA2094">
            <wp:extent cx="5598160" cy="3732743"/>
            <wp:effectExtent l="0" t="0" r="2540" b="127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t="8073" r="8900"/>
                    <a:stretch/>
                  </pic:blipFill>
                  <pic:spPr bwMode="auto">
                    <a:xfrm>
                      <a:off x="0" y="0"/>
                      <a:ext cx="5598543" cy="3732998"/>
                    </a:xfrm>
                    <a:prstGeom prst="rect">
                      <a:avLst/>
                    </a:prstGeom>
                    <a:noFill/>
                    <a:ln>
                      <a:noFill/>
                    </a:ln>
                    <a:extLst>
                      <a:ext uri="{53640926-AAD7-44D8-BBD7-CCE9431645EC}">
                        <a14:shadowObscured xmlns:a14="http://schemas.microsoft.com/office/drawing/2010/main"/>
                      </a:ext>
                    </a:extLst>
                  </pic:spPr>
                </pic:pic>
              </a:graphicData>
            </a:graphic>
          </wp:inline>
        </w:drawing>
      </w:r>
    </w:p>
    <w:p w14:paraId="71F9B303" w14:textId="1CB93EAB" w:rsidR="00523360" w:rsidRPr="00061A11" w:rsidRDefault="00D277CB" w:rsidP="00D277CB">
      <w:pPr>
        <w:pStyle w:val="Caption"/>
        <w:rPr>
          <w:rFonts w:eastAsiaTheme="majorEastAsia" w:cstheme="majorBidi"/>
          <w:color w:val="1F497D" w:themeColor="text2"/>
        </w:rPr>
      </w:pPr>
      <w:bookmarkStart w:id="123" w:name="_Ref473103996"/>
      <w:bookmarkStart w:id="124" w:name="_Toc474147040"/>
      <w:r w:rsidRPr="005574C9">
        <w:t xml:space="preserve">Figure </w:t>
      </w:r>
      <w:r w:rsidR="002A5644">
        <w:fldChar w:fldCharType="begin"/>
      </w:r>
      <w:r w:rsidR="002A5644">
        <w:instrText xml:space="preserve"> SEQ Figure \* ARABIC </w:instrText>
      </w:r>
      <w:r w:rsidR="002A5644">
        <w:fldChar w:fldCharType="separate"/>
      </w:r>
      <w:r w:rsidR="004260C4">
        <w:rPr>
          <w:noProof/>
        </w:rPr>
        <w:t>16</w:t>
      </w:r>
      <w:r w:rsidR="002A5644">
        <w:rPr>
          <w:noProof/>
        </w:rPr>
        <w:fldChar w:fldCharType="end"/>
      </w:r>
      <w:bookmarkEnd w:id="123"/>
      <w:r w:rsidRPr="005574C9">
        <w:t>. The</w:t>
      </w:r>
      <w:r w:rsidR="00557193" w:rsidRPr="005574C9">
        <w:t xml:space="preserve"> changes</w:t>
      </w:r>
      <w:r w:rsidR="00557193">
        <w:t xml:space="preserve"> in flow peaks measured at Euston (blue dotted line), above the Darling River junction, and Lock 10 (red dotted line), above Lake Victoria, to that measured at the </w:t>
      </w:r>
      <w:r w:rsidR="001E5FAE">
        <w:t>South Australian</w:t>
      </w:r>
      <w:r w:rsidR="00557193">
        <w:t xml:space="preserve"> border (black solid line). Differences are attributed primarily to the regulation of the flow into Lake Victoria.</w:t>
      </w:r>
      <w:bookmarkEnd w:id="124"/>
      <w:r w:rsidR="00523360" w:rsidRPr="00061A11">
        <w:br w:type="page"/>
      </w:r>
    </w:p>
    <w:p w14:paraId="36EBDE02" w14:textId="4E5C2776" w:rsidR="00AD2B15" w:rsidRDefault="00AD2B15" w:rsidP="00AD2B15">
      <w:pPr>
        <w:pStyle w:val="Heading1"/>
      </w:pPr>
      <w:bookmarkStart w:id="125" w:name="_Ref472332586"/>
      <w:bookmarkStart w:id="126" w:name="_Ref472590168"/>
      <w:bookmarkStart w:id="127" w:name="_Toc474147063"/>
      <w:r>
        <w:lastRenderedPageBreak/>
        <w:t>Management implications and recommendations</w:t>
      </w:r>
      <w:bookmarkEnd w:id="121"/>
      <w:bookmarkEnd w:id="122"/>
      <w:bookmarkEnd w:id="125"/>
      <w:bookmarkEnd w:id="126"/>
      <w:bookmarkEnd w:id="127"/>
    </w:p>
    <w:p w14:paraId="63590666" w14:textId="77777777" w:rsidR="004E4F45" w:rsidRDefault="00DF5621" w:rsidP="004E4F45">
      <w:r>
        <w:t>Monitoring outcomes from the</w:t>
      </w:r>
      <w:r w:rsidR="00A17543">
        <w:t xml:space="preserve"> LTIM Project</w:t>
      </w:r>
      <w:r>
        <w:t xml:space="preserve">, in conjunction with </w:t>
      </w:r>
      <w:r w:rsidR="00A17543">
        <w:t>our contemporary understanding of ecological response to flow management in the LMR</w:t>
      </w:r>
      <w:r w:rsidR="009C0A69">
        <w:t>,</w:t>
      </w:r>
      <w:r w:rsidR="005D126F" w:rsidRPr="007F202A">
        <w:t xml:space="preserve"> underpin</w:t>
      </w:r>
      <w:r w:rsidR="00BB0182" w:rsidRPr="007F202A">
        <w:t xml:space="preserve"> the</w:t>
      </w:r>
      <w:r w:rsidR="005D126F" w:rsidRPr="007F202A">
        <w:t xml:space="preserve"> </w:t>
      </w:r>
      <w:r w:rsidR="00BB0182" w:rsidRPr="007F202A">
        <w:t xml:space="preserve">adaptive management of </w:t>
      </w:r>
      <w:r w:rsidR="005A5A1F" w:rsidRPr="007F202A">
        <w:t xml:space="preserve">Commonwealth </w:t>
      </w:r>
      <w:r w:rsidR="005D126F" w:rsidRPr="007F202A">
        <w:t>environmental water</w:t>
      </w:r>
      <w:r w:rsidR="00315997" w:rsidRPr="007F202A">
        <w:t xml:space="preserve"> </w:t>
      </w:r>
      <w:r w:rsidR="005D126F" w:rsidRPr="007F202A">
        <w:t xml:space="preserve">and river </w:t>
      </w:r>
      <w:r w:rsidR="00BB0182" w:rsidRPr="007F202A">
        <w:t>operation</w:t>
      </w:r>
      <w:r w:rsidR="00041EA8">
        <w:t>, aiming</w:t>
      </w:r>
      <w:r w:rsidR="00BB0182" w:rsidRPr="007F202A">
        <w:t xml:space="preserve"> </w:t>
      </w:r>
      <w:r w:rsidR="002D1A12" w:rsidRPr="007F202A">
        <w:t>to maximise</w:t>
      </w:r>
      <w:r w:rsidR="005D126F" w:rsidRPr="007F202A">
        <w:t xml:space="preserve"> ecological benefits from available water. </w:t>
      </w:r>
      <w:r w:rsidR="00204295" w:rsidRPr="007F202A">
        <w:rPr>
          <w:bCs/>
        </w:rPr>
        <w:t xml:space="preserve">This </w:t>
      </w:r>
      <w:r w:rsidR="00692FCD" w:rsidRPr="007F202A">
        <w:rPr>
          <w:bCs/>
        </w:rPr>
        <w:t xml:space="preserve">study reveals that </w:t>
      </w:r>
      <w:r w:rsidR="00315997" w:rsidRPr="007F202A">
        <w:rPr>
          <w:bCs/>
        </w:rPr>
        <w:t xml:space="preserve">the delivery of </w:t>
      </w:r>
      <w:r w:rsidR="00692FCD" w:rsidRPr="007F202A">
        <w:rPr>
          <w:bCs/>
        </w:rPr>
        <w:t>e</w:t>
      </w:r>
      <w:r w:rsidR="00315997" w:rsidRPr="007F202A">
        <w:t>nvironmental water</w:t>
      </w:r>
      <w:r w:rsidR="00673509" w:rsidRPr="007F202A">
        <w:t>, e.g. to provide freshes or enhanc</w:t>
      </w:r>
      <w:r w:rsidR="00E36CCA" w:rsidRPr="007F202A">
        <w:t>e</w:t>
      </w:r>
      <w:r w:rsidR="00673509" w:rsidRPr="007F202A">
        <w:t xml:space="preserve"> in-channel flows,</w:t>
      </w:r>
      <w:r w:rsidR="00692FCD" w:rsidRPr="007F202A">
        <w:t xml:space="preserve"> can increase </w:t>
      </w:r>
      <w:r w:rsidR="00AD2B15" w:rsidRPr="007F202A">
        <w:t>hydraulic diversity (velocities and water levels)</w:t>
      </w:r>
      <w:r w:rsidR="00204295" w:rsidRPr="007F202A">
        <w:t>, which has potential benefits for riverine ecosystems in the LMR.</w:t>
      </w:r>
      <w:r w:rsidR="00AD2B15" w:rsidRPr="007F202A">
        <w:t xml:space="preserve"> </w:t>
      </w:r>
      <w:r w:rsidR="00673509" w:rsidRPr="007F202A">
        <w:t>W</w:t>
      </w:r>
      <w:r w:rsidR="00727510" w:rsidRPr="007F202A">
        <w:t xml:space="preserve">hen the timing </w:t>
      </w:r>
      <w:r w:rsidR="00673509" w:rsidRPr="007F202A">
        <w:t xml:space="preserve">of flow delivery </w:t>
      </w:r>
      <w:r w:rsidR="00692FCD" w:rsidRPr="007F202A">
        <w:t>align</w:t>
      </w:r>
      <w:r w:rsidR="00204295" w:rsidRPr="007F202A">
        <w:t>s</w:t>
      </w:r>
      <w:r w:rsidR="00692FCD" w:rsidRPr="007F202A">
        <w:t xml:space="preserve"> with biological requirements (e.g. </w:t>
      </w:r>
      <w:r w:rsidR="00673509" w:rsidRPr="007F202A">
        <w:t xml:space="preserve">reproductive </w:t>
      </w:r>
      <w:r w:rsidR="00692FCD" w:rsidRPr="007F202A">
        <w:t>season</w:t>
      </w:r>
      <w:r w:rsidR="00BC250E" w:rsidRPr="007F202A">
        <w:t xml:space="preserve"> of flow-cued fish species</w:t>
      </w:r>
      <w:r w:rsidR="00692FCD" w:rsidRPr="007F202A">
        <w:t>)</w:t>
      </w:r>
      <w:r w:rsidR="00537515" w:rsidRPr="007F202A">
        <w:t xml:space="preserve">, </w:t>
      </w:r>
      <w:r w:rsidR="00204295" w:rsidRPr="007F202A">
        <w:t xml:space="preserve">significant ecological </w:t>
      </w:r>
      <w:r w:rsidR="00537515" w:rsidRPr="007F202A">
        <w:t>outcomes can be achieved</w:t>
      </w:r>
      <w:r w:rsidR="00692FCD" w:rsidRPr="007F202A">
        <w:t xml:space="preserve">. </w:t>
      </w:r>
      <w:r w:rsidR="007F202A">
        <w:t xml:space="preserve">In addition, </w:t>
      </w:r>
      <w:r w:rsidR="00AF7BBE">
        <w:t>other</w:t>
      </w:r>
      <w:r w:rsidR="007F202A">
        <w:t xml:space="preserve"> measures </w:t>
      </w:r>
      <w:r w:rsidR="00F665D4">
        <w:t>s</w:t>
      </w:r>
      <w:r w:rsidR="000A5838">
        <w:t xml:space="preserve">uch as weir pool manipulation </w:t>
      </w:r>
      <w:r w:rsidR="00F665D4">
        <w:t>could be used to complement flow management to enhance environmental outcomes.</w:t>
      </w:r>
    </w:p>
    <w:p w14:paraId="584B15E5" w14:textId="0D84F965" w:rsidR="004E4F45" w:rsidRDefault="009C0A69" w:rsidP="004E4F45">
      <w:r w:rsidRPr="00D459B0">
        <w:t>Environmental flows should be delivered to promote both longitudinal and lateral connectivity, which</w:t>
      </w:r>
      <w:r w:rsidRPr="00D459B0" w:rsidDel="00373431">
        <w:t xml:space="preserve"> </w:t>
      </w:r>
      <w:r w:rsidRPr="00D459B0">
        <w:t>will increase the productivity in the LMR through incr</w:t>
      </w:r>
      <w:r>
        <w:t>eased carbon and nutrient input</w:t>
      </w:r>
      <w:r w:rsidR="00E07420">
        <w:t>s</w:t>
      </w:r>
      <w:r w:rsidRPr="00D459B0">
        <w:t>. Connectivity will also facilit</w:t>
      </w:r>
      <w:r w:rsidR="00E07420">
        <w:t>ate the transport and dispersal</w:t>
      </w:r>
      <w:r w:rsidRPr="00D459B0">
        <w:t xml:space="preserve"> of aquatic biota (e.g. microinvertebrates, fish larvae) to and throughout the LMR, leading to increased species diversity (as observed for microinverteb</w:t>
      </w:r>
      <w:r w:rsidR="004005F4">
        <w:t>r</w:t>
      </w:r>
      <w:r w:rsidRPr="00D459B0">
        <w:t>ates in this study) and potentially enhanced recruitment.</w:t>
      </w:r>
      <w:r w:rsidRPr="007A2E87">
        <w:t xml:space="preserve"> </w:t>
      </w:r>
      <w:r>
        <w:t xml:space="preserve">Also important </w:t>
      </w:r>
      <w:r w:rsidR="004E4F45">
        <w:t xml:space="preserve">is </w:t>
      </w:r>
      <w:r>
        <w:t xml:space="preserve">the source of water (i.e. origin), which can </w:t>
      </w:r>
      <w:r w:rsidRPr="00D459B0">
        <w:t>influence biological response</w:t>
      </w:r>
      <w:r>
        <w:t>s</w:t>
      </w:r>
      <w:r w:rsidRPr="00D459B0">
        <w:t xml:space="preserve"> </w:t>
      </w:r>
      <w:r>
        <w:t xml:space="preserve">and </w:t>
      </w:r>
      <w:r w:rsidRPr="00D459B0">
        <w:t xml:space="preserve">ecological processes. </w:t>
      </w:r>
      <w:r>
        <w:t xml:space="preserve">For instance, changing the source of the water can alter the turbidity and the amount and form of nutrients, changing the amount and composition of primary producers (e.g. phytoplankton) and affecting secondary production. Water quality and biological attributes can be further affected by river operations that re-route (e.g. through floodplains or wetlands) or fragment the flow (e.g. by diversions or storages), leading to potential changes in the structure and function of aquatic food webs. </w:t>
      </w:r>
    </w:p>
    <w:p w14:paraId="44F85B9E" w14:textId="54067620" w:rsidR="005D126F" w:rsidRPr="004E4F45" w:rsidRDefault="004E4F45" w:rsidP="005D126F">
      <w:r>
        <w:t>Managing e</w:t>
      </w:r>
      <w:r w:rsidR="009C0A69" w:rsidRPr="009C0A69">
        <w:rPr>
          <w:rFonts w:cs="Arial"/>
          <w:szCs w:val="22"/>
        </w:rPr>
        <w:t xml:space="preserve">nvironmental </w:t>
      </w:r>
      <w:r>
        <w:rPr>
          <w:rFonts w:cs="Arial"/>
          <w:szCs w:val="22"/>
        </w:rPr>
        <w:t xml:space="preserve">flow </w:t>
      </w:r>
      <w:r w:rsidR="009C0A69" w:rsidRPr="009C0A69">
        <w:rPr>
          <w:rFonts w:cs="Arial"/>
          <w:szCs w:val="22"/>
        </w:rPr>
        <w:t>to increase carbon and nutrient transport and primary productivity in the LMR may be achieved through coordinating water source and by river operations that increase floodplain connectivity. However, broader water quality characteristics need to be considered due to the potential risks to aquatic biota of poor water quality (e.g. low dissolved oxygen).</w:t>
      </w:r>
      <w:r>
        <w:rPr>
          <w:rFonts w:cs="Arial"/>
          <w:szCs w:val="22"/>
        </w:rPr>
        <w:t xml:space="preserve"> Furthermore, m</w:t>
      </w:r>
      <w:r w:rsidRPr="00D459B0">
        <w:t xml:space="preserve">aintaining </w:t>
      </w:r>
      <w:r>
        <w:t>hydrological</w:t>
      </w:r>
      <w:r w:rsidRPr="00D459B0">
        <w:t xml:space="preserve"> </w:t>
      </w:r>
      <w:r w:rsidRPr="00D459B0">
        <w:lastRenderedPageBreak/>
        <w:t xml:space="preserve">integrity (i.e. magnitude, variability and source) of flow from upstream (e.g. Darling </w:t>
      </w:r>
      <w:r>
        <w:t xml:space="preserve">River </w:t>
      </w:r>
      <w:r w:rsidRPr="00D459B0">
        <w:t xml:space="preserve">or mid-Murray) to the lower River Murray is critical to support system-scale processes and promote </w:t>
      </w:r>
      <w:r w:rsidRPr="00D459B0">
        <w:rPr>
          <w:bCs/>
        </w:rPr>
        <w:t xml:space="preserve">positive ecological outcomes </w:t>
      </w:r>
      <w:r w:rsidR="003E5AD6" w:rsidRPr="007F202A">
        <w:rPr>
          <w:bCs/>
        </w:rPr>
        <w:t>(e.g. improved productivity, enhanced spawning and recruitment of flow-dependent fish</w:t>
      </w:r>
      <w:r>
        <w:rPr>
          <w:bCs/>
        </w:rPr>
        <w:t>es</w:t>
      </w:r>
      <w:r w:rsidR="003E5AD6" w:rsidRPr="007F202A">
        <w:rPr>
          <w:bCs/>
        </w:rPr>
        <w:t>).</w:t>
      </w:r>
      <w:r w:rsidR="005E53A9" w:rsidRPr="007F202A">
        <w:rPr>
          <w:bCs/>
        </w:rPr>
        <w:t xml:space="preserve"> </w:t>
      </w:r>
      <w:r w:rsidR="005D126F" w:rsidRPr="007F202A">
        <w:t xml:space="preserve">Specific management considerations from </w:t>
      </w:r>
      <w:r w:rsidR="00315EBC" w:rsidRPr="007F202A">
        <w:t>indicators</w:t>
      </w:r>
      <w:r w:rsidR="00BE7399" w:rsidRPr="007F202A">
        <w:t xml:space="preserve"> are provided below</w:t>
      </w:r>
      <w:r w:rsidR="005D126F" w:rsidRPr="007F202A">
        <w:t>, which rel</w:t>
      </w:r>
      <w:r w:rsidR="00315EBC" w:rsidRPr="007F202A">
        <w:t>ate to the key findings</w:t>
      </w:r>
      <w:r w:rsidR="00BE7399" w:rsidRPr="007F202A">
        <w:t xml:space="preserve"> in </w:t>
      </w:r>
      <w:r w:rsidR="00A31F33" w:rsidRPr="007F202A">
        <w:t>Section</w:t>
      </w:r>
      <w:r w:rsidR="00BD7C9C" w:rsidRPr="007F202A">
        <w:t xml:space="preserve"> </w:t>
      </w:r>
      <w:r w:rsidR="00394AA8" w:rsidRPr="007F202A">
        <w:fldChar w:fldCharType="begin"/>
      </w:r>
      <w:r w:rsidR="00BD7C9C" w:rsidRPr="007F202A">
        <w:instrText xml:space="preserve"> REF _Ref438468990 \r \h </w:instrText>
      </w:r>
      <w:r w:rsidR="00677F69" w:rsidRPr="007F202A">
        <w:instrText xml:space="preserve"> \* MERGEFORMAT </w:instrText>
      </w:r>
      <w:r w:rsidR="00394AA8" w:rsidRPr="007F202A">
        <w:fldChar w:fldCharType="separate"/>
      </w:r>
      <w:r w:rsidR="004260C4">
        <w:t>2</w:t>
      </w:r>
      <w:r w:rsidR="00394AA8" w:rsidRPr="007F202A">
        <w:fldChar w:fldCharType="end"/>
      </w:r>
      <w:r w:rsidR="00BE7399" w:rsidRPr="007F202A">
        <w:t>.</w:t>
      </w:r>
    </w:p>
    <w:p w14:paraId="06DF9604" w14:textId="78F4C7CF" w:rsidR="003340E2" w:rsidRPr="00412553" w:rsidRDefault="003340E2" w:rsidP="00BE7399">
      <w:pPr>
        <w:pStyle w:val="Heading3"/>
      </w:pPr>
      <w:bookmarkStart w:id="128" w:name="_Toc441838739"/>
      <w:bookmarkStart w:id="129" w:name="_Toc474147064"/>
      <w:r w:rsidRPr="00412553">
        <w:t>Hydrology and Hydrological Regime</w:t>
      </w:r>
      <w:bookmarkEnd w:id="128"/>
      <w:bookmarkEnd w:id="129"/>
    </w:p>
    <w:p w14:paraId="1F5114A5" w14:textId="58AF63F6" w:rsidR="006A237D" w:rsidRDefault="002F344B" w:rsidP="0095207C">
      <w:r>
        <w:t xml:space="preserve">In a dry year without unregulated flow, and within current system constraints, it may be </w:t>
      </w:r>
      <w:r w:rsidR="00831B3E">
        <w:t xml:space="preserve">challenging </w:t>
      </w:r>
      <w:r>
        <w:t xml:space="preserve">to </w:t>
      </w:r>
      <w:r w:rsidR="00831B3E">
        <w:t xml:space="preserve">substantially </w:t>
      </w:r>
      <w:r w:rsidR="00931A40">
        <w:t>improve on</w:t>
      </w:r>
      <w:r>
        <w:t xml:space="preserve"> the </w:t>
      </w:r>
      <w:r w:rsidR="00831B3E">
        <w:t xml:space="preserve">hydrodynamic </w:t>
      </w:r>
      <w:r>
        <w:t>outcomes observed in 2015/16</w:t>
      </w:r>
      <w:r w:rsidR="00364B71">
        <w:t xml:space="preserve"> with environmental water</w:t>
      </w:r>
      <w:r>
        <w:t xml:space="preserve">. </w:t>
      </w:r>
      <w:r w:rsidR="00330905">
        <w:t>The benefits of WPR undertaken in 2015/16, one river operation option achievable with</w:t>
      </w:r>
      <w:r w:rsidR="00A96DC2">
        <w:t>in</w:t>
      </w:r>
      <w:r w:rsidR="00330905">
        <w:t xml:space="preserve"> current constraints, has been further investigated here</w:t>
      </w:r>
      <w:r w:rsidR="00F02ADA">
        <w:t>.</w:t>
      </w:r>
    </w:p>
    <w:p w14:paraId="1D46D62C" w14:textId="07E7293E" w:rsidR="00396B53" w:rsidRDefault="00652B23" w:rsidP="006A237D">
      <w:r>
        <w:t>Modelled r</w:t>
      </w:r>
      <w:r w:rsidR="006A237D">
        <w:t>esults</w:t>
      </w:r>
      <w:r w:rsidR="00831B3E">
        <w:t xml:space="preserve"> of water levels and velocities</w:t>
      </w:r>
      <w:r w:rsidR="006A237D">
        <w:t xml:space="preserve"> </w:t>
      </w:r>
      <w:r>
        <w:t>in the weir pool</w:t>
      </w:r>
      <w:r w:rsidR="00831B3E">
        <w:t xml:space="preserve"> </w:t>
      </w:r>
      <w:r w:rsidR="006A237D">
        <w:t>with and without C</w:t>
      </w:r>
      <w:r w:rsidR="007873C8">
        <w:t>ommonwealth environmental water</w:t>
      </w:r>
      <w:r w:rsidR="006A237D">
        <w:t xml:space="preserve">, and with and without </w:t>
      </w:r>
      <w:r w:rsidR="001E29E0">
        <w:t>WPR</w:t>
      </w:r>
      <w:r w:rsidR="006A237D">
        <w:t>, on the day corresponding to the largest raising and largest C</w:t>
      </w:r>
      <w:r w:rsidR="007873C8">
        <w:t>ommonwealth environmental water</w:t>
      </w:r>
      <w:r w:rsidR="006A237D">
        <w:t xml:space="preserve"> contribution are presented </w:t>
      </w:r>
      <w:r>
        <w:t xml:space="preserve">for Weir Pool 2 </w:t>
      </w:r>
      <w:r w:rsidR="006A237D">
        <w:t xml:space="preserve">in </w:t>
      </w:r>
      <w:r w:rsidR="006A237D">
        <w:fldChar w:fldCharType="begin"/>
      </w:r>
      <w:r w:rsidR="006A237D">
        <w:instrText xml:space="preserve"> REF _Ref463868672 \h </w:instrText>
      </w:r>
      <w:r w:rsidR="006A237D">
        <w:fldChar w:fldCharType="separate"/>
      </w:r>
      <w:r w:rsidR="004260C4">
        <w:t xml:space="preserve">Figure </w:t>
      </w:r>
      <w:r w:rsidR="004260C4">
        <w:rPr>
          <w:noProof/>
        </w:rPr>
        <w:t>17</w:t>
      </w:r>
      <w:r w:rsidR="006A237D">
        <w:fldChar w:fldCharType="end"/>
      </w:r>
      <w:r>
        <w:t xml:space="preserve"> (see</w:t>
      </w:r>
      <w:r w:rsidR="006A237D">
        <w:t xml:space="preserve"> Appendix E</w:t>
      </w:r>
      <w:r w:rsidR="00AD47B7">
        <w:t xml:space="preserve"> for Weir Pool </w:t>
      </w:r>
      <w:r>
        <w:t>5)</w:t>
      </w:r>
      <w:r w:rsidR="006A237D">
        <w:t xml:space="preserve">. The 0.5 m WPR can be seen to increase the water level by this amount </w:t>
      </w:r>
      <w:r w:rsidR="00916DB3">
        <w:t>in Weir Pool </w:t>
      </w:r>
      <w:r w:rsidR="006A237D">
        <w:t xml:space="preserve">2, at the downstream end (right hand side of the upper plot of </w:t>
      </w:r>
      <w:r w:rsidR="006A237D">
        <w:fldChar w:fldCharType="begin"/>
      </w:r>
      <w:r w:rsidR="006A237D">
        <w:instrText xml:space="preserve"> REF _Ref463868672 \h </w:instrText>
      </w:r>
      <w:r w:rsidR="006A237D">
        <w:fldChar w:fldCharType="separate"/>
      </w:r>
      <w:r w:rsidR="004260C4">
        <w:t xml:space="preserve">Figure </w:t>
      </w:r>
      <w:r w:rsidR="004260C4">
        <w:rPr>
          <w:noProof/>
        </w:rPr>
        <w:t>17</w:t>
      </w:r>
      <w:r w:rsidR="006A237D">
        <w:fldChar w:fldCharType="end"/>
      </w:r>
      <w:r w:rsidR="006A237D">
        <w:t xml:space="preserve">). </w:t>
      </w:r>
      <w:r w:rsidR="00EA45C5">
        <w:t xml:space="preserve">Without Commonwealth environmental water, the </w:t>
      </w:r>
      <w:r w:rsidR="00012361">
        <w:t xml:space="preserve">flow over Lock 3 on this day was </w:t>
      </w:r>
      <w:r w:rsidR="00EA45C5">
        <w:t>modelled to be 785</w:t>
      </w:r>
      <w:r w:rsidR="00012361">
        <w:t> </w:t>
      </w:r>
      <w:r w:rsidR="00EA45C5">
        <w:t>ML</w:t>
      </w:r>
      <w:r w:rsidR="00012361">
        <w:t> </w:t>
      </w:r>
      <w:r w:rsidR="00EA45C5">
        <w:t>day</w:t>
      </w:r>
      <w:r w:rsidR="00EA45C5" w:rsidRPr="00EA45C5">
        <w:rPr>
          <w:vertAlign w:val="superscript"/>
        </w:rPr>
        <w:t>-1</w:t>
      </w:r>
      <w:r w:rsidR="00EA45C5">
        <w:t xml:space="preserve">. This was a short-term drop in flow, with the average flow for the two weeks around this </w:t>
      </w:r>
      <w:r w:rsidR="00012361">
        <w:t xml:space="preserve">date was </w:t>
      </w:r>
      <w:r w:rsidR="00EA45C5">
        <w:t>2070 ML day</w:t>
      </w:r>
      <w:r w:rsidR="00EA45C5" w:rsidRPr="00EA45C5">
        <w:rPr>
          <w:vertAlign w:val="superscript"/>
        </w:rPr>
        <w:t>-1</w:t>
      </w:r>
      <w:r w:rsidR="00EA45C5">
        <w:t>. As such</w:t>
      </w:r>
      <w:r w:rsidR="006A237D">
        <w:t xml:space="preserve"> the water </w:t>
      </w:r>
      <w:r w:rsidR="0009104D">
        <w:t>are predominately lentic or slow-</w:t>
      </w:r>
      <w:r w:rsidR="006A237D">
        <w:t>flowing (black lines in the bottom plot</w:t>
      </w:r>
      <w:r w:rsidR="006A237D" w:rsidRPr="006A237D">
        <w:t xml:space="preserve"> </w:t>
      </w:r>
      <w:r w:rsidR="006A237D">
        <w:t xml:space="preserve">of </w:t>
      </w:r>
      <w:r w:rsidR="006A237D">
        <w:fldChar w:fldCharType="begin"/>
      </w:r>
      <w:r w:rsidR="006A237D">
        <w:instrText xml:space="preserve"> REF _Ref463868672 \h </w:instrText>
      </w:r>
      <w:r w:rsidR="006A237D">
        <w:fldChar w:fldCharType="separate"/>
      </w:r>
      <w:r w:rsidR="004260C4">
        <w:t xml:space="preserve">Figure </w:t>
      </w:r>
      <w:r w:rsidR="004260C4">
        <w:rPr>
          <w:noProof/>
        </w:rPr>
        <w:t>17</w:t>
      </w:r>
      <w:r w:rsidR="006A237D">
        <w:fldChar w:fldCharType="end"/>
      </w:r>
      <w:r w:rsidR="006A237D">
        <w:t xml:space="preserve">), with </w:t>
      </w:r>
      <w:r w:rsidR="0009104D">
        <w:t xml:space="preserve">a stable </w:t>
      </w:r>
      <w:r w:rsidR="006A237D">
        <w:t xml:space="preserve">water </w:t>
      </w:r>
      <w:r w:rsidR="0009104D">
        <w:t xml:space="preserve">maintained at the pool </w:t>
      </w:r>
      <w:r w:rsidR="006A237D">
        <w:t xml:space="preserve">level </w:t>
      </w:r>
      <w:r w:rsidR="0009104D">
        <w:t>throughout</w:t>
      </w:r>
      <w:r w:rsidR="006A237D">
        <w:t xml:space="preserve"> the weir pool </w:t>
      </w:r>
      <w:r w:rsidR="00742815" w:rsidRPr="00BC1DC3">
        <w:t xml:space="preserve">(black lines in the </w:t>
      </w:r>
      <w:r w:rsidR="00D912CC">
        <w:t xml:space="preserve">top </w:t>
      </w:r>
      <w:r w:rsidR="00742815" w:rsidRPr="00BC1DC3">
        <w:t xml:space="preserve">plot of </w:t>
      </w:r>
      <w:r w:rsidR="00742815" w:rsidRPr="00BC1DC3">
        <w:fldChar w:fldCharType="begin"/>
      </w:r>
      <w:r w:rsidR="00742815" w:rsidRPr="00BC1DC3">
        <w:instrText xml:space="preserve"> REF _Ref463868672 \h </w:instrText>
      </w:r>
      <w:r w:rsidR="00BC1DC3">
        <w:instrText xml:space="preserve"> \* MERGEFORMAT </w:instrText>
      </w:r>
      <w:r w:rsidR="00742815" w:rsidRPr="00BC1DC3">
        <w:fldChar w:fldCharType="separate"/>
      </w:r>
      <w:r w:rsidR="004260C4">
        <w:t xml:space="preserve">Figure </w:t>
      </w:r>
      <w:r w:rsidR="004260C4">
        <w:rPr>
          <w:noProof/>
        </w:rPr>
        <w:t>17</w:t>
      </w:r>
      <w:r w:rsidR="00742815" w:rsidRPr="00BC1DC3">
        <w:fldChar w:fldCharType="end"/>
      </w:r>
      <w:r w:rsidR="007873C8">
        <w:t>)</w:t>
      </w:r>
      <w:r w:rsidR="006A237D" w:rsidRPr="00BC1DC3">
        <w:t>.</w:t>
      </w:r>
      <w:r w:rsidR="00B11EE6" w:rsidRPr="00BC1DC3">
        <w:t xml:space="preserve"> </w:t>
      </w:r>
      <w:r w:rsidR="005F6249">
        <w:t>With Commonwealth environmental water, the flow</w:t>
      </w:r>
      <w:r w:rsidR="00D40164">
        <w:t xml:space="preserve"> on this day increased to 8,760 </w:t>
      </w:r>
      <w:r w:rsidR="005F6249">
        <w:t>ML day</w:t>
      </w:r>
      <w:r w:rsidR="00D40164">
        <w:rPr>
          <w:vertAlign w:val="superscript"/>
        </w:rPr>
        <w:noBreakHyphen/>
      </w:r>
      <w:r w:rsidR="005F6249">
        <w:rPr>
          <w:vertAlign w:val="superscript"/>
        </w:rPr>
        <w:t>1</w:t>
      </w:r>
      <w:r w:rsidR="005F6249">
        <w:t>, resulting in faster flowing water and a water level 0.2 m higher at the upper end of the weir pool with WPR, and 0.7 m without WPR, without Commonwealth environmental water.</w:t>
      </w:r>
      <w:r w:rsidR="0043404B">
        <w:t xml:space="preserve"> One concern with </w:t>
      </w:r>
      <w:r w:rsidR="00E96345">
        <w:t>WPR is the potential for reduced velocities, due</w:t>
      </w:r>
      <w:r w:rsidR="0043404B">
        <w:t xml:space="preserve"> to increasing the cross sectional area for the same discharge. This can be seen</w:t>
      </w:r>
      <w:r w:rsidR="00A96DC2">
        <w:t xml:space="preserve"> </w:t>
      </w:r>
      <w:r w:rsidR="0043404B">
        <w:t xml:space="preserve">to occur in </w:t>
      </w:r>
      <w:r w:rsidR="0043404B">
        <w:fldChar w:fldCharType="begin"/>
      </w:r>
      <w:r w:rsidR="0043404B">
        <w:instrText xml:space="preserve"> REF _Ref463868672 \h </w:instrText>
      </w:r>
      <w:r w:rsidR="0043404B">
        <w:fldChar w:fldCharType="separate"/>
      </w:r>
      <w:r w:rsidR="004260C4">
        <w:t xml:space="preserve">Figure </w:t>
      </w:r>
      <w:r w:rsidR="004260C4">
        <w:rPr>
          <w:noProof/>
        </w:rPr>
        <w:t>17</w:t>
      </w:r>
      <w:r w:rsidR="0043404B">
        <w:fldChar w:fldCharType="end"/>
      </w:r>
      <w:r w:rsidR="0043404B">
        <w:t xml:space="preserve">, with lower velocities </w:t>
      </w:r>
      <w:r w:rsidR="00E25DA7">
        <w:t xml:space="preserve">for the with WPR case compared to without. </w:t>
      </w:r>
      <w:r w:rsidR="00396B53">
        <w:t xml:space="preserve">Two main observations can be made </w:t>
      </w:r>
      <w:r w:rsidR="00936117">
        <w:t xml:space="preserve">based on the modelling of the </w:t>
      </w:r>
      <w:r w:rsidR="00396B53">
        <w:t>2015/16 WPR events:</w:t>
      </w:r>
    </w:p>
    <w:p w14:paraId="4AD69CB4" w14:textId="5A73A21A" w:rsidR="00396B53" w:rsidRDefault="007873C8" w:rsidP="006A237D">
      <w:pPr>
        <w:pStyle w:val="ListParagraph"/>
        <w:numPr>
          <w:ilvl w:val="0"/>
          <w:numId w:val="33"/>
        </w:numPr>
      </w:pPr>
      <w:r>
        <w:lastRenderedPageBreak/>
        <w:t>T</w:t>
      </w:r>
      <w:r w:rsidR="00396B53">
        <w:t>he combination of C</w:t>
      </w:r>
      <w:r>
        <w:t>ommonwealth environmental water</w:t>
      </w:r>
      <w:r w:rsidR="00396B53">
        <w:t xml:space="preserve"> delivery and WPR (blue solid line in </w:t>
      </w:r>
      <w:r w:rsidR="00396B53">
        <w:fldChar w:fldCharType="begin"/>
      </w:r>
      <w:r w:rsidR="00396B53">
        <w:instrText xml:space="preserve"> REF _Ref463868672 \h </w:instrText>
      </w:r>
      <w:r w:rsidR="00396B53">
        <w:fldChar w:fldCharType="separate"/>
      </w:r>
      <w:r w:rsidR="004260C4">
        <w:t xml:space="preserve">Figure </w:t>
      </w:r>
      <w:r w:rsidR="004260C4">
        <w:rPr>
          <w:noProof/>
        </w:rPr>
        <w:t>17</w:t>
      </w:r>
      <w:r w:rsidR="00396B53">
        <w:fldChar w:fldCharType="end"/>
      </w:r>
      <w:r w:rsidR="00396B53">
        <w:t>) resulted in both higher water levels and higher velocities compared to the without C</w:t>
      </w:r>
      <w:r>
        <w:t>ommonwealth environmental water</w:t>
      </w:r>
      <w:r w:rsidR="00396B53">
        <w:t xml:space="preserve"> and without WPR (black solid line in </w:t>
      </w:r>
      <w:r w:rsidR="00396B53">
        <w:fldChar w:fldCharType="begin"/>
      </w:r>
      <w:r w:rsidR="00396B53">
        <w:instrText xml:space="preserve"> REF _Ref463868672 \h </w:instrText>
      </w:r>
      <w:r w:rsidR="00396B53">
        <w:fldChar w:fldCharType="separate"/>
      </w:r>
      <w:r w:rsidR="004260C4">
        <w:t xml:space="preserve">Figure </w:t>
      </w:r>
      <w:r w:rsidR="004260C4">
        <w:rPr>
          <w:noProof/>
        </w:rPr>
        <w:t>17</w:t>
      </w:r>
      <w:r w:rsidR="00396B53">
        <w:fldChar w:fldCharType="end"/>
      </w:r>
      <w:r w:rsidR="00396B53">
        <w:t>)</w:t>
      </w:r>
      <w:r w:rsidR="00387D9B">
        <w:t>; and</w:t>
      </w:r>
    </w:p>
    <w:p w14:paraId="4C4CE22F" w14:textId="6BCB45D3" w:rsidR="00B92679" w:rsidRDefault="00B52FFE" w:rsidP="00814778">
      <w:pPr>
        <w:pStyle w:val="ListParagraph"/>
        <w:numPr>
          <w:ilvl w:val="0"/>
          <w:numId w:val="33"/>
        </w:numPr>
      </w:pPr>
      <w:r>
        <w:t>The</w:t>
      </w:r>
      <w:r w:rsidR="00E25DA7">
        <w:t xml:space="preserve"> </w:t>
      </w:r>
      <w:r w:rsidR="00396B53">
        <w:t xml:space="preserve">reduction in velocity due to WPR was relatively small compared </w:t>
      </w:r>
      <w:r w:rsidR="00C85307">
        <w:t xml:space="preserve">to the </w:t>
      </w:r>
      <w:r w:rsidR="00396B53">
        <w:t xml:space="preserve">increase </w:t>
      </w:r>
      <w:r w:rsidR="00454F50">
        <w:t xml:space="preserve">in velocity </w:t>
      </w:r>
      <w:r w:rsidR="00BF70BE">
        <w:t>due to the delivery of</w:t>
      </w:r>
      <w:r w:rsidR="00396B53">
        <w:t xml:space="preserve"> C</w:t>
      </w:r>
      <w:r w:rsidR="007873C8">
        <w:t>ommonwealth environmental water</w:t>
      </w:r>
      <w:r w:rsidR="00396B53">
        <w:t>.</w:t>
      </w:r>
    </w:p>
    <w:p w14:paraId="53DF5282" w14:textId="7B5AE4B7" w:rsidR="00751242" w:rsidRDefault="0089229B" w:rsidP="00351DB5">
      <w:pPr>
        <w:keepNext/>
        <w:jc w:val="center"/>
      </w:pPr>
      <w:r>
        <w:rPr>
          <w:noProof/>
          <w:color w:val="auto"/>
          <w:kern w:val="0"/>
          <w:sz w:val="16"/>
          <w:szCs w:val="16"/>
          <w:lang w:eastAsia="en-AU"/>
        </w:rPr>
        <w:drawing>
          <wp:inline distT="0" distB="0" distL="0" distR="0" wp14:anchorId="25B0692C" wp14:editId="1C95E496">
            <wp:extent cx="5328000" cy="3036248"/>
            <wp:effectExtent l="0" t="0" r="635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WP2_WL.png"/>
                    <pic:cNvPicPr/>
                  </pic:nvPicPr>
                  <pic:blipFill rotWithShape="1">
                    <a:blip r:embed="rId67" cstate="email">
                      <a:extLst>
                        <a:ext uri="{28A0092B-C50C-407E-A947-70E740481C1C}">
                          <a14:useLocalDpi xmlns:a14="http://schemas.microsoft.com/office/drawing/2010/main"/>
                        </a:ext>
                      </a:extLst>
                    </a:blip>
                    <a:srcRect b="14545"/>
                    <a:stretch/>
                  </pic:blipFill>
                  <pic:spPr bwMode="auto">
                    <a:xfrm>
                      <a:off x="0" y="0"/>
                      <a:ext cx="5328000" cy="303624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C7E8730" wp14:editId="15E2F2FE">
            <wp:extent cx="5328000" cy="2779287"/>
            <wp:effectExtent l="0" t="0" r="6350" b="254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WP2_V.png"/>
                    <pic:cNvPicPr/>
                  </pic:nvPicPr>
                  <pic:blipFill rotWithShape="1">
                    <a:blip r:embed="rId68" cstate="email">
                      <a:extLst>
                        <a:ext uri="{28A0092B-C50C-407E-A947-70E740481C1C}">
                          <a14:useLocalDpi xmlns:a14="http://schemas.microsoft.com/office/drawing/2010/main"/>
                        </a:ext>
                      </a:extLst>
                    </a:blip>
                    <a:srcRect t="21776"/>
                    <a:stretch/>
                  </pic:blipFill>
                  <pic:spPr bwMode="auto">
                    <a:xfrm>
                      <a:off x="0" y="0"/>
                      <a:ext cx="5328000" cy="2779287"/>
                    </a:xfrm>
                    <a:prstGeom prst="rect">
                      <a:avLst/>
                    </a:prstGeom>
                    <a:ln>
                      <a:noFill/>
                    </a:ln>
                    <a:extLst>
                      <a:ext uri="{53640926-AAD7-44D8-BBD7-CCE9431645EC}">
                        <a14:shadowObscured xmlns:a14="http://schemas.microsoft.com/office/drawing/2010/main"/>
                      </a:ext>
                    </a:extLst>
                  </pic:spPr>
                </pic:pic>
              </a:graphicData>
            </a:graphic>
          </wp:inline>
        </w:drawing>
      </w:r>
    </w:p>
    <w:p w14:paraId="255E4744" w14:textId="44724BD5" w:rsidR="00751242" w:rsidRDefault="00751242" w:rsidP="00751242">
      <w:pPr>
        <w:pStyle w:val="Caption"/>
        <w:rPr>
          <w:lang w:eastAsia="en-AU"/>
        </w:rPr>
      </w:pPr>
      <w:bookmarkStart w:id="130" w:name="_Ref463868672"/>
      <w:bookmarkStart w:id="131" w:name="_Toc474147041"/>
      <w:r>
        <w:t xml:space="preserve">Figure </w:t>
      </w:r>
      <w:r w:rsidR="002A5644">
        <w:fldChar w:fldCharType="begin"/>
      </w:r>
      <w:r w:rsidR="002A5644">
        <w:instrText xml:space="preserve"> SEQ Figure \* ARABIC </w:instrText>
      </w:r>
      <w:r w:rsidR="002A5644">
        <w:fldChar w:fldCharType="separate"/>
      </w:r>
      <w:r w:rsidR="004260C4">
        <w:rPr>
          <w:noProof/>
        </w:rPr>
        <w:t>17</w:t>
      </w:r>
      <w:r w:rsidR="002A5644">
        <w:rPr>
          <w:noProof/>
        </w:rPr>
        <w:fldChar w:fldCharType="end"/>
      </w:r>
      <w:bookmarkEnd w:id="130"/>
      <w:r w:rsidR="008C12E3">
        <w:rPr>
          <w:noProof/>
        </w:rPr>
        <w:t>.</w:t>
      </w:r>
      <w:r>
        <w:t xml:space="preserve"> </w:t>
      </w:r>
      <w:r w:rsidRPr="00951619">
        <w:t>Change in water level and velocity along the weir pool with and without CEW and with and without the weir pool raising</w:t>
      </w:r>
      <w:r w:rsidR="00820226">
        <w:t xml:space="preserve"> (WPR)</w:t>
      </w:r>
      <w:r w:rsidRPr="00951619">
        <w:t xml:space="preserve"> for </w:t>
      </w:r>
      <w:r w:rsidR="00831B3E">
        <w:t xml:space="preserve">Weir Pool </w:t>
      </w:r>
      <w:r w:rsidRPr="00951619">
        <w:t>2 on 31/10/15. This day represents the largest difference between the scenarios, with the wei</w:t>
      </w:r>
      <w:r>
        <w:t>r pool at the maximum raising, and the largest volume of CEW delivered at the time of the raising.</w:t>
      </w:r>
      <w:bookmarkEnd w:id="131"/>
    </w:p>
    <w:p w14:paraId="3C8DFB64" w14:textId="77777777" w:rsidR="00BE7399" w:rsidRPr="003340E2" w:rsidRDefault="00BE7399" w:rsidP="00857043">
      <w:pPr>
        <w:pStyle w:val="Heading3"/>
      </w:pPr>
      <w:bookmarkStart w:id="132" w:name="_Toc441838740"/>
      <w:bookmarkStart w:id="133" w:name="_Toc474147065"/>
      <w:r w:rsidRPr="00412553">
        <w:lastRenderedPageBreak/>
        <w:t>Stream Metabolism</w:t>
      </w:r>
      <w:bookmarkEnd w:id="132"/>
      <w:bookmarkEnd w:id="133"/>
    </w:p>
    <w:p w14:paraId="660358DA" w14:textId="7E112CFC" w:rsidR="00A22FED" w:rsidRDefault="00A22FED" w:rsidP="00A22FED">
      <w:pPr>
        <w:rPr>
          <w:rFonts w:cstheme="minorHAnsi"/>
        </w:rPr>
      </w:pPr>
      <w:bookmarkStart w:id="134" w:name="_Toc441838741"/>
      <w:r>
        <w:rPr>
          <w:rFonts w:cstheme="minorHAnsi"/>
        </w:rPr>
        <w:t xml:space="preserve">The changes in metabolism below Lock 6 during WPR </w:t>
      </w:r>
      <w:r w:rsidR="004749E4">
        <w:rPr>
          <w:rFonts w:cstheme="minorHAnsi"/>
        </w:rPr>
        <w:t xml:space="preserve">were </w:t>
      </w:r>
      <w:r>
        <w:rPr>
          <w:rFonts w:cstheme="minorHAnsi"/>
        </w:rPr>
        <w:t xml:space="preserve">reflective of an increased connection between the river and the floodplain, resulting from WPR. Enhanced aquatic phototrophic production in the flooded area was largely returned to the river and expected to benefit food webs in the main channel of the LMR. Application of WPR as a management technique to a wider range of sites and more frequently might broadly enhance metabolic activity with expected benefits to food webs, although further investigations are required to identify the </w:t>
      </w:r>
      <w:r w:rsidR="00583A16">
        <w:rPr>
          <w:rFonts w:cstheme="minorHAnsi"/>
        </w:rPr>
        <w:t>beneficiaries and to optimise the delivery of organic materials and nutrients within ranges that do not generate detrimental effects such as deoxygenation</w:t>
      </w:r>
      <w:r w:rsidR="00465F87">
        <w:rPr>
          <w:rFonts w:cstheme="minorHAnsi"/>
        </w:rPr>
        <w:t>.</w:t>
      </w:r>
      <w:r w:rsidR="00583A16" w:rsidRPr="004749E4">
        <w:rPr>
          <w:rFonts w:cstheme="minorHAnsi"/>
        </w:rPr>
        <w:t xml:space="preserve"> </w:t>
      </w:r>
      <w:r w:rsidR="00583A16">
        <w:rPr>
          <w:rFonts w:cstheme="minorHAnsi"/>
        </w:rPr>
        <w:t xml:space="preserve">This will rely on characteristics such as </w:t>
      </w:r>
      <w:r w:rsidR="00991550">
        <w:rPr>
          <w:rFonts w:cstheme="minorHAnsi"/>
        </w:rPr>
        <w:t xml:space="preserve">the </w:t>
      </w:r>
      <w:r w:rsidR="00583A16">
        <w:rPr>
          <w:rFonts w:cstheme="minorHAnsi"/>
        </w:rPr>
        <w:t>periods</w:t>
      </w:r>
      <w:r w:rsidR="00991550">
        <w:rPr>
          <w:rFonts w:cstheme="minorHAnsi"/>
        </w:rPr>
        <w:t xml:space="preserve"> of floodplain </w:t>
      </w:r>
      <w:r w:rsidR="00523360">
        <w:rPr>
          <w:rFonts w:cstheme="minorHAnsi"/>
        </w:rPr>
        <w:t xml:space="preserve">return </w:t>
      </w:r>
      <w:r w:rsidR="00991550">
        <w:rPr>
          <w:rFonts w:cstheme="minorHAnsi"/>
        </w:rPr>
        <w:t>flows</w:t>
      </w:r>
      <w:r w:rsidR="00583A16">
        <w:rPr>
          <w:rFonts w:cstheme="minorHAnsi"/>
        </w:rPr>
        <w:t>, area flooded and duration</w:t>
      </w:r>
      <w:r w:rsidR="00991550">
        <w:rPr>
          <w:rFonts w:cstheme="minorHAnsi"/>
        </w:rPr>
        <w:t xml:space="preserve"> of inundation</w:t>
      </w:r>
      <w:r w:rsidR="00583A16">
        <w:rPr>
          <w:rFonts w:cstheme="minorHAnsi"/>
        </w:rPr>
        <w:t xml:space="preserve">. </w:t>
      </w:r>
      <w:r w:rsidR="004749E4">
        <w:rPr>
          <w:rFonts w:cstheme="minorHAnsi"/>
        </w:rPr>
        <w:t>The continuing collection of data through the LTIM pro</w:t>
      </w:r>
      <w:r w:rsidR="004C6818">
        <w:rPr>
          <w:rFonts w:cstheme="minorHAnsi"/>
        </w:rPr>
        <w:t>ject</w:t>
      </w:r>
      <w:r w:rsidR="004749E4">
        <w:rPr>
          <w:rFonts w:cstheme="minorHAnsi"/>
        </w:rPr>
        <w:t xml:space="preserve"> should help to better understand these processes.</w:t>
      </w:r>
    </w:p>
    <w:p w14:paraId="45EB7F75" w14:textId="29644453" w:rsidR="000B3830" w:rsidRDefault="00583A16" w:rsidP="000B3830">
      <w:pPr>
        <w:rPr>
          <w:rFonts w:cstheme="minorHAnsi"/>
        </w:rPr>
      </w:pPr>
      <w:r>
        <w:rPr>
          <w:rFonts w:cstheme="minorHAnsi"/>
        </w:rPr>
        <w:t xml:space="preserve">Below Lock 1, the </w:t>
      </w:r>
      <w:r w:rsidR="00523360">
        <w:rPr>
          <w:rFonts w:cstheme="minorHAnsi"/>
        </w:rPr>
        <w:t xml:space="preserve">observed </w:t>
      </w:r>
      <w:r>
        <w:rPr>
          <w:rFonts w:cstheme="minorHAnsi"/>
        </w:rPr>
        <w:t>cycles of enhanced metabolism were the result of biofouling of the oxygen sondes, despite precautions to avoid this problem. Further adjustments are being made to the probes to overcome this issue.</w:t>
      </w:r>
      <w:r w:rsidR="004749E4">
        <w:rPr>
          <w:rFonts w:cstheme="minorHAnsi"/>
        </w:rPr>
        <w:t xml:space="preserve"> </w:t>
      </w:r>
    </w:p>
    <w:p w14:paraId="164A830A" w14:textId="77777777" w:rsidR="003340E2" w:rsidRPr="0095207C" w:rsidRDefault="003340E2" w:rsidP="00BE7399">
      <w:pPr>
        <w:pStyle w:val="Heading3"/>
      </w:pPr>
      <w:bookmarkStart w:id="135" w:name="_Toc474147066"/>
      <w:r w:rsidRPr="0095207C">
        <w:t>Matter Transport</w:t>
      </w:r>
      <w:bookmarkEnd w:id="134"/>
      <w:bookmarkEnd w:id="135"/>
    </w:p>
    <w:p w14:paraId="4391C5D6" w14:textId="3727A312" w:rsidR="00411682" w:rsidRPr="00A67C76" w:rsidRDefault="00615ED6" w:rsidP="00411682">
      <w:pPr>
        <w:rPr>
          <w:szCs w:val="24"/>
        </w:rPr>
      </w:pPr>
      <w:r>
        <w:t>The contributions of environmental water appear to have significantly increased the exchange of dissolved and particulate matter through the LMR to the Southern Ocean. G</w:t>
      </w:r>
      <w:r w:rsidRPr="00A67C76">
        <w:t>eneral recommendations about optimal use of environmental water for the transport of dissolved and particulate mat</w:t>
      </w:r>
      <w:r>
        <w:t>ter</w:t>
      </w:r>
      <w:r w:rsidRPr="00A67C76">
        <w:t xml:space="preserve"> </w:t>
      </w:r>
      <w:r>
        <w:t xml:space="preserve">in </w:t>
      </w:r>
      <w:r w:rsidRPr="00A67C76">
        <w:t xml:space="preserve">a hydrologically complex </w:t>
      </w:r>
      <w:r>
        <w:t xml:space="preserve">system, such as the </w:t>
      </w:r>
      <w:r w:rsidRPr="00A67C76">
        <w:t>L</w:t>
      </w:r>
      <w:r>
        <w:t>MR,</w:t>
      </w:r>
      <w:r w:rsidRPr="00A67C76">
        <w:t xml:space="preserve"> </w:t>
      </w:r>
      <w:r>
        <w:t>are di</w:t>
      </w:r>
      <w:r w:rsidRPr="00A67C76">
        <w:t xml:space="preserve">fficult to reach </w:t>
      </w:r>
      <w:r>
        <w:t>w</w:t>
      </w:r>
      <w:r w:rsidRPr="00A67C76">
        <w:t xml:space="preserve">ithout </w:t>
      </w:r>
      <w:r>
        <w:t>a broader assessment</w:t>
      </w:r>
      <w:r w:rsidRPr="00A67C76">
        <w:t xml:space="preserve">. </w:t>
      </w:r>
      <w:r>
        <w:t>B</w:t>
      </w:r>
      <w:r w:rsidRPr="00A67C76">
        <w:t>ased on insights provided by this study and previous studies</w:t>
      </w:r>
      <w:r w:rsidR="00FB4169">
        <w:t xml:space="preserve"> over the past 5 years</w:t>
      </w:r>
      <w:r w:rsidRPr="00A67C76">
        <w:t xml:space="preserve">, including Aldridge </w:t>
      </w:r>
      <w:r w:rsidRPr="00A67C76">
        <w:rPr>
          <w:i/>
        </w:rPr>
        <w:t>et al</w:t>
      </w:r>
      <w:r w:rsidRPr="00A67C76">
        <w:t>. (2013)</w:t>
      </w:r>
      <w:r>
        <w:t xml:space="preserve">, Ye </w:t>
      </w:r>
      <w:r w:rsidRPr="007854FE">
        <w:rPr>
          <w:i/>
        </w:rPr>
        <w:t>et al</w:t>
      </w:r>
      <w:r>
        <w:t xml:space="preserve">. (2015b) and Ye </w:t>
      </w:r>
      <w:r w:rsidRPr="007854FE">
        <w:rPr>
          <w:i/>
        </w:rPr>
        <w:t>et al</w:t>
      </w:r>
      <w:r>
        <w:t>. (2016</w:t>
      </w:r>
      <w:r w:rsidR="008F1A86">
        <w:t>a</w:t>
      </w:r>
      <w:r>
        <w:t xml:space="preserve">) </w:t>
      </w:r>
      <w:r w:rsidRPr="00A67C76">
        <w:t xml:space="preserve">the following points </w:t>
      </w:r>
      <w:r w:rsidRPr="00A67C76">
        <w:rPr>
          <w:szCs w:val="24"/>
        </w:rPr>
        <w:t>could be used to help guide future environmental water use</w:t>
      </w:r>
      <w:r w:rsidR="00411682" w:rsidRPr="00A67C76">
        <w:rPr>
          <w:szCs w:val="24"/>
        </w:rPr>
        <w:t>:</w:t>
      </w:r>
    </w:p>
    <w:p w14:paraId="592397CC" w14:textId="5F3ADE8E" w:rsidR="00615ED6" w:rsidRPr="00A67C76" w:rsidRDefault="00615ED6" w:rsidP="00615ED6">
      <w:pPr>
        <w:pStyle w:val="ListParagraph"/>
        <w:numPr>
          <w:ilvl w:val="0"/>
          <w:numId w:val="26"/>
        </w:numPr>
        <w:ind w:left="850" w:hanging="425"/>
      </w:pPr>
      <w:r>
        <w:t>Environmental flow delivery can reduce salinity concentrations in the Lower Murray Channel and Lower Lakes and</w:t>
      </w:r>
      <w:r w:rsidR="00387D9B">
        <w:t>,</w:t>
      </w:r>
      <w:r>
        <w:t xml:space="preserve"> in particular</w:t>
      </w:r>
      <w:r w:rsidR="00387D9B">
        <w:t>,</w:t>
      </w:r>
      <w:r>
        <w:t xml:space="preserve"> can</w:t>
      </w:r>
      <w:r w:rsidR="00387D9B">
        <w:t xml:space="preserve"> considerably</w:t>
      </w:r>
      <w:r>
        <w:t xml:space="preserve"> reduce  salinity concentr</w:t>
      </w:r>
      <w:r w:rsidRPr="00B24D0E">
        <w:t>ation</w:t>
      </w:r>
      <w:r>
        <w:t>s within the Murray Mouth and Northern Coorong;</w:t>
      </w:r>
      <w:r w:rsidRPr="00A67C76">
        <w:t xml:space="preserve"> </w:t>
      </w:r>
    </w:p>
    <w:p w14:paraId="48ECAEA2" w14:textId="523F2B4D" w:rsidR="005A4C65" w:rsidRDefault="005A4C65" w:rsidP="005A4C65">
      <w:pPr>
        <w:pStyle w:val="ListParagraph"/>
        <w:numPr>
          <w:ilvl w:val="0"/>
          <w:numId w:val="26"/>
        </w:numPr>
        <w:ind w:left="850" w:hanging="425"/>
      </w:pPr>
      <w:r w:rsidRPr="005A4C65">
        <w:t xml:space="preserve">Environmental flow deliveries appear to have capacity to only have a minor impact on nutrient and phytoplankton concentrations, although may have a greater impact during extended low flow periods when water levels in the </w:t>
      </w:r>
      <w:r w:rsidRPr="005A4C65">
        <w:lastRenderedPageBreak/>
        <w:t>LMR would otherwise fall with concentrations driven by internal processes, such as wind-driven resuspension</w:t>
      </w:r>
      <w:r>
        <w:t>;</w:t>
      </w:r>
    </w:p>
    <w:p w14:paraId="4EB95517" w14:textId="605E4C15" w:rsidR="00411682" w:rsidRDefault="00615ED6" w:rsidP="00615ED6">
      <w:pPr>
        <w:pStyle w:val="ListParagraph"/>
        <w:numPr>
          <w:ilvl w:val="0"/>
          <w:numId w:val="26"/>
        </w:numPr>
        <w:ind w:left="850" w:hanging="425"/>
      </w:pPr>
      <w:r>
        <w:t xml:space="preserve">Environmental flow deliveries during periods where there would otherwise be negligible water exchange between the Lower Lakes and Coorong, can provide for the exchange of matter between these two water-bodies that would otherwise not occur; </w:t>
      </w:r>
    </w:p>
    <w:p w14:paraId="37023297" w14:textId="0C0A7988" w:rsidR="00411682" w:rsidRPr="00A67C76" w:rsidRDefault="00411682" w:rsidP="00411682">
      <w:pPr>
        <w:pStyle w:val="ListParagraph"/>
        <w:numPr>
          <w:ilvl w:val="0"/>
          <w:numId w:val="26"/>
        </w:numPr>
        <w:ind w:left="850" w:hanging="425"/>
      </w:pPr>
      <w:r>
        <w:t>E</w:t>
      </w:r>
      <w:r w:rsidRPr="00A67C76">
        <w:t xml:space="preserve">nvironmental water use that results in floodplain inundation will likely result in increased nutrient concentrations (mobilisation) and export. This may be achieved by moderate-large floods (e.g. &gt;40,000 </w:t>
      </w:r>
      <w:r>
        <w:t>ML day</w:t>
      </w:r>
      <w:r w:rsidRPr="00A67C76">
        <w:rPr>
          <w:vertAlign w:val="superscript"/>
        </w:rPr>
        <w:t>-1</w:t>
      </w:r>
      <w:r w:rsidRPr="00A67C76">
        <w:t>) that inundate previously dry floodplain and wetland habitats</w:t>
      </w:r>
      <w:r w:rsidR="00121456">
        <w:t xml:space="preserve">. This may also partially be achieved </w:t>
      </w:r>
      <w:r>
        <w:t xml:space="preserve">through </w:t>
      </w:r>
      <w:r w:rsidR="00C82658">
        <w:t>weir pool manipulation</w:t>
      </w:r>
      <w:r>
        <w:t xml:space="preserve"> and </w:t>
      </w:r>
      <w:r w:rsidR="00121456">
        <w:t xml:space="preserve">the </w:t>
      </w:r>
      <w:r>
        <w:t>operation of floodplain infrastructure</w:t>
      </w:r>
      <w:r w:rsidR="00121456">
        <w:t>, although large areas of inundation and appropriate water exchange would be required to result in significant downstream ecological benefits</w:t>
      </w:r>
      <w:r w:rsidRPr="00A67C76">
        <w:t xml:space="preserve">; </w:t>
      </w:r>
    </w:p>
    <w:p w14:paraId="6A5B9F86" w14:textId="77777777" w:rsidR="00411682" w:rsidRPr="00A67C76" w:rsidRDefault="00411682" w:rsidP="00411682">
      <w:pPr>
        <w:pStyle w:val="ListParagraph"/>
        <w:numPr>
          <w:ilvl w:val="0"/>
          <w:numId w:val="26"/>
        </w:numPr>
        <w:ind w:left="850" w:hanging="425"/>
      </w:pPr>
      <w:r>
        <w:t>E</w:t>
      </w:r>
      <w:r w:rsidR="00A82E80">
        <w:t>nvironmental water delivery</w:t>
      </w:r>
      <w:r w:rsidRPr="00A67C76">
        <w:t xml:space="preserve"> during low to moderate flow periods (e.g. 10,000</w:t>
      </w:r>
      <w:r w:rsidR="00992289">
        <w:t>–</w:t>
      </w:r>
      <w:r w:rsidRPr="00A67C76">
        <w:t xml:space="preserve">40,000 </w:t>
      </w:r>
      <w:r>
        <w:t>ML day</w:t>
      </w:r>
      <w:r w:rsidRPr="00A67C76">
        <w:rPr>
          <w:vertAlign w:val="superscript"/>
        </w:rPr>
        <w:t>-1</w:t>
      </w:r>
      <w:r w:rsidRPr="00A67C76">
        <w:t xml:space="preserve">) will increase the transport and export of dissolved and particulate </w:t>
      </w:r>
      <w:r>
        <w:t>matter and can reduce the import of material from the Southern Ocean</w:t>
      </w:r>
      <w:r w:rsidRPr="00A67C76">
        <w:t>;</w:t>
      </w:r>
    </w:p>
    <w:p w14:paraId="5803BB42" w14:textId="77777777" w:rsidR="00411682" w:rsidRPr="00A67C76" w:rsidRDefault="00411682" w:rsidP="00411682">
      <w:pPr>
        <w:pStyle w:val="ListParagraph"/>
        <w:numPr>
          <w:ilvl w:val="0"/>
          <w:numId w:val="26"/>
        </w:numPr>
        <w:ind w:left="850" w:hanging="425"/>
      </w:pPr>
      <w:r>
        <w:t>M</w:t>
      </w:r>
      <w:r w:rsidRPr="00A67C76">
        <w:t xml:space="preserve">aximum exports of dissolved and particulate </w:t>
      </w:r>
      <w:r>
        <w:t>matter</w:t>
      </w:r>
      <w:r w:rsidRPr="00A67C76">
        <w:t xml:space="preserve"> from the Murray Mouth are likely to be achieved by delivering environmental water during periods of low oceanic water levels (</w:t>
      </w:r>
      <w:r>
        <w:t xml:space="preserve">e.g. </w:t>
      </w:r>
      <w:r w:rsidRPr="00A67C76">
        <w:t xml:space="preserve">summer). However, this may reduce water availability at other times, increasing the import of </w:t>
      </w:r>
      <w:r>
        <w:t>matter</w:t>
      </w:r>
      <w:r w:rsidRPr="00A67C76">
        <w:t xml:space="preserve"> from the Southern Ocean during those times. In contrast, delivery of environmental water to the </w:t>
      </w:r>
      <w:r>
        <w:t>Murray River Channel</w:t>
      </w:r>
      <w:r w:rsidRPr="00A67C76">
        <w:t xml:space="preserve"> at times of high oceanic water levels is likely to increase the exchange of water and associated nutrients and salt through the Coorong, rather than predom</w:t>
      </w:r>
      <w:r>
        <w:t>inately through the Murray Mouth. This may decrease salinities and increase productivity within the Coorong more than what would occur if water is delivered at times of low oceanic water levels</w:t>
      </w:r>
      <w:r w:rsidRPr="00A67C76">
        <w:t xml:space="preserve">; </w:t>
      </w:r>
    </w:p>
    <w:p w14:paraId="48656549" w14:textId="77777777" w:rsidR="00C82658" w:rsidRPr="00075502" w:rsidRDefault="00C82658" w:rsidP="00C82658">
      <w:pPr>
        <w:pStyle w:val="ListParagraph"/>
        <w:numPr>
          <w:ilvl w:val="0"/>
          <w:numId w:val="26"/>
        </w:numPr>
        <w:ind w:left="850" w:hanging="425"/>
      </w:pPr>
      <w:r>
        <w:t>Fl</w:t>
      </w:r>
      <w:r w:rsidRPr="00A67C76">
        <w:t xml:space="preserve">ows during winter may result in limited assimilation of nutrients by biota (slower growth rates), whilst deliveries during </w:t>
      </w:r>
      <w:r>
        <w:t xml:space="preserve">late </w:t>
      </w:r>
      <w:r w:rsidRPr="00A67C76">
        <w:t xml:space="preserve">summer could increase the risk of blackwater events and cyanobacterial blooms, depending on hydrological conditions. Flows during </w:t>
      </w:r>
      <w:r>
        <w:t xml:space="preserve">late winter to early summer </w:t>
      </w:r>
      <w:r w:rsidRPr="00A67C76">
        <w:t xml:space="preserve">are likely to </w:t>
      </w:r>
      <w:r w:rsidRPr="00A67C76">
        <w:lastRenderedPageBreak/>
        <w:t>minimise these risks, but also maximise the benefits of nutrient inputs (e.g. stimulate productivi</w:t>
      </w:r>
      <w:r>
        <w:t xml:space="preserve">ty to support </w:t>
      </w:r>
      <w:r>
        <w:rPr>
          <w:szCs w:val="22"/>
        </w:rPr>
        <w:t>microinvertebrate</w:t>
      </w:r>
      <w:r>
        <w:t xml:space="preserve"> and larval fish survival).</w:t>
      </w:r>
    </w:p>
    <w:p w14:paraId="35C6E516" w14:textId="77777777" w:rsidR="003340E2" w:rsidRPr="00493CAC" w:rsidRDefault="00F94EE1" w:rsidP="00412553">
      <w:pPr>
        <w:pStyle w:val="Heading3"/>
      </w:pPr>
      <w:bookmarkStart w:id="136" w:name="_Toc441838742"/>
      <w:bookmarkStart w:id="137" w:name="_Toc474147067"/>
      <w:r w:rsidRPr="00493CAC">
        <w:t>Microinvertebrates</w:t>
      </w:r>
      <w:bookmarkEnd w:id="136"/>
      <w:bookmarkEnd w:id="137"/>
    </w:p>
    <w:p w14:paraId="318CE4EA" w14:textId="77777777" w:rsidR="00B72120" w:rsidRPr="00132BC5" w:rsidRDefault="00B72120" w:rsidP="00B72120">
      <w:r w:rsidRPr="00132BC5">
        <w:t xml:space="preserve">Environmental water delivery through floodplains translocates entrained microinvertebrates from upstream main channel assemblages. Environmental water stimulates microinvertebrate productivity from propagules deposited into floodplain sediments, which has been demonstrated for Chowilla (Furst </w:t>
      </w:r>
      <w:r w:rsidRPr="00132BC5">
        <w:rPr>
          <w:i/>
        </w:rPr>
        <w:t xml:space="preserve">et al. </w:t>
      </w:r>
      <w:r w:rsidRPr="00132BC5">
        <w:t xml:space="preserve">2014) and Barmah–Millewa (Gigney </w:t>
      </w:r>
      <w:r w:rsidRPr="00132BC5">
        <w:rPr>
          <w:i/>
        </w:rPr>
        <w:t xml:space="preserve">et al. </w:t>
      </w:r>
      <w:r w:rsidRPr="00132BC5">
        <w:t>2006). High population densities can develop in relatively short timeframes as a result of the rapid life cycles of the component organisms; hours to days for the protists and rotifers, days to weeks for the microcrustaceans. Drawdown post-watering returns the reconstituted assemblage to downstream food webs.</w:t>
      </w:r>
    </w:p>
    <w:p w14:paraId="29A9F965" w14:textId="73E0A441" w:rsidR="00493CAC" w:rsidRDefault="00B72120" w:rsidP="00493CAC">
      <w:r w:rsidRPr="00132BC5">
        <w:t>In years of low flows, where extensive floodplain watering is precluded, WPR can achieve similar cueing of propagule emergence along flooded weir pool margins and shallow backwaters. In areas with reduced flow, a planktonic microinvertebrate assemblage can develop, with newly wetted margins providing fresh resources. To what extent will be influenced by the retention time. WPR and the Chowilla Anabranch in-channel rise during 2015/16, both supported by Commonwealth environmental water, likely contributed to the return of a similar number of taxa, at comparable density and diversity, to those recorded during the Chowilla</w:t>
      </w:r>
      <w:r w:rsidR="00B52FFE">
        <w:t xml:space="preserve"> F</w:t>
      </w:r>
      <w:r w:rsidRPr="00132BC5">
        <w:t>loodplain inundation event in 2014/15, which used The Living Murray environmental water and was supported by Commonwealth environmental water. Differences in constituent organisms can be attributed to different sources of environmental water during 2015/16.</w:t>
      </w:r>
    </w:p>
    <w:p w14:paraId="4078F2F9" w14:textId="77777777" w:rsidR="00BE7399" w:rsidRPr="003340E2" w:rsidRDefault="00BE7399" w:rsidP="00E7296F">
      <w:pPr>
        <w:pStyle w:val="Heading3"/>
      </w:pPr>
      <w:bookmarkStart w:id="138" w:name="_Toc441838743"/>
      <w:bookmarkStart w:id="139" w:name="_Toc474147068"/>
      <w:r w:rsidRPr="00412553">
        <w:t>Fish Spawning and Recruitment</w:t>
      </w:r>
      <w:bookmarkEnd w:id="138"/>
      <w:bookmarkEnd w:id="139"/>
    </w:p>
    <w:p w14:paraId="7B0E024F" w14:textId="7FD3EE7C" w:rsidR="00D271D9" w:rsidRDefault="00342A82" w:rsidP="00F70A70">
      <w:r w:rsidRPr="00640D75">
        <w:t xml:space="preserve">The flow regime of the lower River Murray is highly modified, with in-channel freshes conspicuously absent (Maheshwari </w:t>
      </w:r>
      <w:r w:rsidRPr="00640D75">
        <w:rPr>
          <w:i/>
        </w:rPr>
        <w:t xml:space="preserve">et al. </w:t>
      </w:r>
      <w:r w:rsidRPr="00640D75">
        <w:t>1995; Zampatti and Leigh 201</w:t>
      </w:r>
      <w:r>
        <w:t>3a). In spring</w:t>
      </w:r>
      <w:r w:rsidR="00F70A70">
        <w:t>–</w:t>
      </w:r>
      <w:r>
        <w:t>early summer 2015/16</w:t>
      </w:r>
      <w:r w:rsidRPr="00640D75">
        <w:t>, freshes present in the mid-Murray River were regulated out of the flow regime of the lower River Murray</w:t>
      </w:r>
      <w:r>
        <w:t xml:space="preserve"> (</w:t>
      </w:r>
      <w:r w:rsidR="00285FFE">
        <w:fldChar w:fldCharType="begin"/>
      </w:r>
      <w:r w:rsidR="00285FFE">
        <w:instrText xml:space="preserve"> REF _Ref473103996 \h </w:instrText>
      </w:r>
      <w:r w:rsidR="00285FFE">
        <w:fldChar w:fldCharType="separate"/>
      </w:r>
      <w:r w:rsidR="004260C4" w:rsidRPr="005574C9">
        <w:t xml:space="preserve">Figure </w:t>
      </w:r>
      <w:r w:rsidR="004260C4">
        <w:rPr>
          <w:noProof/>
        </w:rPr>
        <w:t>16</w:t>
      </w:r>
      <w:r w:rsidR="00285FFE">
        <w:fldChar w:fldCharType="end"/>
      </w:r>
      <w:r>
        <w:t>)</w:t>
      </w:r>
      <w:r w:rsidRPr="00640D75">
        <w:t xml:space="preserve">. </w:t>
      </w:r>
      <w:r>
        <w:t>Considering a contemporary understanding of the flow-related ecology of golden and silver perch in the southern MDB, t</w:t>
      </w:r>
      <w:r w:rsidRPr="00640D75">
        <w:t>his tempering of the flow regime</w:t>
      </w:r>
      <w:r w:rsidRPr="00C33117">
        <w:t>, and an absence of flow in the Darling River,</w:t>
      </w:r>
      <w:r w:rsidRPr="00640D75">
        <w:t xml:space="preserve"> potentially </w:t>
      </w:r>
      <w:r>
        <w:t>diminished</w:t>
      </w:r>
      <w:r w:rsidRPr="00640D75">
        <w:t xml:space="preserve"> spawning and recruitment of golden perch </w:t>
      </w:r>
      <w:r>
        <w:t xml:space="preserve">and silver perch </w:t>
      </w:r>
      <w:r w:rsidRPr="00640D75">
        <w:t xml:space="preserve">in </w:t>
      </w:r>
      <w:r w:rsidRPr="00640D75">
        <w:lastRenderedPageBreak/>
        <w:t>the lower River Murray, including the LMR Selected Area</w:t>
      </w:r>
      <w:r>
        <w:t>. At the same time, however, these actions</w:t>
      </w:r>
      <w:r w:rsidRPr="00640D75">
        <w:t xml:space="preserve"> promot</w:t>
      </w:r>
      <w:r>
        <w:t>ed hydrological conditions conducive to</w:t>
      </w:r>
      <w:r w:rsidRPr="00640D75">
        <w:t xml:space="preserve"> the spawning and recruitment of goldfish and common carp. </w:t>
      </w:r>
      <w:r w:rsidRPr="00640D75">
        <w:rPr>
          <w:bCs/>
        </w:rPr>
        <w:t>Disadvantaging native fishes whilst encouraging invasive species is a pervasive symptom of river regulation. Consequently, in the LMR Selected Area, supporting positive outcomes for native fishes</w:t>
      </w:r>
      <w:r>
        <w:rPr>
          <w:bCs/>
        </w:rPr>
        <w:t xml:space="preserve"> reliant on lotic habitats and/or flow-mediated spawning,</w:t>
      </w:r>
      <w:r w:rsidRPr="00640D75">
        <w:rPr>
          <w:bCs/>
        </w:rPr>
        <w:t xml:space="preserve"> through the delivery of </w:t>
      </w:r>
      <w:r w:rsidRPr="005574C9">
        <w:rPr>
          <w:bCs/>
        </w:rPr>
        <w:t>Commonwealth environmental water, will require consideration of maintaining the longitudinal integrity of flow regimes in the Murray River.</w:t>
      </w:r>
      <w:r w:rsidR="00F70A70" w:rsidRPr="005574C9">
        <w:rPr>
          <w:bCs/>
        </w:rPr>
        <w:t xml:space="preserve"> </w:t>
      </w:r>
      <w:r w:rsidR="00E07420" w:rsidRPr="00E07420">
        <w:t>To restore these hydrological features</w:t>
      </w:r>
      <w:r w:rsidR="00E07420">
        <w:t xml:space="preserve"> (i.e. spring–early summer flow pulses)</w:t>
      </w:r>
      <w:r w:rsidR="00E07420" w:rsidRPr="00E07420">
        <w:t>, a given volume of Commonwealth environmental water may need to be delivered at a higher magnitude over a short duration (weeks) rather than low magnitude delivery over a long duration (months).</w:t>
      </w:r>
      <w:r w:rsidR="00D271D9">
        <w:br w:type="page"/>
      </w:r>
    </w:p>
    <w:p w14:paraId="637B9851" w14:textId="77777777" w:rsidR="00702694" w:rsidRPr="00702694" w:rsidRDefault="00702694" w:rsidP="00702694">
      <w:pPr>
        <w:keepNext/>
        <w:keepLines/>
        <w:numPr>
          <w:ilvl w:val="0"/>
          <w:numId w:val="4"/>
        </w:numPr>
        <w:spacing w:after="240"/>
        <w:outlineLvl w:val="0"/>
        <w:rPr>
          <w:rFonts w:eastAsiaTheme="majorEastAsia" w:cstheme="majorBidi"/>
          <w:b/>
          <w:bCs/>
          <w:caps/>
          <w:color w:val="1F497D" w:themeColor="text2"/>
          <w:sz w:val="32"/>
          <w:szCs w:val="28"/>
        </w:rPr>
      </w:pPr>
      <w:bookmarkStart w:id="140" w:name="_Toc441838744"/>
      <w:bookmarkStart w:id="141" w:name="_Toc474147069"/>
      <w:r w:rsidRPr="00702694">
        <w:rPr>
          <w:rFonts w:eastAsiaTheme="majorEastAsia" w:cstheme="majorBidi"/>
          <w:b/>
          <w:bCs/>
          <w:caps/>
          <w:color w:val="1F497D" w:themeColor="text2"/>
          <w:sz w:val="32"/>
          <w:szCs w:val="28"/>
        </w:rPr>
        <w:lastRenderedPageBreak/>
        <w:t>Conclusion</w:t>
      </w:r>
      <w:bookmarkEnd w:id="140"/>
      <w:bookmarkEnd w:id="141"/>
    </w:p>
    <w:p w14:paraId="178F52F0" w14:textId="3D4B7537" w:rsidR="00702694" w:rsidRPr="00F85E97" w:rsidRDefault="00991550" w:rsidP="00702694">
      <w:pPr>
        <w:rPr>
          <w:rFonts w:cs="Arial"/>
        </w:rPr>
      </w:pPr>
      <w:r w:rsidRPr="00D931A1">
        <w:t>2015/16 was a dry year</w:t>
      </w:r>
      <w:r>
        <w:t xml:space="preserve"> (&lt;12,000 ML day</w:t>
      </w:r>
      <w:r w:rsidRPr="00C72D68">
        <w:rPr>
          <w:vertAlign w:val="superscript"/>
        </w:rPr>
        <w:t>-1</w:t>
      </w:r>
      <w:r>
        <w:rPr>
          <w:rFonts w:eastAsiaTheme="majorEastAsia"/>
        </w:rPr>
        <w:t xml:space="preserve">) with no unregulated flow whilst full </w:t>
      </w:r>
      <w:r w:rsidR="005106B5">
        <w:rPr>
          <w:rFonts w:eastAsiaTheme="majorEastAsia"/>
        </w:rPr>
        <w:t>South Australian</w:t>
      </w:r>
      <w:r w:rsidR="00523360">
        <w:rPr>
          <w:rFonts w:eastAsiaTheme="majorEastAsia"/>
        </w:rPr>
        <w:t xml:space="preserve"> </w:t>
      </w:r>
      <w:r>
        <w:rPr>
          <w:rFonts w:eastAsiaTheme="majorEastAsia"/>
        </w:rPr>
        <w:t xml:space="preserve">entitlement flow was </w:t>
      </w:r>
      <w:r w:rsidR="006E5C96">
        <w:rPr>
          <w:rFonts w:eastAsiaTheme="majorEastAsia"/>
        </w:rPr>
        <w:t xml:space="preserve">provided </w:t>
      </w:r>
      <w:r>
        <w:rPr>
          <w:rFonts w:eastAsiaTheme="majorEastAsia"/>
        </w:rPr>
        <w:t xml:space="preserve">to </w:t>
      </w:r>
      <w:r w:rsidR="006E5C96">
        <w:rPr>
          <w:rFonts w:eastAsiaTheme="majorEastAsia"/>
        </w:rPr>
        <w:t xml:space="preserve">the LMR. During this year, </w:t>
      </w:r>
      <w:r w:rsidR="00CF7854" w:rsidRPr="00F85E97">
        <w:rPr>
          <w:rFonts w:eastAsiaTheme="majorEastAsia"/>
        </w:rPr>
        <w:t xml:space="preserve">the delivery of </w:t>
      </w:r>
      <w:r w:rsidR="00702694" w:rsidRPr="00F85E97">
        <w:rPr>
          <w:rFonts w:eastAsiaTheme="majorEastAsia"/>
        </w:rPr>
        <w:t>Commonwealth environmental water (</w:t>
      </w:r>
      <w:r w:rsidR="00702694" w:rsidRPr="00F85E97">
        <w:t>~81</w:t>
      </w:r>
      <w:r w:rsidR="007238C1">
        <w:t>4</w:t>
      </w:r>
      <w:r w:rsidR="00702694" w:rsidRPr="00F85E97">
        <w:t> GL)</w:t>
      </w:r>
      <w:r w:rsidR="00123807">
        <w:t xml:space="preserve"> to th</w:t>
      </w:r>
      <w:r w:rsidR="006E5C96">
        <w:t xml:space="preserve">is </w:t>
      </w:r>
      <w:r w:rsidR="00123807">
        <w:t>Selected Area</w:t>
      </w:r>
      <w:r w:rsidR="00702694" w:rsidRPr="00F85E97">
        <w:t xml:space="preserve">, in conjunction with other environmental water, </w:t>
      </w:r>
      <w:r w:rsidR="00CF7854" w:rsidRPr="00F85E97">
        <w:t>helped</w:t>
      </w:r>
      <w:r w:rsidR="001232E8" w:rsidRPr="00F85E97">
        <w:t xml:space="preserve"> to</w:t>
      </w:r>
      <w:r w:rsidR="00CF7854" w:rsidRPr="00F85E97">
        <w:t xml:space="preserve"> maintain river flow at </w:t>
      </w:r>
      <w:r w:rsidR="007238C1" w:rsidRPr="00C429DF">
        <w:t>9,600–11,700</w:t>
      </w:r>
      <w:r w:rsidR="007238C1">
        <w:t> </w:t>
      </w:r>
      <w:r w:rsidR="007238C1" w:rsidRPr="004354C1">
        <w:t>ML</w:t>
      </w:r>
      <w:r w:rsidR="007238C1">
        <w:t> </w:t>
      </w:r>
      <w:r w:rsidR="007238C1" w:rsidRPr="004354C1">
        <w:t>day</w:t>
      </w:r>
      <w:r w:rsidR="00465F87">
        <w:rPr>
          <w:vertAlign w:val="superscript"/>
        </w:rPr>
        <w:noBreakHyphen/>
      </w:r>
      <w:r w:rsidR="007238C1" w:rsidRPr="004354C1">
        <w:rPr>
          <w:vertAlign w:val="superscript"/>
        </w:rPr>
        <w:t>1</w:t>
      </w:r>
      <w:r w:rsidR="007238C1" w:rsidRPr="004354C1">
        <w:t xml:space="preserve"> </w:t>
      </w:r>
      <w:r w:rsidR="00CF7854" w:rsidRPr="00F85E97">
        <w:t>d</w:t>
      </w:r>
      <w:r w:rsidR="00702694" w:rsidRPr="00F85E97">
        <w:t>uring spring</w:t>
      </w:r>
      <w:r w:rsidR="007238C1" w:rsidRPr="007238C1">
        <w:t xml:space="preserve"> </w:t>
      </w:r>
      <w:r w:rsidR="007238C1">
        <w:t>and ~9,800 ML day</w:t>
      </w:r>
      <w:r w:rsidR="007238C1" w:rsidRPr="00D345F6">
        <w:rPr>
          <w:vertAlign w:val="superscript"/>
        </w:rPr>
        <w:t>-1</w:t>
      </w:r>
      <w:r w:rsidR="007238C1">
        <w:t xml:space="preserve"> in late </w:t>
      </w:r>
      <w:r w:rsidR="00702694" w:rsidRPr="00F85E97">
        <w:t>summer</w:t>
      </w:r>
      <w:r w:rsidR="00123807">
        <w:t>, and supported WPR in Weir Pools 2 and 5</w:t>
      </w:r>
      <w:r w:rsidR="00702694" w:rsidRPr="00F85E97">
        <w:t xml:space="preserve">. </w:t>
      </w:r>
      <w:r w:rsidR="000E3347">
        <w:t>Environmental watering</w:t>
      </w:r>
      <w:r w:rsidR="00702694" w:rsidRPr="00F85E97">
        <w:t xml:space="preserve"> led to </w:t>
      </w:r>
      <w:r w:rsidR="00123807">
        <w:t>a range of ecological outcomes including</w:t>
      </w:r>
      <w:r w:rsidR="000E3347">
        <w:t>:</w:t>
      </w:r>
      <w:r w:rsidR="00123807">
        <w:t xml:space="preserve"> </w:t>
      </w:r>
      <w:r w:rsidR="00702694" w:rsidRPr="00F85E97">
        <w:t>increase</w:t>
      </w:r>
      <w:r w:rsidR="00123807">
        <w:t>d</w:t>
      </w:r>
      <w:r w:rsidR="00702694" w:rsidRPr="00F85E97">
        <w:rPr>
          <w:rFonts w:eastAsiaTheme="majorEastAsia"/>
        </w:rPr>
        <w:t xml:space="preserve"> hydraulic diversity (velocity and water levels) </w:t>
      </w:r>
      <w:r w:rsidR="00835993" w:rsidRPr="00F85E97">
        <w:rPr>
          <w:rFonts w:eastAsiaTheme="majorEastAsia"/>
        </w:rPr>
        <w:t>in the river channel</w:t>
      </w:r>
      <w:r w:rsidR="00123807">
        <w:rPr>
          <w:rFonts w:eastAsiaTheme="majorEastAsia"/>
        </w:rPr>
        <w:t xml:space="preserve"> (weir pools)</w:t>
      </w:r>
      <w:r w:rsidR="00835993" w:rsidRPr="00F85E97">
        <w:rPr>
          <w:rFonts w:eastAsiaTheme="majorEastAsia"/>
        </w:rPr>
        <w:t>; i</w:t>
      </w:r>
      <w:r w:rsidR="00835993" w:rsidRPr="00F85E97">
        <w:t xml:space="preserve">ntermittent increases in </w:t>
      </w:r>
      <w:r w:rsidR="000A4919" w:rsidRPr="00F85E97">
        <w:t xml:space="preserve">the supplies of organic materials that are </w:t>
      </w:r>
      <w:r w:rsidR="00702694" w:rsidRPr="00F85E97">
        <w:t>critical</w:t>
      </w:r>
      <w:r w:rsidR="000A4919" w:rsidRPr="00F85E97">
        <w:t xml:space="preserve"> food resources</w:t>
      </w:r>
      <w:r w:rsidR="00702694" w:rsidRPr="00F85E97">
        <w:t xml:space="preserve"> to riverine food webs; increased transport of nutrients and phytoplankton, likely stimulating primary productivity in downstream ecosystems; increased microinvertebrate diversity and abundance; reduced salinity concentrations in the Murray Mouth and increased export and reduced import of salt. N</w:t>
      </w:r>
      <w:r w:rsidR="00702694" w:rsidRPr="00F85E97">
        <w:rPr>
          <w:rFonts w:cs="Arial"/>
        </w:rPr>
        <w:t xml:space="preserve">evertheless, </w:t>
      </w:r>
      <w:r w:rsidR="000E3347">
        <w:rPr>
          <w:rFonts w:cs="Arial"/>
        </w:rPr>
        <w:t xml:space="preserve">the </w:t>
      </w:r>
      <w:r w:rsidR="009E2949">
        <w:rPr>
          <w:rFonts w:cs="Arial"/>
        </w:rPr>
        <w:t xml:space="preserve">flow regime in this dry year (2015/16), despite </w:t>
      </w:r>
      <w:r w:rsidR="00702694" w:rsidRPr="00F85E97">
        <w:rPr>
          <w:rFonts w:cs="Arial"/>
        </w:rPr>
        <w:t>environmental wate</w:t>
      </w:r>
      <w:r w:rsidR="00401F73" w:rsidRPr="00F85E97">
        <w:rPr>
          <w:rFonts w:cs="Arial"/>
        </w:rPr>
        <w:t>r</w:t>
      </w:r>
      <w:r w:rsidR="00702694" w:rsidRPr="00F85E97">
        <w:rPr>
          <w:rFonts w:cs="Arial"/>
        </w:rPr>
        <w:t xml:space="preserve"> </w:t>
      </w:r>
      <w:r w:rsidR="00FA6660" w:rsidRPr="00F85E97">
        <w:rPr>
          <w:rFonts w:cs="Arial"/>
        </w:rPr>
        <w:t>delivery</w:t>
      </w:r>
      <w:r w:rsidR="009E2949">
        <w:rPr>
          <w:rFonts w:cs="Arial"/>
        </w:rPr>
        <w:t>, did not</w:t>
      </w:r>
      <w:r w:rsidR="00702694" w:rsidRPr="00F85E97">
        <w:rPr>
          <w:rFonts w:cs="Arial"/>
        </w:rPr>
        <w:t xml:space="preserve"> </w:t>
      </w:r>
      <w:r w:rsidR="009E2949">
        <w:rPr>
          <w:rFonts w:cs="Arial"/>
        </w:rPr>
        <w:t xml:space="preserve">result in successful </w:t>
      </w:r>
      <w:r w:rsidR="00702694" w:rsidRPr="00F85E97">
        <w:rPr>
          <w:rFonts w:cs="Arial"/>
        </w:rPr>
        <w:t>spawning and recruitment (to age 0+)</w:t>
      </w:r>
      <w:r w:rsidR="009E2949">
        <w:rPr>
          <w:rFonts w:cs="Arial"/>
        </w:rPr>
        <w:t xml:space="preserve"> of golden perch and silver perch</w:t>
      </w:r>
      <w:r w:rsidR="00702694" w:rsidRPr="00F85E97">
        <w:rPr>
          <w:rFonts w:cs="Arial"/>
        </w:rPr>
        <w:t xml:space="preserve"> in the LMR. This outcome concurs with contemporary flow-related ecological models for </w:t>
      </w:r>
      <w:r w:rsidR="009E2949">
        <w:rPr>
          <w:rFonts w:cs="Arial"/>
        </w:rPr>
        <w:t>these flow-dependent species</w:t>
      </w:r>
      <w:r w:rsidR="00702694" w:rsidRPr="00F85E97">
        <w:rPr>
          <w:rFonts w:cs="Arial"/>
        </w:rPr>
        <w:t xml:space="preserve">.  </w:t>
      </w:r>
    </w:p>
    <w:p w14:paraId="3240608C" w14:textId="73A6D745" w:rsidR="00693D69" w:rsidRDefault="0087158F" w:rsidP="00702694">
      <w:pPr>
        <w:rPr>
          <w:bCs/>
        </w:rPr>
      </w:pPr>
      <w:r w:rsidRPr="00F85E97">
        <w:t>The LMR</w:t>
      </w:r>
      <w:r w:rsidR="00702694" w:rsidRPr="00F85E97">
        <w:t xml:space="preserve"> is heavily regulated with substantially </w:t>
      </w:r>
      <w:r w:rsidR="004A6062" w:rsidRPr="00F85E97">
        <w:t>altered hydrology</w:t>
      </w:r>
      <w:r w:rsidR="009E2949">
        <w:t xml:space="preserve"> and hydrodynamics</w:t>
      </w:r>
      <w:r w:rsidR="004A6062" w:rsidRPr="00F85E97">
        <w:t xml:space="preserve"> compared to </w:t>
      </w:r>
      <w:r w:rsidR="006719C6">
        <w:t xml:space="preserve">the </w:t>
      </w:r>
      <w:r w:rsidR="004A6062" w:rsidRPr="00F85E97">
        <w:t>historical natural flow regime.</w:t>
      </w:r>
      <w:r w:rsidR="00702694" w:rsidRPr="00F85E97">
        <w:t xml:space="preserve"> E</w:t>
      </w:r>
      <w:r w:rsidR="00702694" w:rsidRPr="00F85E97">
        <w:rPr>
          <w:bCs/>
        </w:rPr>
        <w:t xml:space="preserve">nvironmental water delivery to </w:t>
      </w:r>
      <w:r w:rsidR="004A6062" w:rsidRPr="00F85E97">
        <w:rPr>
          <w:bCs/>
        </w:rPr>
        <w:t>improve</w:t>
      </w:r>
      <w:r w:rsidR="00702694" w:rsidRPr="00F85E97">
        <w:t xml:space="preserve"> hydraulic</w:t>
      </w:r>
      <w:r w:rsidR="004A6062" w:rsidRPr="00F85E97">
        <w:t xml:space="preserve"> and habitat</w:t>
      </w:r>
      <w:r w:rsidR="00702694" w:rsidRPr="00F85E97">
        <w:t xml:space="preserve"> diversity </w:t>
      </w:r>
      <w:r w:rsidR="004A6062" w:rsidRPr="00F85E97">
        <w:t>can</w:t>
      </w:r>
      <w:r w:rsidR="00702694" w:rsidRPr="00F85E97">
        <w:t xml:space="preserve"> </w:t>
      </w:r>
      <w:r w:rsidR="004A6062" w:rsidRPr="00F85E97">
        <w:t>provide</w:t>
      </w:r>
      <w:r w:rsidR="00702694" w:rsidRPr="00F85E97">
        <w:t xml:space="preserve"> benefit</w:t>
      </w:r>
      <w:r w:rsidR="004A6062" w:rsidRPr="00F85E97">
        <w:t>s for</w:t>
      </w:r>
      <w:r w:rsidR="00702694" w:rsidRPr="00F85E97">
        <w:t xml:space="preserve"> ecological</w:t>
      </w:r>
      <w:r w:rsidR="004A6062" w:rsidRPr="00F85E97">
        <w:t xml:space="preserve"> restoration in the LMR</w:t>
      </w:r>
      <w:r w:rsidR="00702694" w:rsidRPr="00F85E97">
        <w:t>.</w:t>
      </w:r>
      <w:r w:rsidR="009E4247">
        <w:t xml:space="preserve"> WP</w:t>
      </w:r>
      <w:r w:rsidR="00693D69">
        <w:t>M</w:t>
      </w:r>
      <w:r w:rsidR="009E4247">
        <w:t xml:space="preserve"> could be applied</w:t>
      </w:r>
      <w:r w:rsidR="00F653F5">
        <w:t xml:space="preserve"> as a complementary measure </w:t>
      </w:r>
      <w:r w:rsidR="009E4247">
        <w:t xml:space="preserve">to </w:t>
      </w:r>
      <w:r w:rsidR="00693D69">
        <w:t xml:space="preserve">flows to </w:t>
      </w:r>
      <w:r w:rsidR="009E4247">
        <w:t xml:space="preserve">enhance </w:t>
      </w:r>
      <w:r w:rsidR="00693D69">
        <w:t xml:space="preserve">ecological outcomes (e.g. enhancing </w:t>
      </w:r>
      <w:r w:rsidR="009E4247">
        <w:t>riverine productiv</w:t>
      </w:r>
      <w:r w:rsidR="006719C6">
        <w:t>ity</w:t>
      </w:r>
      <w:r w:rsidR="009E4247">
        <w:t xml:space="preserve"> </w:t>
      </w:r>
      <w:r w:rsidR="00F653F5">
        <w:t xml:space="preserve">by improving </w:t>
      </w:r>
      <w:r w:rsidR="009E4247">
        <w:t>lateral connectivity</w:t>
      </w:r>
      <w:r w:rsidR="00693D69">
        <w:t>)</w:t>
      </w:r>
      <w:r w:rsidR="009E4247">
        <w:t>.</w:t>
      </w:r>
      <w:r w:rsidR="00702694" w:rsidRPr="00F85E97">
        <w:t xml:space="preserve"> </w:t>
      </w:r>
      <w:r w:rsidR="00F653F5">
        <w:t xml:space="preserve">For environmental watering, </w:t>
      </w:r>
      <w:r w:rsidR="0014067D" w:rsidRPr="00F85E97">
        <w:t>t</w:t>
      </w:r>
      <w:r w:rsidR="0014067D">
        <w:t>h</w:t>
      </w:r>
      <w:r w:rsidR="0014067D" w:rsidRPr="00F85E97">
        <w:t>e</w:t>
      </w:r>
      <w:r w:rsidR="00702694" w:rsidRPr="00F85E97">
        <w:t xml:space="preserve"> timing of flow delivery </w:t>
      </w:r>
      <w:r w:rsidR="00B44EDF">
        <w:t xml:space="preserve">is important, which </w:t>
      </w:r>
      <w:r w:rsidR="00702694" w:rsidRPr="00F85E97">
        <w:t xml:space="preserve">should continue to align with ecological objectives and consider biological </w:t>
      </w:r>
      <w:r w:rsidR="00B44EDF">
        <w:t>process</w:t>
      </w:r>
      <w:r w:rsidR="00F653F5">
        <w:t>es</w:t>
      </w:r>
      <w:r w:rsidR="00B44EDF">
        <w:t xml:space="preserve"> and life history </w:t>
      </w:r>
      <w:r w:rsidR="00702694" w:rsidRPr="00F85E97">
        <w:t xml:space="preserve">requirements throughout the year, </w:t>
      </w:r>
      <w:r w:rsidR="00835993" w:rsidRPr="00F85E97">
        <w:t xml:space="preserve">particularly in spring and summer </w:t>
      </w:r>
      <w:r w:rsidR="00702694" w:rsidRPr="00F85E97">
        <w:t xml:space="preserve">(e.g. </w:t>
      </w:r>
      <w:r w:rsidR="00C859D6" w:rsidRPr="00F85E97">
        <w:t>reproductive season of flow-cued spawning species</w:t>
      </w:r>
      <w:r w:rsidR="00702694" w:rsidRPr="00F85E97">
        <w:t xml:space="preserve">). Environmental flows that promote both longitudinal and lateral connectivity </w:t>
      </w:r>
      <w:r w:rsidR="001A3BBB" w:rsidRPr="00F85E97">
        <w:t>(</w:t>
      </w:r>
      <w:r w:rsidR="001A3BBB">
        <w:t xml:space="preserve">despite </w:t>
      </w:r>
      <w:r w:rsidR="001A3BBB" w:rsidRPr="00F85E97">
        <w:t>operational limitations)</w:t>
      </w:r>
      <w:r w:rsidR="00702694" w:rsidRPr="00F85E97">
        <w:t xml:space="preserve"> will increase the productivity </w:t>
      </w:r>
      <w:r w:rsidR="0014067D">
        <w:t xml:space="preserve">in </w:t>
      </w:r>
      <w:r w:rsidR="00702694" w:rsidRPr="00F85E97">
        <w:t xml:space="preserve">the </w:t>
      </w:r>
      <w:r w:rsidR="0014067D">
        <w:t xml:space="preserve">riverine </w:t>
      </w:r>
      <w:r w:rsidR="00702694" w:rsidRPr="00F85E97">
        <w:t xml:space="preserve">ecosystem and facilitate the transport and dispersion of aquatic biota (e.g. microinvertebrates, fish larvae) to and </w:t>
      </w:r>
      <w:r w:rsidR="00C859D6" w:rsidRPr="00F85E97">
        <w:t>throughout</w:t>
      </w:r>
      <w:r w:rsidR="00702694" w:rsidRPr="00F85E97">
        <w:t xml:space="preserve"> the LMR. These c</w:t>
      </w:r>
      <w:r w:rsidR="00C859D6" w:rsidRPr="00F85E97">
        <w:t>an</w:t>
      </w:r>
      <w:r w:rsidR="00702694" w:rsidRPr="00F85E97">
        <w:t xml:space="preserve"> potential</w:t>
      </w:r>
      <w:r w:rsidR="00C859D6" w:rsidRPr="00F85E97">
        <w:t>ly</w:t>
      </w:r>
      <w:r w:rsidR="00702694" w:rsidRPr="00F85E97">
        <w:t xml:space="preserve"> increase species diversity and enhance recruitment. The </w:t>
      </w:r>
      <w:r w:rsidR="00693D69">
        <w:t xml:space="preserve">source of </w:t>
      </w:r>
      <w:r w:rsidR="000A5838">
        <w:t>water (i.e. origin)</w:t>
      </w:r>
      <w:r w:rsidR="00702694" w:rsidRPr="00F85E97">
        <w:t xml:space="preserve"> </w:t>
      </w:r>
      <w:r w:rsidR="00693D69">
        <w:t>should also be considered</w:t>
      </w:r>
      <w:r w:rsidR="00702694" w:rsidRPr="00F85E97">
        <w:t>, which can influence the ecological process</w:t>
      </w:r>
      <w:r w:rsidR="007A2AE2">
        <w:t>es</w:t>
      </w:r>
      <w:r w:rsidR="00702694" w:rsidRPr="00F85E97">
        <w:t xml:space="preserve"> and biological response. </w:t>
      </w:r>
      <w:r w:rsidR="0060438A">
        <w:t xml:space="preserve">Additionally, managing </w:t>
      </w:r>
      <w:r w:rsidR="0060438A">
        <w:lastRenderedPageBreak/>
        <w:t>e</w:t>
      </w:r>
      <w:r w:rsidR="0060438A" w:rsidRPr="0060438A">
        <w:rPr>
          <w:rFonts w:cs="Arial"/>
          <w:szCs w:val="22"/>
        </w:rPr>
        <w:t xml:space="preserve">nvironmental flow to </w:t>
      </w:r>
      <w:r w:rsidR="0060438A">
        <w:rPr>
          <w:rFonts w:cs="Arial"/>
          <w:szCs w:val="22"/>
        </w:rPr>
        <w:t xml:space="preserve">enhance </w:t>
      </w:r>
      <w:r w:rsidR="0060438A" w:rsidRPr="0060438A">
        <w:rPr>
          <w:rFonts w:cs="Arial"/>
          <w:szCs w:val="22"/>
        </w:rPr>
        <w:t xml:space="preserve">carbon and nutrient transport and primary productivity in the LMR </w:t>
      </w:r>
      <w:r w:rsidR="0060438A">
        <w:rPr>
          <w:rFonts w:cs="Arial"/>
          <w:szCs w:val="22"/>
        </w:rPr>
        <w:t xml:space="preserve">(e.g. </w:t>
      </w:r>
      <w:r w:rsidR="0060438A" w:rsidRPr="0060438A">
        <w:rPr>
          <w:rFonts w:cs="Arial"/>
          <w:szCs w:val="22"/>
        </w:rPr>
        <w:t>through coordinating water source and by river operations that increase floodplain connectivity</w:t>
      </w:r>
      <w:r w:rsidR="0060438A">
        <w:rPr>
          <w:rFonts w:cs="Arial"/>
          <w:szCs w:val="22"/>
        </w:rPr>
        <w:t>) should consider b</w:t>
      </w:r>
      <w:r w:rsidR="0060438A" w:rsidRPr="0060438A">
        <w:rPr>
          <w:rFonts w:cs="Arial"/>
          <w:szCs w:val="22"/>
        </w:rPr>
        <w:t>road</w:t>
      </w:r>
      <w:r w:rsidR="0060438A">
        <w:rPr>
          <w:rFonts w:cs="Arial"/>
          <w:szCs w:val="22"/>
        </w:rPr>
        <w:t>er water quality effects</w:t>
      </w:r>
      <w:r w:rsidR="0060438A" w:rsidRPr="0060438A">
        <w:rPr>
          <w:rFonts w:cs="Arial"/>
          <w:szCs w:val="22"/>
        </w:rPr>
        <w:t xml:space="preserve"> due to the potential risks to aquatic biota of poor water quality (e.g. low dissolved oxygen). </w:t>
      </w:r>
      <w:r w:rsidR="0060438A">
        <w:rPr>
          <w:rFonts w:cs="Arial"/>
          <w:szCs w:val="22"/>
        </w:rPr>
        <w:t>Furthermore</w:t>
      </w:r>
      <w:r w:rsidR="00702694" w:rsidRPr="00F85E97">
        <w:rPr>
          <w:szCs w:val="22"/>
        </w:rPr>
        <w:t>, environmental flow delivery should, where possible</w:t>
      </w:r>
      <w:r w:rsidR="00A813CA" w:rsidRPr="00F85E97">
        <w:rPr>
          <w:szCs w:val="22"/>
        </w:rPr>
        <w:t>,</w:t>
      </w:r>
      <w:r w:rsidR="00702694" w:rsidRPr="00F85E97">
        <w:rPr>
          <w:szCs w:val="22"/>
        </w:rPr>
        <w:t xml:space="preserve"> m</w:t>
      </w:r>
      <w:r w:rsidR="00702694" w:rsidRPr="00F85E97">
        <w:t xml:space="preserve">aintain </w:t>
      </w:r>
      <w:r w:rsidR="00693D69">
        <w:t xml:space="preserve">hydrological </w:t>
      </w:r>
      <w:r w:rsidR="00702694" w:rsidRPr="00F85E97">
        <w:t>integrity of flow from upstream (e.g. Darling or mid-Murray) to the lower River</w:t>
      </w:r>
      <w:r w:rsidRPr="00F85E97">
        <w:t xml:space="preserve"> Murray</w:t>
      </w:r>
      <w:r w:rsidR="00702694" w:rsidRPr="00F85E97">
        <w:t xml:space="preserve">, which will support system-scale processes and promote </w:t>
      </w:r>
      <w:r w:rsidR="00702694" w:rsidRPr="00F85E97">
        <w:rPr>
          <w:bCs/>
        </w:rPr>
        <w:t>positive ecological outcomes (e.g. improve</w:t>
      </w:r>
      <w:r w:rsidR="00C859D6" w:rsidRPr="00F85E97">
        <w:rPr>
          <w:bCs/>
        </w:rPr>
        <w:t>d</w:t>
      </w:r>
      <w:r w:rsidR="00702694" w:rsidRPr="00F85E97">
        <w:rPr>
          <w:bCs/>
        </w:rPr>
        <w:t xml:space="preserve"> productivity, enhanced spawning and recruitment of flow-</w:t>
      </w:r>
      <w:r w:rsidR="00CB5B42" w:rsidRPr="00F85E97">
        <w:rPr>
          <w:bCs/>
        </w:rPr>
        <w:t>dependent</w:t>
      </w:r>
      <w:r w:rsidR="00702694" w:rsidRPr="00F85E97">
        <w:rPr>
          <w:bCs/>
        </w:rPr>
        <w:t xml:space="preserve"> species).</w:t>
      </w:r>
    </w:p>
    <w:p w14:paraId="16833225" w14:textId="77777777" w:rsidR="00693D69" w:rsidRDefault="00693D69" w:rsidP="00702694">
      <w:pPr>
        <w:rPr>
          <w:bCs/>
        </w:rPr>
      </w:pPr>
    </w:p>
    <w:p w14:paraId="706D9029" w14:textId="6AC4AF3A" w:rsidR="00416F04" w:rsidRDefault="00416F04" w:rsidP="00702694">
      <w:pPr>
        <w:rPr>
          <w:rFonts w:eastAsiaTheme="majorEastAsia" w:cstheme="majorBidi"/>
          <w:color w:val="1F497D" w:themeColor="text2"/>
          <w:sz w:val="32"/>
          <w:szCs w:val="28"/>
        </w:rPr>
      </w:pPr>
      <w:r>
        <w:br w:type="page"/>
      </w:r>
    </w:p>
    <w:p w14:paraId="36405FF8" w14:textId="4158ECB1" w:rsidR="003E2B6B" w:rsidRPr="00C757C7" w:rsidRDefault="009354B9" w:rsidP="00F41737">
      <w:pPr>
        <w:pStyle w:val="Heading1"/>
      </w:pPr>
      <w:bookmarkStart w:id="142" w:name="_Toc441838745"/>
      <w:bookmarkStart w:id="143" w:name="_Toc474147070"/>
      <w:r w:rsidRPr="00C757C7">
        <w:lastRenderedPageBreak/>
        <w:t>Re</w:t>
      </w:r>
      <w:r w:rsidR="008F2ED6" w:rsidRPr="00C757C7">
        <w:t>ferences</w:t>
      </w:r>
      <w:bookmarkEnd w:id="23"/>
      <w:bookmarkEnd w:id="24"/>
      <w:bookmarkEnd w:id="142"/>
      <w:bookmarkEnd w:id="143"/>
    </w:p>
    <w:p w14:paraId="2783E4E6" w14:textId="77777777" w:rsidR="006C55C1" w:rsidRPr="002C1FC3" w:rsidRDefault="006C55C1" w:rsidP="006C55C1">
      <w:r w:rsidRPr="002C1FC3">
        <w:t>Aldridge, K.T., Lamontagne, S., Deegan, B.M. and Brookes, J.D. (2011). Impact of a drought on nutrient concentrations in the Lower Lakes (Murray</w:t>
      </w:r>
      <w:r>
        <w:t>–</w:t>
      </w:r>
      <w:r w:rsidRPr="002C1FC3">
        <w:t>D</w:t>
      </w:r>
      <w:r>
        <w:t>arling B</w:t>
      </w:r>
      <w:r w:rsidRPr="002C1FC3">
        <w:t xml:space="preserve">asin, Australia). </w:t>
      </w:r>
      <w:r w:rsidRPr="002C1FC3">
        <w:rPr>
          <w:i/>
        </w:rPr>
        <w:t>Inland Waters</w:t>
      </w:r>
      <w:r w:rsidRPr="002C1FC3">
        <w:t xml:space="preserve"> </w:t>
      </w:r>
      <w:r w:rsidRPr="002C1FC3">
        <w:rPr>
          <w:b/>
        </w:rPr>
        <w:t>1</w:t>
      </w:r>
      <w:r w:rsidRPr="002C1FC3">
        <w:t>, 159–176.</w:t>
      </w:r>
    </w:p>
    <w:p w14:paraId="09F1045B" w14:textId="77777777" w:rsidR="006C55C1" w:rsidRPr="002C1FC3" w:rsidRDefault="006C55C1" w:rsidP="006C55C1">
      <w:r w:rsidRPr="002C1FC3">
        <w:t>Aldridge, K., Lorenz, Z., Oliver, R. and Brookes, J.J. (2012). Changes in water quality and phytoplankton communities in the lower Murray River in response to a low flow-high flow sequence. Goyder Institute for Water Research. Adelaide, Australia.</w:t>
      </w:r>
    </w:p>
    <w:p w14:paraId="7E40BE64" w14:textId="77777777" w:rsidR="006C55C1" w:rsidRPr="00F454C2" w:rsidRDefault="006C55C1" w:rsidP="006C55C1">
      <w:pPr>
        <w:rPr>
          <w:rFonts w:cs="Segoe UI"/>
        </w:rPr>
      </w:pPr>
      <w:r w:rsidRPr="007D0512">
        <w:t xml:space="preserve">Aldridge, K.T., Busch, B.D. </w:t>
      </w:r>
      <w:r w:rsidRPr="00F454C2">
        <w:t>and Hipsey, M.R. (2013). An assessment of the contribution of environmental water provisions to salt and nutrient dynamics in the lower Murray, November 2011–July 2012. The University of Adelaide, Adelaide.</w:t>
      </w:r>
    </w:p>
    <w:p w14:paraId="14D51065" w14:textId="77777777" w:rsidR="006C55C1" w:rsidRPr="00F454C2" w:rsidRDefault="006C55C1" w:rsidP="006C55C1">
      <w:pPr>
        <w:rPr>
          <w:noProof/>
          <w:szCs w:val="22"/>
        </w:rPr>
      </w:pPr>
      <w:r w:rsidRPr="00F454C2">
        <w:rPr>
          <w:noProof/>
          <w:szCs w:val="22"/>
        </w:rPr>
        <w:t>Anderson, M.J., Gorley, R.N. and Clarke, K.R. (2008). PERMANOVA+ for PRIMER: guide to software and statistical methods. PRIMER-E, Plymouth, UK.</w:t>
      </w:r>
    </w:p>
    <w:p w14:paraId="4CE2B527" w14:textId="5D94A56F" w:rsidR="006C55C1" w:rsidRPr="00F454C2" w:rsidRDefault="003B2848" w:rsidP="006C55C1">
      <w:pPr>
        <w:rPr>
          <w:noProof/>
          <w:szCs w:val="22"/>
        </w:rPr>
      </w:pPr>
      <w:r>
        <w:rPr>
          <w:noProof/>
          <w:szCs w:val="22"/>
        </w:rPr>
        <w:t>Anderson, J.R., Morison, A.K. and Ray, D.</w:t>
      </w:r>
      <w:r w:rsidR="006C55C1" w:rsidRPr="00F454C2">
        <w:rPr>
          <w:noProof/>
          <w:szCs w:val="22"/>
        </w:rPr>
        <w:t xml:space="preserve">J. (1992). Validation of the use of thin-sectioned otoliths for determining age and growth of golden perch, </w:t>
      </w:r>
      <w:r w:rsidR="006C55C1" w:rsidRPr="00F454C2">
        <w:rPr>
          <w:i/>
          <w:noProof/>
          <w:szCs w:val="22"/>
        </w:rPr>
        <w:t>Macquaria ambigua</w:t>
      </w:r>
      <w:r w:rsidR="006C55C1" w:rsidRPr="00F454C2">
        <w:rPr>
          <w:noProof/>
          <w:szCs w:val="22"/>
        </w:rPr>
        <w:t xml:space="preserve"> (Perciformes: Percichthyidae), in the Lower Murray–Darling Basin, Australia. </w:t>
      </w:r>
      <w:r w:rsidR="006C55C1" w:rsidRPr="00F454C2">
        <w:rPr>
          <w:i/>
          <w:noProof/>
          <w:szCs w:val="22"/>
        </w:rPr>
        <w:t>Australian Journal of Marine and Freshwater Research</w:t>
      </w:r>
      <w:r w:rsidR="006C55C1" w:rsidRPr="00F454C2">
        <w:rPr>
          <w:noProof/>
          <w:szCs w:val="22"/>
        </w:rPr>
        <w:t xml:space="preserve"> </w:t>
      </w:r>
      <w:r w:rsidR="006C55C1" w:rsidRPr="00F454C2">
        <w:rPr>
          <w:b/>
          <w:noProof/>
          <w:szCs w:val="22"/>
        </w:rPr>
        <w:t>43</w:t>
      </w:r>
      <w:r w:rsidR="006C55C1" w:rsidRPr="00F454C2">
        <w:rPr>
          <w:noProof/>
          <w:szCs w:val="22"/>
        </w:rPr>
        <w:t>, 1103–1128.</w:t>
      </w:r>
    </w:p>
    <w:p w14:paraId="304C776E" w14:textId="77777777" w:rsidR="006C55C1" w:rsidRPr="000173B1" w:rsidRDefault="006C55C1" w:rsidP="006C55C1">
      <w:r w:rsidRPr="00F454C2">
        <w:t>Arthington, A.H., Bunn, S.E., Poff, L.N.</w:t>
      </w:r>
      <w:r w:rsidRPr="000173B1">
        <w:t xml:space="preserve"> and Naiman, R.J. (2006). The challenge of providing environmental flow rules to sustain river ecosystems. </w:t>
      </w:r>
      <w:r w:rsidRPr="000173B1">
        <w:rPr>
          <w:i/>
        </w:rPr>
        <w:t>Ecological Applications</w:t>
      </w:r>
      <w:r w:rsidRPr="000173B1">
        <w:t xml:space="preserve"> </w:t>
      </w:r>
      <w:r w:rsidRPr="000173B1">
        <w:rPr>
          <w:b/>
        </w:rPr>
        <w:t>16</w:t>
      </w:r>
      <w:r w:rsidRPr="000173B1">
        <w:t>, 1311–1318.</w:t>
      </w:r>
    </w:p>
    <w:p w14:paraId="008E7DC6" w14:textId="77777777" w:rsidR="006C55C1" w:rsidRDefault="006C55C1" w:rsidP="006C55C1">
      <w:r w:rsidRPr="007D0512">
        <w:t>Arumugam, P.T. and Geddes, M.C. (1987). Feeding and growth of golden perch larvae and fry (</w:t>
      </w:r>
      <w:r w:rsidRPr="007D0512">
        <w:rPr>
          <w:i/>
        </w:rPr>
        <w:t>Maquaria ambigua</w:t>
      </w:r>
      <w:r w:rsidRPr="007D0512">
        <w:t xml:space="preserve"> Richardson). </w:t>
      </w:r>
      <w:r w:rsidRPr="007D0512">
        <w:rPr>
          <w:i/>
        </w:rPr>
        <w:t>Transactions Royal Society of South Australia</w:t>
      </w:r>
      <w:r w:rsidRPr="007D0512">
        <w:t xml:space="preserve"> </w:t>
      </w:r>
      <w:r w:rsidRPr="007D0512">
        <w:rPr>
          <w:b/>
        </w:rPr>
        <w:t>111</w:t>
      </w:r>
      <w:r w:rsidRPr="007D0512">
        <w:t>, 59–66.</w:t>
      </w:r>
    </w:p>
    <w:p w14:paraId="7ABC0BD9" w14:textId="528C814C" w:rsidR="006A2C08" w:rsidRPr="006E5C96" w:rsidRDefault="006A2C08" w:rsidP="006C55C1">
      <w:pPr>
        <w:rPr>
          <w:color w:val="000000" w:themeColor="text1"/>
        </w:rPr>
      </w:pPr>
      <w:r w:rsidRPr="006E5C96">
        <w:rPr>
          <w:color w:val="000000" w:themeColor="text1"/>
          <w:szCs w:val="22"/>
        </w:rPr>
        <w:t xml:space="preserve">Benzie, J.A.H. (2005). Cladocera: the genus </w:t>
      </w:r>
      <w:r w:rsidRPr="006E5C96">
        <w:rPr>
          <w:i/>
          <w:color w:val="000000" w:themeColor="text1"/>
          <w:szCs w:val="22"/>
        </w:rPr>
        <w:t xml:space="preserve">Daphnia </w:t>
      </w:r>
      <w:r w:rsidRPr="006E5C96">
        <w:rPr>
          <w:color w:val="000000" w:themeColor="text1"/>
          <w:szCs w:val="22"/>
        </w:rPr>
        <w:t xml:space="preserve">(including </w:t>
      </w:r>
      <w:r w:rsidRPr="006E5C96">
        <w:rPr>
          <w:i/>
          <w:color w:val="000000" w:themeColor="text1"/>
          <w:szCs w:val="22"/>
        </w:rPr>
        <w:t>Daphniopsis</w:t>
      </w:r>
      <w:r w:rsidRPr="006E5C96">
        <w:rPr>
          <w:color w:val="000000" w:themeColor="text1"/>
          <w:szCs w:val="22"/>
        </w:rPr>
        <w:t xml:space="preserve">). </w:t>
      </w:r>
      <w:r w:rsidRPr="006E5C96">
        <w:rPr>
          <w:i/>
          <w:color w:val="000000" w:themeColor="text1"/>
          <w:szCs w:val="22"/>
        </w:rPr>
        <w:t xml:space="preserve">Guides to the Identification of the Microinvertebrates of the Continental Waters of the World </w:t>
      </w:r>
      <w:r w:rsidRPr="006E5C96">
        <w:rPr>
          <w:b/>
          <w:color w:val="000000" w:themeColor="text1"/>
          <w:szCs w:val="22"/>
        </w:rPr>
        <w:t>21</w:t>
      </w:r>
      <w:r w:rsidRPr="006E5C96">
        <w:rPr>
          <w:color w:val="000000" w:themeColor="text1"/>
          <w:szCs w:val="22"/>
        </w:rPr>
        <w:t>, 172–177.</w:t>
      </w:r>
    </w:p>
    <w:p w14:paraId="3BAEDAD2" w14:textId="0E1AED33" w:rsidR="00EA349B" w:rsidRDefault="006C55C1" w:rsidP="006C55C1">
      <w:pPr>
        <w:rPr>
          <w:szCs w:val="22"/>
        </w:rPr>
      </w:pPr>
      <w:r>
        <w:rPr>
          <w:szCs w:val="22"/>
        </w:rPr>
        <w:t xml:space="preserve">Bice, C.M., </w:t>
      </w:r>
      <w:r w:rsidRPr="00F0104F">
        <w:rPr>
          <w:szCs w:val="22"/>
        </w:rPr>
        <w:t>Gehrig, S.L.</w:t>
      </w:r>
      <w:r>
        <w:rPr>
          <w:szCs w:val="22"/>
        </w:rPr>
        <w:t xml:space="preserve">, </w:t>
      </w:r>
      <w:r w:rsidRPr="00F0104F">
        <w:rPr>
          <w:szCs w:val="22"/>
        </w:rPr>
        <w:t>Zampatti, B.P.</w:t>
      </w:r>
      <w:r>
        <w:rPr>
          <w:szCs w:val="22"/>
        </w:rPr>
        <w:t xml:space="preserve">, </w:t>
      </w:r>
      <w:r w:rsidRPr="00F0104F">
        <w:rPr>
          <w:szCs w:val="22"/>
        </w:rPr>
        <w:t>Nicol, J.M.</w:t>
      </w:r>
      <w:r>
        <w:rPr>
          <w:szCs w:val="22"/>
        </w:rPr>
        <w:t xml:space="preserve">, </w:t>
      </w:r>
      <w:r w:rsidRPr="00F0104F">
        <w:rPr>
          <w:szCs w:val="22"/>
        </w:rPr>
        <w:t>Wilson, P.</w:t>
      </w:r>
      <w:r>
        <w:rPr>
          <w:szCs w:val="22"/>
        </w:rPr>
        <w:t xml:space="preserve">, </w:t>
      </w:r>
      <w:r w:rsidRPr="00F0104F">
        <w:rPr>
          <w:szCs w:val="22"/>
        </w:rPr>
        <w:t>Leigh, S.L.</w:t>
      </w:r>
      <w:r>
        <w:rPr>
          <w:szCs w:val="22"/>
        </w:rPr>
        <w:t xml:space="preserve"> and </w:t>
      </w:r>
      <w:r w:rsidRPr="00F0104F">
        <w:rPr>
          <w:szCs w:val="22"/>
        </w:rPr>
        <w:t>Marsland, K.</w:t>
      </w:r>
      <w:r>
        <w:rPr>
          <w:szCs w:val="22"/>
        </w:rPr>
        <w:t xml:space="preserve"> (2014). </w:t>
      </w:r>
      <w:r w:rsidRPr="00F0104F">
        <w:rPr>
          <w:szCs w:val="22"/>
        </w:rPr>
        <w:t>Flow-induced alterations to fish assemblages, habitat and fish-habitat associations in a regulated lowland river</w:t>
      </w:r>
      <w:r>
        <w:rPr>
          <w:szCs w:val="22"/>
        </w:rPr>
        <w:t xml:space="preserve">. </w:t>
      </w:r>
      <w:r w:rsidRPr="00F0104F">
        <w:rPr>
          <w:i/>
          <w:szCs w:val="22"/>
        </w:rPr>
        <w:t>Hydrobiologia</w:t>
      </w:r>
      <w:r>
        <w:rPr>
          <w:szCs w:val="22"/>
        </w:rPr>
        <w:t xml:space="preserve"> </w:t>
      </w:r>
      <w:r w:rsidRPr="00F0104F">
        <w:rPr>
          <w:b/>
          <w:szCs w:val="22"/>
        </w:rPr>
        <w:t>722</w:t>
      </w:r>
      <w:r>
        <w:rPr>
          <w:szCs w:val="22"/>
        </w:rPr>
        <w:t xml:space="preserve">, </w:t>
      </w:r>
      <w:r w:rsidRPr="00F0104F">
        <w:rPr>
          <w:szCs w:val="22"/>
        </w:rPr>
        <w:t>205</w:t>
      </w:r>
      <w:r>
        <w:rPr>
          <w:szCs w:val="22"/>
        </w:rPr>
        <w:t>–</w:t>
      </w:r>
      <w:r w:rsidRPr="00F0104F">
        <w:rPr>
          <w:szCs w:val="22"/>
        </w:rPr>
        <w:t>222</w:t>
      </w:r>
      <w:r>
        <w:rPr>
          <w:szCs w:val="22"/>
        </w:rPr>
        <w:t>.</w:t>
      </w:r>
    </w:p>
    <w:p w14:paraId="24066087" w14:textId="77777777" w:rsidR="00EA349B" w:rsidRDefault="00EA349B">
      <w:pPr>
        <w:spacing w:before="0" w:after="200" w:line="276" w:lineRule="auto"/>
        <w:jc w:val="left"/>
        <w:rPr>
          <w:szCs w:val="22"/>
        </w:rPr>
      </w:pPr>
      <w:r>
        <w:rPr>
          <w:szCs w:val="22"/>
        </w:rPr>
        <w:br w:type="page"/>
      </w:r>
    </w:p>
    <w:p w14:paraId="26C1869B" w14:textId="3E0D6C74" w:rsidR="006C55C1" w:rsidRPr="002C1FC3" w:rsidRDefault="00AD47B7" w:rsidP="006C55C1">
      <w:pPr>
        <w:rPr>
          <w:szCs w:val="22"/>
        </w:rPr>
      </w:pPr>
      <w:r>
        <w:rPr>
          <w:szCs w:val="22"/>
        </w:rPr>
        <w:lastRenderedPageBreak/>
        <w:t>Bice, C.M., Zampatti, B.</w:t>
      </w:r>
      <w:r w:rsidR="006C55C1" w:rsidRPr="007D0512">
        <w:rPr>
          <w:szCs w:val="22"/>
        </w:rPr>
        <w:t>P. and James, C. (2016a). The influence of weir pool raising on main channel hydraulics in the lower River Murray, South Australia, in 2015. South Australian Research and Development Institute (Aquatic Sciences), Adelaide. SARDI Publication No. F2015/</w:t>
      </w:r>
      <w:r w:rsidR="006C55C1" w:rsidRPr="002C1FC3">
        <w:rPr>
          <w:szCs w:val="22"/>
        </w:rPr>
        <w:t xml:space="preserve">000381-2. SARDI Research Report Series No. 904. </w:t>
      </w:r>
    </w:p>
    <w:p w14:paraId="6955AFB7" w14:textId="37373E3A" w:rsidR="006C55C1" w:rsidRPr="002C1FC3" w:rsidRDefault="006C55C1" w:rsidP="006C55C1">
      <w:pPr>
        <w:rPr>
          <w:szCs w:val="22"/>
        </w:rPr>
      </w:pPr>
      <w:r w:rsidRPr="002C1FC3">
        <w:rPr>
          <w:szCs w:val="22"/>
        </w:rPr>
        <w:t>Bice, C. M., Zampatti, B. P. and Tonkin, Z. (2016b). The influence of weir pool raising in the South Australian lower River Murray in 2015 on the growth of Australian smelt (</w:t>
      </w:r>
      <w:r w:rsidRPr="002C1FC3">
        <w:rPr>
          <w:i/>
          <w:szCs w:val="22"/>
        </w:rPr>
        <w:t>Retropinna semoni</w:t>
      </w:r>
      <w:r w:rsidRPr="002C1FC3">
        <w:rPr>
          <w:szCs w:val="22"/>
        </w:rPr>
        <w:t xml:space="preserve">). South Australian Research and Development Institute (Aquatic Sciences), Adelaide. SARDI Publication No. F2016/000336-1. SARDI Research Report Series No. 907. </w:t>
      </w:r>
    </w:p>
    <w:p w14:paraId="1742DD4B" w14:textId="77777777" w:rsidR="006C55C1" w:rsidRPr="002C1FC3" w:rsidRDefault="006C55C1" w:rsidP="006C55C1">
      <w:pPr>
        <w:rPr>
          <w:noProof/>
          <w:szCs w:val="22"/>
        </w:rPr>
      </w:pPr>
      <w:r w:rsidRPr="002C1FC3">
        <w:rPr>
          <w:noProof/>
          <w:szCs w:val="22"/>
        </w:rPr>
        <w:t xml:space="preserve">Bray, J.R. and Curtis, J.T. (1957). An ordination of the upland forest communities of southern Wisconsin. </w:t>
      </w:r>
      <w:r w:rsidRPr="002C1FC3">
        <w:rPr>
          <w:i/>
          <w:noProof/>
          <w:szCs w:val="22"/>
        </w:rPr>
        <w:t>Ecological Monographs</w:t>
      </w:r>
      <w:r w:rsidRPr="002C1FC3">
        <w:rPr>
          <w:noProof/>
          <w:szCs w:val="22"/>
        </w:rPr>
        <w:t xml:space="preserve"> </w:t>
      </w:r>
      <w:r w:rsidRPr="002C1FC3">
        <w:rPr>
          <w:b/>
          <w:noProof/>
          <w:szCs w:val="22"/>
        </w:rPr>
        <w:t>27</w:t>
      </w:r>
      <w:r w:rsidRPr="002C1FC3">
        <w:rPr>
          <w:noProof/>
          <w:szCs w:val="22"/>
        </w:rPr>
        <w:t>, 325–349.</w:t>
      </w:r>
    </w:p>
    <w:p w14:paraId="7B30499A" w14:textId="77777777" w:rsidR="006C55C1" w:rsidRPr="006A09E9" w:rsidRDefault="006C55C1" w:rsidP="006C55C1">
      <w:r w:rsidRPr="002C1FC3">
        <w:t xml:space="preserve">Brookes, J.D., Lamontagne, S., Aldridge, K.T., S., B., Bissett, A., Bucater, L., Cheshire, A.C., Cook, P.L.M., Deegan, B.M., Dittmann, S., Fairweather, P.G., Fernandes, M.B., Ford, P.W., Geddes, M.C., Gillanders, B.M., Grigg, N.J., Haese, R.R., Krull, E., Langley, R.A., Lester, R.E., Loo, M., Munro, A.R., Noell, C.J., Nayar, S., Paton, D.C., Revill, A.T., Rogers, D.J., Rolston, A., Sharma, S.K., Short, D.A., Tanner, J.E., Webster, I.T., Wellman, N.R. and Ye, Q. (2009). An Ecosystem Assessment Framework to Guide Management of the Coorong. Final Report of the CLLAMMecology Research Cluster. CSIRO: Water for a Healthy Country National Research </w:t>
      </w:r>
      <w:r w:rsidRPr="006A09E9">
        <w:t>Flagship, Canberra.</w:t>
      </w:r>
    </w:p>
    <w:p w14:paraId="0684A477" w14:textId="77777777" w:rsidR="006C55C1" w:rsidRPr="006A09E9" w:rsidRDefault="006C55C1" w:rsidP="006C55C1">
      <w:pPr>
        <w:rPr>
          <w:noProof/>
          <w:szCs w:val="22"/>
        </w:rPr>
      </w:pPr>
      <w:r w:rsidRPr="006A09E9">
        <w:rPr>
          <w:noProof/>
          <w:szCs w:val="22"/>
        </w:rPr>
        <w:t>Brown, P. and Wooden, I. (2007). Age at first increment formation and validation of daily growth increments in golden perch (</w:t>
      </w:r>
      <w:r w:rsidRPr="006A09E9">
        <w:rPr>
          <w:i/>
          <w:noProof/>
          <w:szCs w:val="22"/>
        </w:rPr>
        <w:t>Macquaria ambigua</w:t>
      </w:r>
      <w:r w:rsidRPr="006A09E9">
        <w:rPr>
          <w:noProof/>
          <w:szCs w:val="22"/>
        </w:rPr>
        <w:t xml:space="preserve">: Percicthyidae) otoliths. </w:t>
      </w:r>
      <w:r w:rsidRPr="006A09E9">
        <w:rPr>
          <w:i/>
          <w:noProof/>
          <w:szCs w:val="22"/>
        </w:rPr>
        <w:t>New Zealand Journal of Marine and Freshwater Research</w:t>
      </w:r>
      <w:r w:rsidRPr="006A09E9">
        <w:rPr>
          <w:noProof/>
          <w:szCs w:val="22"/>
        </w:rPr>
        <w:t xml:space="preserve"> </w:t>
      </w:r>
      <w:r w:rsidRPr="006A09E9">
        <w:rPr>
          <w:b/>
          <w:noProof/>
          <w:szCs w:val="22"/>
        </w:rPr>
        <w:t>41</w:t>
      </w:r>
      <w:r w:rsidRPr="006A09E9">
        <w:rPr>
          <w:noProof/>
          <w:szCs w:val="22"/>
        </w:rPr>
        <w:t>, 157–161.</w:t>
      </w:r>
    </w:p>
    <w:p w14:paraId="29A6251A" w14:textId="77777777" w:rsidR="006C55C1" w:rsidRPr="000173B1" w:rsidRDefault="006C55C1" w:rsidP="006C55C1">
      <w:pPr>
        <w:rPr>
          <w:noProof/>
          <w:szCs w:val="22"/>
        </w:rPr>
      </w:pPr>
      <w:r w:rsidRPr="000173B1">
        <w:rPr>
          <w:noProof/>
          <w:szCs w:val="22"/>
        </w:rPr>
        <w:t xml:space="preserve">Bunn, S. and Arthington, A.H. (2002). Basic principles and ecological consequences of altered flow regimes for aquatic biodiversity. </w:t>
      </w:r>
      <w:r w:rsidRPr="000173B1">
        <w:rPr>
          <w:i/>
          <w:noProof/>
          <w:szCs w:val="22"/>
        </w:rPr>
        <w:t>Environmental management</w:t>
      </w:r>
      <w:r w:rsidRPr="000173B1">
        <w:rPr>
          <w:noProof/>
          <w:szCs w:val="22"/>
        </w:rPr>
        <w:t xml:space="preserve"> </w:t>
      </w:r>
      <w:r w:rsidRPr="000173B1">
        <w:rPr>
          <w:b/>
          <w:noProof/>
          <w:szCs w:val="22"/>
        </w:rPr>
        <w:t>30</w:t>
      </w:r>
      <w:r w:rsidRPr="000173B1">
        <w:rPr>
          <w:noProof/>
          <w:szCs w:val="22"/>
        </w:rPr>
        <w:t xml:space="preserve">, 492–507. </w:t>
      </w:r>
    </w:p>
    <w:p w14:paraId="65EA0EF0" w14:textId="77777777" w:rsidR="006C55C1" w:rsidRPr="002C1FC3" w:rsidRDefault="006C55C1" w:rsidP="006C55C1">
      <w:pPr>
        <w:rPr>
          <w:rFonts w:cs="Arial"/>
        </w:rPr>
      </w:pPr>
      <w:r w:rsidRPr="002C1FC3">
        <w:rPr>
          <w:rFonts w:cs="Arial"/>
        </w:rPr>
        <w:t>Clarke, K.R. and Gorley, R.N. (2006). PRIMER v6. User manual/tutorial. Plymouth: PRIMER-E Ltd.</w:t>
      </w:r>
    </w:p>
    <w:p w14:paraId="2D9DF626" w14:textId="2BDE4EBA" w:rsidR="00ED75CC" w:rsidRDefault="00ED75CC" w:rsidP="006C55C1">
      <w:pPr>
        <w:rPr>
          <w:rFonts w:cs="Arial"/>
        </w:rPr>
      </w:pPr>
      <w:r>
        <w:rPr>
          <w:rFonts w:cs="Arial"/>
        </w:rPr>
        <w:t>Chow V.</w:t>
      </w:r>
      <w:r w:rsidRPr="00ED75CC">
        <w:rPr>
          <w:rFonts w:cs="Arial"/>
        </w:rPr>
        <w:t>T</w:t>
      </w:r>
      <w:r>
        <w:rPr>
          <w:rFonts w:cs="Arial"/>
        </w:rPr>
        <w:t>.</w:t>
      </w:r>
      <w:r w:rsidRPr="00ED75CC">
        <w:rPr>
          <w:rFonts w:cs="Arial"/>
        </w:rPr>
        <w:t>, Maidment</w:t>
      </w:r>
      <w:r>
        <w:rPr>
          <w:rFonts w:cs="Arial"/>
        </w:rPr>
        <w:t>, D.</w:t>
      </w:r>
      <w:r w:rsidRPr="00ED75CC">
        <w:rPr>
          <w:rFonts w:cs="Arial"/>
        </w:rPr>
        <w:t>R</w:t>
      </w:r>
      <w:r>
        <w:rPr>
          <w:rFonts w:cs="Arial"/>
        </w:rPr>
        <w:t>. and</w:t>
      </w:r>
      <w:r w:rsidRPr="00ED75CC">
        <w:rPr>
          <w:rFonts w:cs="Arial"/>
        </w:rPr>
        <w:t xml:space="preserve"> Mays</w:t>
      </w:r>
      <w:r>
        <w:rPr>
          <w:rFonts w:cs="Arial"/>
        </w:rPr>
        <w:t>,</w:t>
      </w:r>
      <w:r w:rsidRPr="00ED75CC">
        <w:rPr>
          <w:rFonts w:cs="Arial"/>
        </w:rPr>
        <w:t xml:space="preserve"> L.W</w:t>
      </w:r>
      <w:r>
        <w:rPr>
          <w:rFonts w:cs="Arial"/>
        </w:rPr>
        <w:t>.</w:t>
      </w:r>
      <w:r w:rsidRPr="00ED75CC">
        <w:rPr>
          <w:rFonts w:cs="Arial"/>
        </w:rPr>
        <w:t xml:space="preserve"> (1988). Applied Hydrology. McGraw Hill International Editions: Singapore.</w:t>
      </w:r>
    </w:p>
    <w:p w14:paraId="5F4C0BBD" w14:textId="77777777" w:rsidR="006C55C1" w:rsidRPr="002C1FC3" w:rsidRDefault="006C55C1" w:rsidP="006C55C1">
      <w:pPr>
        <w:rPr>
          <w:rFonts w:cs="Arial"/>
        </w:rPr>
      </w:pPr>
      <w:r w:rsidRPr="002C1FC3">
        <w:rPr>
          <w:rFonts w:cs="Arial"/>
        </w:rPr>
        <w:lastRenderedPageBreak/>
        <w:t xml:space="preserve">Cook, P.L.M., Aldridge, K.T., Lamontagne, S. and Brookes, J.D. (2010). Retention of nitrogen, phosphorus and silicon in a large semi-arid riverine lake system. </w:t>
      </w:r>
      <w:r w:rsidRPr="002C1FC3">
        <w:rPr>
          <w:rFonts w:cs="Arial"/>
          <w:i/>
        </w:rPr>
        <w:t>Biogeochemistry</w:t>
      </w:r>
      <w:r w:rsidRPr="002C1FC3">
        <w:rPr>
          <w:rFonts w:cs="Arial"/>
        </w:rPr>
        <w:t xml:space="preserve"> </w:t>
      </w:r>
      <w:r w:rsidRPr="002C1FC3">
        <w:rPr>
          <w:rFonts w:cs="Arial"/>
          <w:b/>
        </w:rPr>
        <w:t>99</w:t>
      </w:r>
      <w:r w:rsidRPr="002C1FC3">
        <w:rPr>
          <w:rFonts w:cs="Arial"/>
        </w:rPr>
        <w:t>, 49–63.</w:t>
      </w:r>
    </w:p>
    <w:p w14:paraId="036B49D9" w14:textId="5D5B0751" w:rsidR="006C55C1" w:rsidRPr="007D0512" w:rsidRDefault="006C55C1" w:rsidP="006C55C1">
      <w:pPr>
        <w:rPr>
          <w:bCs/>
          <w:szCs w:val="22"/>
        </w:rPr>
      </w:pPr>
      <w:r w:rsidRPr="002C1FC3">
        <w:rPr>
          <w:bCs/>
          <w:szCs w:val="22"/>
        </w:rPr>
        <w:t>Cummings, C.R. and Goonan, P. (2016a)</w:t>
      </w:r>
      <w:r w:rsidR="00AD47B7">
        <w:rPr>
          <w:bCs/>
          <w:szCs w:val="22"/>
        </w:rPr>
        <w:t>.</w:t>
      </w:r>
      <w:r w:rsidRPr="002C1FC3">
        <w:rPr>
          <w:bCs/>
          <w:szCs w:val="22"/>
        </w:rPr>
        <w:t xml:space="preserve"> Surface- and ground-water responses to weir pool manipulation in the lower</w:t>
      </w:r>
      <w:r w:rsidRPr="007D0512">
        <w:rPr>
          <w:bCs/>
          <w:szCs w:val="22"/>
        </w:rPr>
        <w:t xml:space="preserve"> River Murray. South Australian Environment Protection Authority, Adelaide.</w:t>
      </w:r>
    </w:p>
    <w:p w14:paraId="45FCCACB" w14:textId="08349CE0" w:rsidR="006C55C1" w:rsidRPr="007D0512" w:rsidRDefault="006C55C1" w:rsidP="006C55C1">
      <w:pPr>
        <w:rPr>
          <w:bCs/>
          <w:szCs w:val="22"/>
        </w:rPr>
      </w:pPr>
      <w:r w:rsidRPr="007D0512">
        <w:rPr>
          <w:bCs/>
          <w:szCs w:val="22"/>
        </w:rPr>
        <w:t>Cummings, C.R. and Goonan, P. (2016b)</w:t>
      </w:r>
      <w:r w:rsidR="00AD47B7">
        <w:rPr>
          <w:bCs/>
          <w:szCs w:val="22"/>
        </w:rPr>
        <w:t>.</w:t>
      </w:r>
      <w:r w:rsidRPr="007D0512">
        <w:rPr>
          <w:bCs/>
          <w:szCs w:val="22"/>
        </w:rPr>
        <w:t xml:space="preserve"> Primary consumer responses to a 0.5 m water level manipulation in the lower River Murray, South Australia. South Australian Environment Protection Authority, Adelaide.</w:t>
      </w:r>
    </w:p>
    <w:p w14:paraId="0DFCBA19" w14:textId="6572E6CF" w:rsidR="006C55C1" w:rsidRPr="007D0512" w:rsidRDefault="006C55C1" w:rsidP="006C55C1">
      <w:pPr>
        <w:rPr>
          <w:bCs/>
          <w:szCs w:val="22"/>
        </w:rPr>
      </w:pPr>
      <w:r w:rsidRPr="007D0512">
        <w:rPr>
          <w:bCs/>
          <w:szCs w:val="22"/>
        </w:rPr>
        <w:t>Cummings, C.R., Wallace, T.A. and Goonan, P. (2016)</w:t>
      </w:r>
      <w:r w:rsidR="00AD47B7">
        <w:rPr>
          <w:bCs/>
          <w:szCs w:val="22"/>
        </w:rPr>
        <w:t>.</w:t>
      </w:r>
      <w:r w:rsidRPr="007D0512">
        <w:rPr>
          <w:bCs/>
          <w:szCs w:val="22"/>
        </w:rPr>
        <w:t xml:space="preserve"> Interactions between benthic primary productivity and primary consumers due to a 0.5 m water level manipulation. South Australian Environment Protection Authority, Adelaide; School of Biological Science, The University of Adelaide.</w:t>
      </w:r>
    </w:p>
    <w:p w14:paraId="337BF739" w14:textId="77777777" w:rsidR="006C55C1" w:rsidRPr="007D0512" w:rsidRDefault="006C55C1" w:rsidP="006C55C1">
      <w:pPr>
        <w:rPr>
          <w:bCs/>
        </w:rPr>
      </w:pPr>
      <w:r w:rsidRPr="00BD1626">
        <w:rPr>
          <w:bCs/>
          <w:szCs w:val="22"/>
        </w:rPr>
        <w:t>DEWNR (2013). 2013–14 Annual Environmental Watering Plan for the South Australian River Murray, Government of South Australia, through the Department</w:t>
      </w:r>
      <w:r w:rsidRPr="00BD1626">
        <w:rPr>
          <w:bCs/>
        </w:rPr>
        <w:t xml:space="preserve"> of Environment, Water and Natural </w:t>
      </w:r>
      <w:r w:rsidRPr="007D0512">
        <w:rPr>
          <w:bCs/>
        </w:rPr>
        <w:t>Resources, Adelaide.</w:t>
      </w:r>
    </w:p>
    <w:p w14:paraId="35C80AA4" w14:textId="040D7E33" w:rsidR="006C55C1" w:rsidRPr="006A09E9" w:rsidRDefault="006C55C1" w:rsidP="006C55C1">
      <w:pPr>
        <w:rPr>
          <w:bCs/>
        </w:rPr>
      </w:pPr>
      <w:r w:rsidRPr="007D0512">
        <w:rPr>
          <w:bCs/>
        </w:rPr>
        <w:t>DEWNR (2015)</w:t>
      </w:r>
      <w:r w:rsidR="00AD47B7">
        <w:rPr>
          <w:bCs/>
        </w:rPr>
        <w:t>.</w:t>
      </w:r>
      <w:r w:rsidRPr="007D0512">
        <w:rPr>
          <w:bCs/>
        </w:rPr>
        <w:t xml:space="preserve"> Riverine recovery ecological objectives and monitoring plan for assessing the ecological response to the lock 2 and 5 weir pool raising, 2015, Government of South Australia, through the Department of Environment, Water and </w:t>
      </w:r>
      <w:r w:rsidRPr="006A09E9">
        <w:rPr>
          <w:bCs/>
        </w:rPr>
        <w:t>Natural resources, Adelaide.</w:t>
      </w:r>
    </w:p>
    <w:p w14:paraId="564D139D" w14:textId="77777777" w:rsidR="006C55C1" w:rsidRPr="006A09E9" w:rsidRDefault="006C55C1" w:rsidP="006C55C1">
      <w:pPr>
        <w:rPr>
          <w:szCs w:val="22"/>
        </w:rPr>
      </w:pPr>
      <w:r w:rsidRPr="006A09E9">
        <w:rPr>
          <w:szCs w:val="22"/>
        </w:rPr>
        <w:t xml:space="preserve">Duggan, I.C. (2010). The freshwater aquarium trade as a vector for incidental invertebrate fauna.  </w:t>
      </w:r>
      <w:r w:rsidRPr="006A09E9">
        <w:rPr>
          <w:i/>
          <w:szCs w:val="22"/>
        </w:rPr>
        <w:t>Biological Invasions</w:t>
      </w:r>
      <w:r w:rsidRPr="006A09E9">
        <w:rPr>
          <w:szCs w:val="22"/>
        </w:rPr>
        <w:t xml:space="preserve"> </w:t>
      </w:r>
      <w:r w:rsidRPr="006A09E9">
        <w:rPr>
          <w:b/>
          <w:szCs w:val="22"/>
        </w:rPr>
        <w:t>12</w:t>
      </w:r>
      <w:r w:rsidRPr="006A09E9">
        <w:rPr>
          <w:szCs w:val="22"/>
        </w:rPr>
        <w:t>, 3757–3770.</w:t>
      </w:r>
    </w:p>
    <w:p w14:paraId="65F6464C" w14:textId="77777777" w:rsidR="006C55C1" w:rsidRPr="007D0512" w:rsidRDefault="006C55C1" w:rsidP="006C55C1">
      <w:pPr>
        <w:rPr>
          <w:szCs w:val="22"/>
        </w:rPr>
      </w:pPr>
      <w:r w:rsidRPr="007D0512">
        <w:rPr>
          <w:szCs w:val="22"/>
        </w:rPr>
        <w:t xml:space="preserve">Furst, D.J., Aldridge, K.T., Shiel, R.J., Ganf, G.G., Mills, S. and Brookes, J.D. (2014). Floodplain connectivity facilitates significant export of zooplankton to the main River Murray channel during a flood event. </w:t>
      </w:r>
      <w:r w:rsidRPr="007D0512">
        <w:rPr>
          <w:i/>
          <w:szCs w:val="22"/>
        </w:rPr>
        <w:t xml:space="preserve">Inland Waters </w:t>
      </w:r>
      <w:r w:rsidRPr="007D0512">
        <w:rPr>
          <w:b/>
          <w:szCs w:val="22"/>
        </w:rPr>
        <w:t>4</w:t>
      </w:r>
      <w:r w:rsidRPr="007D0512">
        <w:rPr>
          <w:szCs w:val="22"/>
        </w:rPr>
        <w:t>, 413–424.</w:t>
      </w:r>
    </w:p>
    <w:p w14:paraId="33F3D0C4" w14:textId="77777777" w:rsidR="006C55C1" w:rsidRPr="007D0512" w:rsidRDefault="006C55C1" w:rsidP="006C55C1">
      <w:pPr>
        <w:rPr>
          <w:noProof/>
        </w:rPr>
      </w:pPr>
      <w:r w:rsidRPr="007D0512">
        <w:rPr>
          <w:noProof/>
        </w:rPr>
        <w:t>Gawne, B., Hale, J., Butcher, R., Brooks, S., Roots, J., Cottingham, P., Stewardson, M. and Everingham, P. (2014). Commonwealth Environmental Water Office Long Term Intervention Monitoring Project: Evaluation Plan. Final Report prepared for the Commonwealth Environmental Water Office by The Murray–Darling Freshwater Research Centre. MDFRC Publication 29/2014.</w:t>
      </w:r>
    </w:p>
    <w:p w14:paraId="2B9CAC0C" w14:textId="14AF2CB1" w:rsidR="006C55C1" w:rsidRPr="002C1FC3" w:rsidRDefault="006C55C1" w:rsidP="006C55C1">
      <w:pPr>
        <w:rPr>
          <w:noProof/>
        </w:rPr>
      </w:pPr>
      <w:r w:rsidRPr="002C1FC3">
        <w:rPr>
          <w:noProof/>
        </w:rPr>
        <w:lastRenderedPageBreak/>
        <w:t xml:space="preserve">Gehrig, S.L., Frahn, K. and Nicol, J.M. (2016). Monitoring the response of littoral and floodplain vegetation and soil moisture flux to weir pool raising - 2015. South Australian Research and Development Institute (Aquatic Sciences), Adelaide. SARDI Publication No. F2015/000390-2. SARDI Research Report Series No. 899. </w:t>
      </w:r>
    </w:p>
    <w:p w14:paraId="34810EB8" w14:textId="5A4A015C" w:rsidR="006C55C1" w:rsidRPr="007D0512" w:rsidRDefault="006C55C1" w:rsidP="006C55C1">
      <w:pPr>
        <w:rPr>
          <w:noProof/>
        </w:rPr>
      </w:pPr>
      <w:r w:rsidRPr="002C1FC3">
        <w:rPr>
          <w:noProof/>
        </w:rPr>
        <w:t>Gigney, H., Petrie, R., Gawne, B., Nielsen</w:t>
      </w:r>
      <w:r w:rsidRPr="007D0512">
        <w:rPr>
          <w:noProof/>
        </w:rPr>
        <w:t>, D. and Howitt, J. (2006). The exchange of material between the Murray River channel and Barmah-Millewa Forest during the 2005/2006 floodplain watering. Murray-Darling Basin Commission &amp; Murray-Darling Freshwa</w:t>
      </w:r>
      <w:r w:rsidR="00AD47B7">
        <w:rPr>
          <w:noProof/>
        </w:rPr>
        <w:t>ter Research Centre, July, 2006.</w:t>
      </w:r>
      <w:r w:rsidRPr="007D0512">
        <w:rPr>
          <w:noProof/>
        </w:rPr>
        <w:t xml:space="preserve"> </w:t>
      </w:r>
    </w:p>
    <w:p w14:paraId="561E71D3" w14:textId="642318D6" w:rsidR="006C55C1" w:rsidRPr="002C1FC3" w:rsidRDefault="006C55C1" w:rsidP="006C55C1">
      <w:r w:rsidRPr="002C1FC3">
        <w:rPr>
          <w:noProof/>
        </w:rPr>
        <w:t xml:space="preserve">Grace, M.R. and Imberger, S.J. (2006). Stream Metabolism: Performing &amp; Interpreting Measurements. Water Studies Centre Monash University, Murray Darling Basin Commission and New South Wales Department of Environment and Climate Change. </w:t>
      </w:r>
    </w:p>
    <w:p w14:paraId="69018258" w14:textId="77777777" w:rsidR="006C55C1" w:rsidRDefault="006C55C1" w:rsidP="006C55C1">
      <w:r w:rsidRPr="00F0104F">
        <w:t>Hale, J., Stoffels, R., Butcher, R., Shackleton, M., Brooks, S. and Gawne, B. (2014). Commonwealth Environmental Water Office Long Term Intervention Monitoring Project – Standard Methods. Final Report prepared for the Commonwealth Environmental Water Office by The Murray-Darling Freshwater Research Centre. Murray-Darling Freshwater Research Centre, MDFRC Publication 29.2/2014.</w:t>
      </w:r>
    </w:p>
    <w:p w14:paraId="7CDA1B58" w14:textId="6C433FA7" w:rsidR="009D77F3" w:rsidRPr="00F0104F" w:rsidRDefault="009D77F3" w:rsidP="006C55C1">
      <w:r w:rsidRPr="009D77F3">
        <w:t xml:space="preserve">Hanisch, D. R., Hillyard, K. A., Smith, J. </w:t>
      </w:r>
      <w:r>
        <w:t>(</w:t>
      </w:r>
      <w:r w:rsidRPr="009D77F3">
        <w:t>201</w:t>
      </w:r>
      <w:r>
        <w:t>7).</w:t>
      </w:r>
      <w:r w:rsidRPr="009D77F3">
        <w:t xml:space="preserve"> Riverine Recovery </w:t>
      </w:r>
      <w:r>
        <w:t>–</w:t>
      </w:r>
      <w:r w:rsidRPr="009D77F3">
        <w:t xml:space="preserve"> Synthesis report of the ecological response to weir pool raising at Locks 1, 2 and 5 of the River Murray, 2014</w:t>
      </w:r>
      <w:r>
        <w:t>–</w:t>
      </w:r>
      <w:r w:rsidRPr="009D77F3">
        <w:t>1</w:t>
      </w:r>
      <w:r>
        <w:t>6.</w:t>
      </w:r>
      <w:r w:rsidRPr="009D77F3">
        <w:t xml:space="preserve"> Government of South Australia, through Department of Environment, Water and Natural Resources, Adelaide</w:t>
      </w:r>
      <w:r>
        <w:t>.</w:t>
      </w:r>
    </w:p>
    <w:p w14:paraId="79F249E0" w14:textId="77777777" w:rsidR="006C55C1" w:rsidRPr="006A09E9" w:rsidRDefault="006C55C1" w:rsidP="006C55C1">
      <w:pPr>
        <w:rPr>
          <w:noProof/>
        </w:rPr>
      </w:pPr>
      <w:r w:rsidRPr="000173B1">
        <w:rPr>
          <w:noProof/>
        </w:rPr>
        <w:t xml:space="preserve">Kingsford, R.T. (2000). Ecological impacts of dams, water diversions and river management on floodplain wetlands in Australia. </w:t>
      </w:r>
      <w:r w:rsidRPr="000173B1">
        <w:rPr>
          <w:i/>
          <w:noProof/>
        </w:rPr>
        <w:t xml:space="preserve">Austral </w:t>
      </w:r>
      <w:r w:rsidRPr="006A09E9">
        <w:rPr>
          <w:i/>
          <w:noProof/>
        </w:rPr>
        <w:t>Ecology</w:t>
      </w:r>
      <w:r w:rsidRPr="006A09E9">
        <w:rPr>
          <w:noProof/>
        </w:rPr>
        <w:t xml:space="preserve"> </w:t>
      </w:r>
      <w:r w:rsidRPr="006A09E9">
        <w:rPr>
          <w:b/>
          <w:noProof/>
        </w:rPr>
        <w:t>25</w:t>
      </w:r>
      <w:r w:rsidRPr="006A09E9">
        <w:rPr>
          <w:noProof/>
        </w:rPr>
        <w:t>, 109–127.</w:t>
      </w:r>
    </w:p>
    <w:p w14:paraId="5F090365" w14:textId="77777777" w:rsidR="006C55C1" w:rsidRDefault="006C55C1" w:rsidP="006C55C1">
      <w:pPr>
        <w:rPr>
          <w:noProof/>
        </w:rPr>
      </w:pPr>
      <w:r w:rsidRPr="006A09E9">
        <w:rPr>
          <w:noProof/>
        </w:rPr>
        <w:t xml:space="preserve">Koehn, J.D., King, A.J., Beesley, L., Copeland, C., Zampatti, B.P. and Mallen-Cooper, M. (2014). Flows for native fish in the Murray–Darling Basin: lessons and considerations for future management. </w:t>
      </w:r>
      <w:r w:rsidRPr="006A09E9">
        <w:rPr>
          <w:i/>
          <w:noProof/>
        </w:rPr>
        <w:t>Ecological Management and Restoration</w:t>
      </w:r>
      <w:r w:rsidRPr="006A09E9">
        <w:rPr>
          <w:noProof/>
        </w:rPr>
        <w:t xml:space="preserve"> </w:t>
      </w:r>
      <w:r w:rsidRPr="006A09E9">
        <w:rPr>
          <w:b/>
          <w:noProof/>
        </w:rPr>
        <w:t>15</w:t>
      </w:r>
      <w:r w:rsidRPr="006A09E9">
        <w:rPr>
          <w:noProof/>
        </w:rPr>
        <w:t>, 40–50.</w:t>
      </w:r>
    </w:p>
    <w:p w14:paraId="42FB6291" w14:textId="17B5E49F" w:rsidR="000D0BA1" w:rsidRPr="006A09E9" w:rsidRDefault="001C787F" w:rsidP="001C787F">
      <w:pPr>
        <w:rPr>
          <w:noProof/>
        </w:rPr>
      </w:pPr>
      <w:r>
        <w:rPr>
          <w:noProof/>
        </w:rPr>
        <w:t>Lintermans</w:t>
      </w:r>
      <w:r w:rsidR="00AD47B7">
        <w:rPr>
          <w:noProof/>
        </w:rPr>
        <w:t>,</w:t>
      </w:r>
      <w:r>
        <w:rPr>
          <w:noProof/>
        </w:rPr>
        <w:t xml:space="preserve"> M. (2007)</w:t>
      </w:r>
      <w:r w:rsidR="00AD47B7">
        <w:rPr>
          <w:noProof/>
        </w:rPr>
        <w:t>.</w:t>
      </w:r>
      <w:r>
        <w:rPr>
          <w:noProof/>
        </w:rPr>
        <w:t xml:space="preserve"> Fishes of the Murray-Darling Basin: An Introductory Guide. Murray-Darling Basin Commission, Canberra.</w:t>
      </w:r>
    </w:p>
    <w:p w14:paraId="77D41E9E" w14:textId="77777777" w:rsidR="006C55C1" w:rsidRDefault="006C55C1" w:rsidP="006C55C1">
      <w:r w:rsidRPr="006A09E9">
        <w:t>MacArthur</w:t>
      </w:r>
      <w:r>
        <w:t>, J.M.</w:t>
      </w:r>
      <w:r w:rsidRPr="006A09E9">
        <w:t xml:space="preserve"> and Howarth, R.J. (2004). Sr-isotope stratigraphy: the Phanerozoic 87Sr/86Sr-curve and explanatory notes. Pages 96–105 in F. Gradstein, J. Ogg, and A. G. Smith (eds). A geological timescale 2004. Cambridge University Press, Cambridge, UK.</w:t>
      </w:r>
    </w:p>
    <w:p w14:paraId="1FA786F1" w14:textId="77777777" w:rsidR="006C55C1" w:rsidRPr="000173B1" w:rsidRDefault="006C55C1" w:rsidP="006C55C1">
      <w:pPr>
        <w:rPr>
          <w:noProof/>
        </w:rPr>
      </w:pPr>
      <w:r w:rsidRPr="000173B1">
        <w:rPr>
          <w:noProof/>
        </w:rPr>
        <w:lastRenderedPageBreak/>
        <w:t xml:space="preserve">Maheshwari, B.L., Walker, K.F. and McMahon, T.A. (1995). Effects of regulation on the flow regime of the Murray River, Australia. </w:t>
      </w:r>
      <w:r w:rsidRPr="000173B1">
        <w:rPr>
          <w:i/>
          <w:noProof/>
        </w:rPr>
        <w:t>Regulated Rivers: Research and Management</w:t>
      </w:r>
      <w:r w:rsidRPr="000173B1">
        <w:rPr>
          <w:noProof/>
        </w:rPr>
        <w:t xml:space="preserve"> </w:t>
      </w:r>
      <w:r w:rsidRPr="000173B1">
        <w:rPr>
          <w:b/>
          <w:noProof/>
        </w:rPr>
        <w:t>10</w:t>
      </w:r>
      <w:r w:rsidRPr="000173B1">
        <w:rPr>
          <w:noProof/>
        </w:rPr>
        <w:t xml:space="preserve">, 15–38. </w:t>
      </w:r>
    </w:p>
    <w:p w14:paraId="78F0829F" w14:textId="65F66B6D" w:rsidR="006C55C1" w:rsidRPr="007D0512" w:rsidRDefault="006C55C1" w:rsidP="006C55C1">
      <w:r w:rsidRPr="007D0512">
        <w:t>M</w:t>
      </w:r>
      <w:r w:rsidR="00AD47B7">
        <w:t>allen-Cooper, M. and Stuart, I.</w:t>
      </w:r>
      <w:r w:rsidRPr="007D0512">
        <w:t xml:space="preserve">G. (2003). Age, growth and non-flood recruitment of two potamodromous fishes in a large semi-arid/temperate river system. </w:t>
      </w:r>
      <w:r w:rsidRPr="007D0512">
        <w:rPr>
          <w:i/>
        </w:rPr>
        <w:t>River Research and Applications</w:t>
      </w:r>
      <w:r w:rsidRPr="007D0512">
        <w:t xml:space="preserve"> </w:t>
      </w:r>
      <w:r w:rsidRPr="007D0512">
        <w:rPr>
          <w:b/>
        </w:rPr>
        <w:t>19</w:t>
      </w:r>
      <w:r w:rsidRPr="007D0512">
        <w:t>, 697–719.</w:t>
      </w:r>
    </w:p>
    <w:p w14:paraId="278FB372" w14:textId="1D77D6EE" w:rsidR="00AE1E34" w:rsidRDefault="00AE1E34" w:rsidP="00AE1E34">
      <w:r>
        <w:t>Mallen-Co</w:t>
      </w:r>
      <w:r w:rsidR="00384C08">
        <w:t>oper, M. and Zampatti, B. (2015</w:t>
      </w:r>
      <w:r>
        <w:t>). Background Paper: The Natural Flow Paradigm and managing flows in the Murray-Darling Basin. Report prepared for the Murray-Darling Basin Authority.</w:t>
      </w:r>
    </w:p>
    <w:p w14:paraId="3DCFFB02" w14:textId="77777777" w:rsidR="006C55C1" w:rsidRPr="007D0512" w:rsidRDefault="006C55C1" w:rsidP="006C55C1">
      <w:r w:rsidRPr="007D0512">
        <w:t>Mallen-Cooper, M., Zampatti, B., Hillman, T., King, A., Koehn, J., Saddlier, S., Sharpe, S. and Stuart I. (2011). Managing the Chowilla Creek Environmental Regulator for Fish Species at Risk. Report prepared for the South Australian Murray-Darling Basin Natural Resources Management Board.</w:t>
      </w:r>
    </w:p>
    <w:p w14:paraId="6EDD4F45" w14:textId="77777777" w:rsidR="006C55C1" w:rsidRPr="006A09E9" w:rsidRDefault="006C55C1" w:rsidP="006C55C1">
      <w:r w:rsidRPr="002C1FC3">
        <w:t xml:space="preserve">Mosley, L.M., Zammit, B., Corkhill, E., Heneker, T.M., Hipsey, M.R., Skinner, D.S. and Aldridge, K.T. (2012). The impact of extreme low flows on the water quality of the lower </w:t>
      </w:r>
      <w:r w:rsidRPr="006A09E9">
        <w:t xml:space="preserve">Murray River and lakes, South Australia. </w:t>
      </w:r>
      <w:r w:rsidRPr="006A09E9">
        <w:rPr>
          <w:i/>
        </w:rPr>
        <w:t>Water Resources Management</w:t>
      </w:r>
      <w:r w:rsidRPr="006A09E9">
        <w:t xml:space="preserve"> </w:t>
      </w:r>
      <w:r w:rsidRPr="006A09E9">
        <w:rPr>
          <w:b/>
        </w:rPr>
        <w:t>26</w:t>
      </w:r>
      <w:r w:rsidRPr="006A09E9">
        <w:t>, 3923–3946.</w:t>
      </w:r>
    </w:p>
    <w:p w14:paraId="3B36F836" w14:textId="77777777" w:rsidR="006C55C1" w:rsidRPr="006A09E9" w:rsidRDefault="006C55C1" w:rsidP="006C55C1">
      <w:r w:rsidRPr="006A09E9">
        <w:t>Murray–Darling Basin Authority (2012). Basin Plan. Murray–Darling Basin Authority, Canberra.</w:t>
      </w:r>
    </w:p>
    <w:p w14:paraId="46DD0A0E" w14:textId="77777777" w:rsidR="006C55C1" w:rsidRPr="00BD1626" w:rsidRDefault="006C55C1" w:rsidP="006C55C1">
      <w:pPr>
        <w:rPr>
          <w:noProof/>
          <w:szCs w:val="24"/>
        </w:rPr>
      </w:pPr>
      <w:r w:rsidRPr="00BD1626">
        <w:rPr>
          <w:noProof/>
          <w:szCs w:val="24"/>
        </w:rPr>
        <w:t>Noell, C.J., Ye, Q., Short, D., Bucater, L. and Wellman, N.R. (2009). Fish assemblages of the Murray Mouth and Coorong region, South Australia, during an extended drought period. CSIRO: Water for a Healthy Country National Research Flagship, Canberra.</w:t>
      </w:r>
    </w:p>
    <w:p w14:paraId="28D79E25" w14:textId="77777777" w:rsidR="006C55C1" w:rsidRPr="00BD1626" w:rsidRDefault="006C55C1" w:rsidP="006C55C1">
      <w:pPr>
        <w:rPr>
          <w:rFonts w:cstheme="minorHAnsi"/>
          <w:noProof/>
          <w:szCs w:val="24"/>
        </w:rPr>
      </w:pPr>
      <w:r w:rsidRPr="00BD1626">
        <w:rPr>
          <w:rFonts w:cstheme="minorHAnsi"/>
          <w:noProof/>
          <w:szCs w:val="24"/>
        </w:rPr>
        <w:t>Nicol, J.M. (2010). Vegetation monitoring of River Murray Wetlands downstream of Lock 1. South Australian Research and Development Institute (Aquatic Sciences), F2009/000416–1, Adelaide.</w:t>
      </w:r>
    </w:p>
    <w:p w14:paraId="72DAA9DC" w14:textId="2BD6B1EF" w:rsidR="006C55C1" w:rsidRPr="00F0104F" w:rsidRDefault="006C55C1" w:rsidP="006C55C1">
      <w:r w:rsidRPr="00F0104F">
        <w:t xml:space="preserve">Odum, H.T. (1956). Primary production in flowing waters. </w:t>
      </w:r>
      <w:r w:rsidRPr="00F0104F">
        <w:rPr>
          <w:i/>
        </w:rPr>
        <w:t>Limnology and Oceanography</w:t>
      </w:r>
      <w:r w:rsidRPr="00F0104F">
        <w:t xml:space="preserve"> </w:t>
      </w:r>
      <w:r w:rsidRPr="00F0104F">
        <w:rPr>
          <w:b/>
        </w:rPr>
        <w:t>1</w:t>
      </w:r>
      <w:r w:rsidR="003B2848">
        <w:t>,</w:t>
      </w:r>
      <w:r w:rsidRPr="00F0104F">
        <w:t xml:space="preserve"> 102–117.</w:t>
      </w:r>
    </w:p>
    <w:p w14:paraId="49B35482" w14:textId="00BEFBDF" w:rsidR="006C55C1" w:rsidRPr="00F0104F" w:rsidRDefault="006C55C1" w:rsidP="006C55C1">
      <w:r w:rsidRPr="00F0104F">
        <w:t>Oliver, R. and Lorenz, Z. (2010). Flow and metabolic activity in the channel of the Murray River. In: Ecosystem Response Modelling in the Murray-Darling Basin (Eds. Saintilan, N. and Overton, I.). CSIRO Publishing, Melbourne</w:t>
      </w:r>
      <w:r w:rsidR="0046489A">
        <w:t>.</w:t>
      </w:r>
    </w:p>
    <w:p w14:paraId="7FBDD52A" w14:textId="2C99711C" w:rsidR="006C55C1" w:rsidRPr="00F0104F" w:rsidRDefault="006C55C1" w:rsidP="006C55C1">
      <w:r w:rsidRPr="00F0104F">
        <w:lastRenderedPageBreak/>
        <w:t xml:space="preserve">Oliver, R. L. and Merrick, C. J. (2006). Partitioning of river metabolism identifies phytoplankton as a major contributor in the regulated Murray River (Australia). </w:t>
      </w:r>
      <w:r w:rsidRPr="00F0104F">
        <w:rPr>
          <w:i/>
        </w:rPr>
        <w:t>Freshwater Biology</w:t>
      </w:r>
      <w:r w:rsidRPr="00F0104F">
        <w:t xml:space="preserve"> </w:t>
      </w:r>
      <w:r w:rsidRPr="00F0104F">
        <w:rPr>
          <w:b/>
        </w:rPr>
        <w:t>51</w:t>
      </w:r>
      <w:r w:rsidR="003B2848">
        <w:t>,</w:t>
      </w:r>
      <w:r w:rsidRPr="00F0104F">
        <w:t xml:space="preserve"> 1131–1148.</w:t>
      </w:r>
    </w:p>
    <w:p w14:paraId="30A7B993" w14:textId="77777777" w:rsidR="006C55C1" w:rsidRPr="006A09E9" w:rsidRDefault="006C55C1" w:rsidP="006C55C1">
      <w:pPr>
        <w:rPr>
          <w:rFonts w:cstheme="minorHAnsi"/>
          <w:noProof/>
          <w:szCs w:val="24"/>
          <w:lang w:val="es-AR"/>
        </w:rPr>
      </w:pPr>
      <w:r w:rsidRPr="006A09E9">
        <w:rPr>
          <w:rFonts w:cstheme="minorHAnsi"/>
          <w:noProof/>
          <w:szCs w:val="24"/>
          <w:lang w:val="es-AR"/>
        </w:rPr>
        <w:t xml:space="preserve">Palmer, M.R. and Edmond, J.M. (1989). The strontium isotope budget of the modern ocean. </w:t>
      </w:r>
      <w:r w:rsidRPr="006A09E9">
        <w:rPr>
          <w:rFonts w:cstheme="minorHAnsi"/>
          <w:i/>
          <w:noProof/>
          <w:szCs w:val="24"/>
          <w:lang w:val="es-AR"/>
        </w:rPr>
        <w:t>Earth and Planetary Science Letters</w:t>
      </w:r>
      <w:r w:rsidRPr="006A09E9">
        <w:rPr>
          <w:rFonts w:cstheme="minorHAnsi"/>
          <w:noProof/>
          <w:szCs w:val="24"/>
          <w:lang w:val="es-AR"/>
        </w:rPr>
        <w:t xml:space="preserve"> </w:t>
      </w:r>
      <w:r w:rsidRPr="006A09E9">
        <w:rPr>
          <w:rFonts w:cstheme="minorHAnsi"/>
          <w:b/>
          <w:noProof/>
          <w:szCs w:val="24"/>
          <w:lang w:val="es-AR"/>
        </w:rPr>
        <w:t>92</w:t>
      </w:r>
      <w:r w:rsidRPr="006A09E9">
        <w:rPr>
          <w:rFonts w:cstheme="minorHAnsi"/>
          <w:noProof/>
          <w:szCs w:val="24"/>
          <w:lang w:val="es-AR"/>
        </w:rPr>
        <w:t xml:space="preserve">, 11–26. </w:t>
      </w:r>
    </w:p>
    <w:p w14:paraId="2D87060F" w14:textId="77777777" w:rsidR="006C55C1" w:rsidRPr="006A09E9" w:rsidRDefault="006C55C1" w:rsidP="006C55C1">
      <w:pPr>
        <w:rPr>
          <w:rFonts w:cstheme="minorHAnsi"/>
          <w:noProof/>
          <w:szCs w:val="24"/>
          <w:lang w:val="es-AR"/>
        </w:rPr>
      </w:pPr>
      <w:r w:rsidRPr="006A09E9">
        <w:rPr>
          <w:rFonts w:cstheme="minorHAnsi"/>
          <w:noProof/>
          <w:szCs w:val="24"/>
          <w:lang w:val="es-AR"/>
        </w:rPr>
        <w:t xml:space="preserve">Paton, C., Hellstrom, J., Paul, B., Woodhead, J. and Hergt, J. (2011) Iolite: Freeware for the visualisation and processing of mass spectrometric data. </w:t>
      </w:r>
      <w:r w:rsidRPr="006A09E9">
        <w:rPr>
          <w:rFonts w:cstheme="minorHAnsi"/>
          <w:i/>
          <w:noProof/>
          <w:szCs w:val="24"/>
          <w:lang w:val="es-AR"/>
        </w:rPr>
        <w:t>Journal of Analytical Atomic Spectrometry</w:t>
      </w:r>
      <w:r w:rsidRPr="006A09E9">
        <w:rPr>
          <w:rFonts w:cstheme="minorHAnsi"/>
          <w:noProof/>
          <w:szCs w:val="24"/>
          <w:lang w:val="es-AR"/>
        </w:rPr>
        <w:t xml:space="preserve"> </w:t>
      </w:r>
      <w:r w:rsidRPr="006A09E9">
        <w:rPr>
          <w:rFonts w:cstheme="minorHAnsi"/>
          <w:b/>
          <w:noProof/>
          <w:szCs w:val="24"/>
          <w:lang w:val="es-AR"/>
        </w:rPr>
        <w:t>26</w:t>
      </w:r>
      <w:r w:rsidRPr="006A09E9">
        <w:rPr>
          <w:rFonts w:cstheme="minorHAnsi"/>
          <w:noProof/>
          <w:szCs w:val="24"/>
          <w:lang w:val="es-AR"/>
        </w:rPr>
        <w:t>, 2508–2518.</w:t>
      </w:r>
    </w:p>
    <w:p w14:paraId="30003622" w14:textId="6D1C3953" w:rsidR="006C55C1" w:rsidRPr="007D0512" w:rsidRDefault="006C55C1" w:rsidP="006C55C1">
      <w:pPr>
        <w:rPr>
          <w:szCs w:val="22"/>
        </w:rPr>
      </w:pPr>
      <w:r w:rsidRPr="006A09E9">
        <w:rPr>
          <w:szCs w:val="22"/>
        </w:rPr>
        <w:t>Pernthaler, J. and Posch, T. (2009). Microbial food webs. In Encyclopedia of inland waters. (Ed. GE Likens) pp. 244</w:t>
      </w:r>
      <w:r w:rsidR="00AD47B7">
        <w:rPr>
          <w:szCs w:val="22"/>
        </w:rPr>
        <w:t>–251. Academic Press Inc.</w:t>
      </w:r>
    </w:p>
    <w:p w14:paraId="1329712C" w14:textId="77777777" w:rsidR="006C55C1" w:rsidRPr="006A09E9" w:rsidRDefault="006C55C1" w:rsidP="006C55C1">
      <w:pPr>
        <w:rPr>
          <w:rFonts w:cstheme="minorHAnsi"/>
          <w:noProof/>
          <w:szCs w:val="24"/>
          <w:lang w:val="es-AR"/>
        </w:rPr>
      </w:pPr>
      <w:r w:rsidRPr="006A09E9">
        <w:rPr>
          <w:rFonts w:cstheme="minorHAnsi"/>
          <w:noProof/>
          <w:szCs w:val="24"/>
          <w:lang w:val="es-AR"/>
        </w:rPr>
        <w:t xml:space="preserve">Pin, C., Briot, D., Bassin, C. and Poitrasson, F. (1994). Concomitant separation of strontium and samarium-neodymium for isotopic analysis in silicate samples, based on specific extraction chromatography. </w:t>
      </w:r>
      <w:r w:rsidRPr="006A09E9">
        <w:rPr>
          <w:rFonts w:cstheme="minorHAnsi"/>
          <w:i/>
          <w:noProof/>
          <w:szCs w:val="24"/>
          <w:lang w:val="es-AR"/>
        </w:rPr>
        <w:t>Analytica Chimica Acta</w:t>
      </w:r>
      <w:r w:rsidRPr="006A09E9">
        <w:rPr>
          <w:rFonts w:cstheme="minorHAnsi"/>
          <w:noProof/>
          <w:szCs w:val="24"/>
          <w:lang w:val="es-AR"/>
        </w:rPr>
        <w:t xml:space="preserve"> </w:t>
      </w:r>
      <w:r w:rsidRPr="006A09E9">
        <w:rPr>
          <w:rFonts w:cstheme="minorHAnsi"/>
          <w:b/>
          <w:noProof/>
          <w:szCs w:val="24"/>
          <w:lang w:val="es-AR"/>
        </w:rPr>
        <w:t>298</w:t>
      </w:r>
      <w:r w:rsidRPr="006A09E9">
        <w:rPr>
          <w:rFonts w:cstheme="minorHAnsi"/>
          <w:noProof/>
          <w:szCs w:val="24"/>
          <w:lang w:val="es-AR"/>
        </w:rPr>
        <w:t>, 209–217.</w:t>
      </w:r>
    </w:p>
    <w:p w14:paraId="37E76F04" w14:textId="77777777" w:rsidR="006C55C1" w:rsidRPr="000173B1" w:rsidRDefault="006C55C1" w:rsidP="006C55C1">
      <w:pPr>
        <w:rPr>
          <w:noProof/>
          <w:lang w:eastAsia="en-AU"/>
        </w:rPr>
      </w:pPr>
      <w:r w:rsidRPr="000173B1">
        <w:rPr>
          <w:noProof/>
          <w:lang w:eastAsia="en-AU"/>
        </w:rPr>
        <w:t xml:space="preserve">Poff, N.L., Allan, J.D., Bain, M.B., Karr, J.R., Prestegaard, K.L., Richter, B.D., Sparks, R.E. and Stromberg, J.C. (1997). The natural flow regime: A paradigm for river conservation and restoration. </w:t>
      </w:r>
      <w:r w:rsidRPr="000173B1">
        <w:rPr>
          <w:i/>
          <w:noProof/>
          <w:lang w:eastAsia="en-AU"/>
        </w:rPr>
        <w:t>BioScience</w:t>
      </w:r>
      <w:r w:rsidRPr="000173B1">
        <w:rPr>
          <w:noProof/>
          <w:lang w:eastAsia="en-AU"/>
        </w:rPr>
        <w:t xml:space="preserve"> </w:t>
      </w:r>
      <w:r w:rsidRPr="000173B1">
        <w:rPr>
          <w:b/>
          <w:noProof/>
          <w:lang w:eastAsia="en-AU"/>
        </w:rPr>
        <w:t>47</w:t>
      </w:r>
      <w:r w:rsidRPr="000173B1">
        <w:rPr>
          <w:noProof/>
          <w:lang w:eastAsia="en-AU"/>
        </w:rPr>
        <w:t>, 769–784.</w:t>
      </w:r>
    </w:p>
    <w:p w14:paraId="449AB19D" w14:textId="77777777" w:rsidR="006C55C1" w:rsidRPr="006A09E9" w:rsidRDefault="006C55C1" w:rsidP="006C55C1">
      <w:pPr>
        <w:rPr>
          <w:noProof/>
        </w:rPr>
      </w:pPr>
      <w:r w:rsidRPr="006A09E9">
        <w:rPr>
          <w:noProof/>
        </w:rPr>
        <w:t xml:space="preserve">Portinho, J.L., Nielsen, D.L., Ning, N., Paul, W. and Nogueira, M. (2016). Spatial variability of aquatic plant and microfaunal seed and egg bank communities within a forested floodplain system of a temperate Australian river. </w:t>
      </w:r>
      <w:r w:rsidRPr="006A09E9">
        <w:rPr>
          <w:i/>
          <w:noProof/>
        </w:rPr>
        <w:t>Aquatic Sciences</w:t>
      </w:r>
      <w:r w:rsidRPr="006A09E9">
        <w:rPr>
          <w:noProof/>
        </w:rPr>
        <w:t>, DOI: 10.1007/s00027-016-0514-z.</w:t>
      </w:r>
    </w:p>
    <w:p w14:paraId="7D9CA09C" w14:textId="77777777" w:rsidR="006C55C1" w:rsidRPr="006A09E9" w:rsidRDefault="006C55C1" w:rsidP="006C55C1">
      <w:pPr>
        <w:rPr>
          <w:noProof/>
        </w:rPr>
      </w:pPr>
      <w:r w:rsidRPr="006A09E9">
        <w:rPr>
          <w:noProof/>
        </w:rPr>
        <w:t xml:space="preserve">Richter, B.D., Baumgartner, J.V., Powell, J. and Braun, D.P. (1996). A method for assessing hydrologic alteration within ecosystems. </w:t>
      </w:r>
      <w:r w:rsidRPr="006A09E9">
        <w:rPr>
          <w:i/>
          <w:noProof/>
        </w:rPr>
        <w:t>Conservation Biology</w:t>
      </w:r>
      <w:r w:rsidRPr="006A09E9">
        <w:rPr>
          <w:noProof/>
        </w:rPr>
        <w:t xml:space="preserve"> </w:t>
      </w:r>
      <w:r w:rsidRPr="006A09E9">
        <w:rPr>
          <w:b/>
          <w:noProof/>
        </w:rPr>
        <w:t>10</w:t>
      </w:r>
      <w:r w:rsidRPr="006A09E9">
        <w:rPr>
          <w:noProof/>
        </w:rPr>
        <w:t>, 1163–1174.</w:t>
      </w:r>
    </w:p>
    <w:p w14:paraId="7CCA72EF" w14:textId="77777777" w:rsidR="006C55C1" w:rsidRPr="006A09E9" w:rsidRDefault="006C55C1" w:rsidP="006C55C1">
      <w:pPr>
        <w:rPr>
          <w:noProof/>
        </w:rPr>
      </w:pPr>
      <w:r w:rsidRPr="006A09E9">
        <w:rPr>
          <w:noProof/>
        </w:rPr>
        <w:t>Serafini, L.G. and Humphries, P. (2004) Preliminary guide to the identification of larvae of fish, with a bibliography of their studies, from the Murray-Darling basin. Cooperative Research Centre for Freshwater ecology, Murray-Darling Freshwater Research Centre, Albury and Monash University, Clayton, No. Identification and Ecology Guide No. 48.</w:t>
      </w:r>
    </w:p>
    <w:p w14:paraId="7DA83B2C" w14:textId="77777777" w:rsidR="006C55C1" w:rsidRPr="007D0512" w:rsidRDefault="006C55C1" w:rsidP="006C55C1">
      <w:pPr>
        <w:rPr>
          <w:szCs w:val="22"/>
        </w:rPr>
      </w:pPr>
      <w:r w:rsidRPr="006A09E9">
        <w:rPr>
          <w:szCs w:val="22"/>
        </w:rPr>
        <w:t>Schmid-Araya, J.M. and Schmid, P.E. (2000). Trophic</w:t>
      </w:r>
      <w:r w:rsidRPr="007D0512">
        <w:rPr>
          <w:szCs w:val="22"/>
        </w:rPr>
        <w:t xml:space="preserve"> relationships: Integrating meiofauna into a realistic benthic food web. </w:t>
      </w:r>
      <w:r w:rsidRPr="007D0512">
        <w:rPr>
          <w:i/>
          <w:szCs w:val="22"/>
        </w:rPr>
        <w:t>Freshwater Biology</w:t>
      </w:r>
      <w:r w:rsidRPr="007D0512">
        <w:rPr>
          <w:szCs w:val="22"/>
        </w:rPr>
        <w:t xml:space="preserve"> </w:t>
      </w:r>
      <w:r w:rsidRPr="007D0512">
        <w:rPr>
          <w:b/>
          <w:szCs w:val="22"/>
        </w:rPr>
        <w:t>44</w:t>
      </w:r>
      <w:r w:rsidRPr="007D0512">
        <w:rPr>
          <w:szCs w:val="22"/>
        </w:rPr>
        <w:t>, 149–163.</w:t>
      </w:r>
    </w:p>
    <w:p w14:paraId="39F30D08" w14:textId="3944D858" w:rsidR="006C55C1" w:rsidRPr="007D0512" w:rsidRDefault="006C55C1" w:rsidP="006C55C1">
      <w:pPr>
        <w:rPr>
          <w:szCs w:val="22"/>
        </w:rPr>
      </w:pPr>
      <w:r w:rsidRPr="007D0512">
        <w:rPr>
          <w:szCs w:val="22"/>
        </w:rPr>
        <w:lastRenderedPageBreak/>
        <w:t xml:space="preserve">Shiel, R.J., Walker, K.F. and Williams, W.D. (1982). Plankton of the Lower River Murray, South Australia. </w:t>
      </w:r>
      <w:r w:rsidRPr="007D0512">
        <w:rPr>
          <w:i/>
          <w:szCs w:val="22"/>
        </w:rPr>
        <w:t xml:space="preserve">Auststralian Journal of Marine and Freshwater Research </w:t>
      </w:r>
      <w:r w:rsidRPr="007D0512">
        <w:rPr>
          <w:b/>
          <w:szCs w:val="22"/>
        </w:rPr>
        <w:t>33</w:t>
      </w:r>
      <w:r w:rsidRPr="007D0512">
        <w:rPr>
          <w:szCs w:val="22"/>
        </w:rPr>
        <w:t>, 301</w:t>
      </w:r>
      <w:r w:rsidR="0046489A">
        <w:rPr>
          <w:szCs w:val="22"/>
        </w:rPr>
        <w:t>–</w:t>
      </w:r>
      <w:r w:rsidRPr="007D0512">
        <w:rPr>
          <w:szCs w:val="22"/>
        </w:rPr>
        <w:t>327.</w:t>
      </w:r>
    </w:p>
    <w:p w14:paraId="3C47C419" w14:textId="77777777" w:rsidR="006C55C1" w:rsidRPr="007D0512" w:rsidRDefault="006C55C1" w:rsidP="006C55C1">
      <w:pPr>
        <w:rPr>
          <w:szCs w:val="22"/>
        </w:rPr>
      </w:pPr>
      <w:r w:rsidRPr="007D0512">
        <w:rPr>
          <w:szCs w:val="22"/>
        </w:rPr>
        <w:t xml:space="preserve">Tan, L.W. and Shiel, R.J. (1993). Responses of billabong rotifer communities to inundation. </w:t>
      </w:r>
      <w:r w:rsidRPr="007D0512">
        <w:rPr>
          <w:i/>
          <w:szCs w:val="22"/>
        </w:rPr>
        <w:t>Hydrobiologia</w:t>
      </w:r>
      <w:r w:rsidRPr="007D0512">
        <w:rPr>
          <w:szCs w:val="22"/>
        </w:rPr>
        <w:t xml:space="preserve"> </w:t>
      </w:r>
      <w:r w:rsidRPr="007D0512">
        <w:rPr>
          <w:b/>
          <w:szCs w:val="22"/>
        </w:rPr>
        <w:t>255/256</w:t>
      </w:r>
      <w:r w:rsidRPr="007D0512">
        <w:rPr>
          <w:szCs w:val="22"/>
        </w:rPr>
        <w:t>, 361–369.</w:t>
      </w:r>
    </w:p>
    <w:p w14:paraId="283AC4E8" w14:textId="77777777" w:rsidR="006C55C1" w:rsidRPr="000173B1" w:rsidRDefault="006C55C1" w:rsidP="006C55C1">
      <w:pPr>
        <w:rPr>
          <w:noProof/>
        </w:rPr>
      </w:pPr>
      <w:r w:rsidRPr="000173B1">
        <w:rPr>
          <w:noProof/>
        </w:rPr>
        <w:t xml:space="preserve">Tockner, K. and Stanford, J.A. (2002). Riverine flood plains: present state and future trends. </w:t>
      </w:r>
      <w:r w:rsidRPr="000173B1">
        <w:rPr>
          <w:i/>
          <w:noProof/>
        </w:rPr>
        <w:t>Environmental Conservation</w:t>
      </w:r>
      <w:r w:rsidRPr="000173B1">
        <w:rPr>
          <w:noProof/>
        </w:rPr>
        <w:t xml:space="preserve"> </w:t>
      </w:r>
      <w:r w:rsidRPr="000173B1">
        <w:rPr>
          <w:b/>
          <w:noProof/>
        </w:rPr>
        <w:t>29</w:t>
      </w:r>
      <w:r w:rsidRPr="000173B1">
        <w:rPr>
          <w:noProof/>
        </w:rPr>
        <w:t>, 308–330.</w:t>
      </w:r>
    </w:p>
    <w:p w14:paraId="71A0B93E" w14:textId="77777777" w:rsidR="006C55C1" w:rsidRPr="007D0512" w:rsidRDefault="006C55C1" w:rsidP="006C55C1">
      <w:pPr>
        <w:rPr>
          <w:noProof/>
        </w:rPr>
      </w:pPr>
      <w:r w:rsidRPr="007D0512">
        <w:rPr>
          <w:noProof/>
        </w:rPr>
        <w:t xml:space="preserve">Tonkin, Z.D., Humphries, P. and Pridmore, P.A. (2006). Ontogeny and feeding in two native and one alien fish species from the Murray–Darling Basin, Australia. </w:t>
      </w:r>
      <w:r w:rsidRPr="007D0512">
        <w:rPr>
          <w:i/>
          <w:noProof/>
        </w:rPr>
        <w:t>Environmental Biology of Fishes</w:t>
      </w:r>
      <w:r w:rsidRPr="007D0512">
        <w:rPr>
          <w:noProof/>
        </w:rPr>
        <w:t xml:space="preserve"> </w:t>
      </w:r>
      <w:r w:rsidRPr="007D0512">
        <w:rPr>
          <w:b/>
          <w:noProof/>
        </w:rPr>
        <w:t>76</w:t>
      </w:r>
      <w:r w:rsidRPr="007D0512">
        <w:rPr>
          <w:noProof/>
        </w:rPr>
        <w:t>, 303–315.</w:t>
      </w:r>
    </w:p>
    <w:p w14:paraId="3DEF6BDF" w14:textId="77777777" w:rsidR="006C55C1" w:rsidRPr="006A09E9" w:rsidRDefault="006C55C1" w:rsidP="006C55C1">
      <w:pPr>
        <w:rPr>
          <w:noProof/>
        </w:rPr>
      </w:pPr>
      <w:r w:rsidRPr="006A09E9">
        <w:rPr>
          <w:noProof/>
        </w:rPr>
        <w:t xml:space="preserve">Vilizzi, L. and Walker, K.F. (1999). Age and growth of common carp, </w:t>
      </w:r>
      <w:r w:rsidRPr="006A09E9">
        <w:rPr>
          <w:i/>
          <w:noProof/>
        </w:rPr>
        <w:t>Cyprinus carpio</w:t>
      </w:r>
      <w:r w:rsidRPr="006A09E9">
        <w:rPr>
          <w:noProof/>
        </w:rPr>
        <w:t xml:space="preserve">, in the River Murray, Australia: validation, consistency of age interpretation and growth models. Environmental Biology of Fishes </w:t>
      </w:r>
      <w:r w:rsidRPr="006A09E9">
        <w:rPr>
          <w:b/>
          <w:noProof/>
        </w:rPr>
        <w:t>54</w:t>
      </w:r>
      <w:r w:rsidRPr="006A09E9">
        <w:rPr>
          <w:noProof/>
        </w:rPr>
        <w:t xml:space="preserve">, 77–106. </w:t>
      </w:r>
    </w:p>
    <w:p w14:paraId="250A16AA" w14:textId="77777777" w:rsidR="006C55C1" w:rsidRPr="00BD1626" w:rsidRDefault="006C55C1" w:rsidP="006C55C1">
      <w:r w:rsidRPr="00BD1626">
        <w:t xml:space="preserve">Walker, K.F. (1985). A review of the ecological effects of river regulation in Australia. </w:t>
      </w:r>
      <w:r w:rsidRPr="00BD1626">
        <w:rPr>
          <w:i/>
        </w:rPr>
        <w:t>Hydrobiologia</w:t>
      </w:r>
      <w:r w:rsidRPr="00BD1626">
        <w:t xml:space="preserve"> </w:t>
      </w:r>
      <w:r w:rsidRPr="00BD1626">
        <w:rPr>
          <w:b/>
        </w:rPr>
        <w:t>125</w:t>
      </w:r>
      <w:r w:rsidRPr="00BD1626">
        <w:t xml:space="preserve">, 111–129. </w:t>
      </w:r>
    </w:p>
    <w:p w14:paraId="0F144AA2" w14:textId="77777777" w:rsidR="006C55C1" w:rsidRPr="00BD1626" w:rsidRDefault="006C55C1" w:rsidP="006C55C1">
      <w:r w:rsidRPr="00BD1626">
        <w:t>Walker, K.F. (2006). Serial weirs, cumulative effects: the Lower Murray River, Australia. In: Ecology of Desert Rivers (Ed. R. Kingsford) pp. 248–279. Cambridge University Press, Cambridge.</w:t>
      </w:r>
    </w:p>
    <w:p w14:paraId="187FD849" w14:textId="77777777" w:rsidR="006C55C1" w:rsidRPr="000173B1" w:rsidRDefault="006C55C1" w:rsidP="006C55C1">
      <w:pPr>
        <w:rPr>
          <w:noProof/>
        </w:rPr>
      </w:pPr>
      <w:r w:rsidRPr="000173B1">
        <w:rPr>
          <w:noProof/>
        </w:rPr>
        <w:t xml:space="preserve">Walker, K.F., Sheldon, F. and Puckridge, J.T. (1995). An ecological perspective on dryland rivers. </w:t>
      </w:r>
      <w:r w:rsidRPr="000173B1">
        <w:rPr>
          <w:i/>
          <w:noProof/>
        </w:rPr>
        <w:t>Regulated Rivers: Research &amp; Management</w:t>
      </w:r>
      <w:r w:rsidRPr="000173B1">
        <w:rPr>
          <w:noProof/>
        </w:rPr>
        <w:t xml:space="preserve"> </w:t>
      </w:r>
      <w:r w:rsidRPr="000173B1">
        <w:rPr>
          <w:b/>
          <w:noProof/>
        </w:rPr>
        <w:t>11</w:t>
      </w:r>
      <w:r w:rsidRPr="000173B1">
        <w:rPr>
          <w:noProof/>
        </w:rPr>
        <w:t>, 85–104.</w:t>
      </w:r>
    </w:p>
    <w:p w14:paraId="7B991B2B" w14:textId="77777777" w:rsidR="006C55C1" w:rsidRPr="00BD1626" w:rsidRDefault="006C55C1" w:rsidP="006C55C1">
      <w:r w:rsidRPr="00BD1626">
        <w:t xml:space="preserve">Walker, K.F. and Thoms, M.C. (1993). Environmental effects of flow regulation on the Lower Murray River, Australia. </w:t>
      </w:r>
      <w:r w:rsidRPr="00BD1626">
        <w:rPr>
          <w:i/>
        </w:rPr>
        <w:t>Regulated Rivers: Research and Management</w:t>
      </w:r>
      <w:r w:rsidRPr="00BD1626">
        <w:t xml:space="preserve"> </w:t>
      </w:r>
      <w:r w:rsidRPr="00BD1626">
        <w:rPr>
          <w:b/>
        </w:rPr>
        <w:t>8</w:t>
      </w:r>
      <w:r w:rsidRPr="00BD1626">
        <w:t>, 103–119.</w:t>
      </w:r>
    </w:p>
    <w:p w14:paraId="3BB438BB" w14:textId="77777777" w:rsidR="006C55C1" w:rsidRPr="002C1FC3" w:rsidRDefault="006C55C1" w:rsidP="006C55C1">
      <w:pPr>
        <w:rPr>
          <w:noProof/>
        </w:rPr>
      </w:pPr>
      <w:r w:rsidRPr="002C1FC3">
        <w:rPr>
          <w:noProof/>
        </w:rPr>
        <w:t>Wallace, T.A. and Cummings, C.R. (2016a). Influence of water level manipulation on open water metabolism in a highly regulated lowland river. School of Biological Science, The University of Adelaide; South Australian Environment Protection Authority, Adelaide.</w:t>
      </w:r>
    </w:p>
    <w:p w14:paraId="0BF13E5F" w14:textId="77777777" w:rsidR="006C55C1" w:rsidRDefault="006C55C1" w:rsidP="006C55C1">
      <w:pPr>
        <w:rPr>
          <w:noProof/>
        </w:rPr>
      </w:pPr>
      <w:r w:rsidRPr="002C1FC3">
        <w:rPr>
          <w:noProof/>
        </w:rPr>
        <w:t>Wallace, T.A. and Cummings, C.R. (2016b). Influence of water level manipulation on biofilm composition in a highly regulated lowland river. School of Biological Science, The University of Adelaide; South Australian Environment Protection Authority, Adelaide.</w:t>
      </w:r>
    </w:p>
    <w:p w14:paraId="4CD260D5" w14:textId="1A6A01F5" w:rsidR="006A10F4" w:rsidRPr="002C1FC3" w:rsidRDefault="006A10F4" w:rsidP="006C55C1">
      <w:pPr>
        <w:rPr>
          <w:noProof/>
        </w:rPr>
      </w:pPr>
      <w:r w:rsidRPr="006A10F4">
        <w:rPr>
          <w:noProof/>
        </w:rPr>
        <w:lastRenderedPageBreak/>
        <w:t>Wallace, T.A., Daly, R., Aldridge, K.T., Cox, J., Gibbs, M.S., Nicol, J.M., Oli</w:t>
      </w:r>
      <w:r>
        <w:rPr>
          <w:noProof/>
        </w:rPr>
        <w:t>ver, R.L., Walker, K.F., Ye, Q. and</w:t>
      </w:r>
      <w:r w:rsidRPr="006A10F4">
        <w:rPr>
          <w:noProof/>
        </w:rPr>
        <w:t xml:space="preserve"> Zampatti, B.P. </w:t>
      </w:r>
      <w:r>
        <w:rPr>
          <w:noProof/>
        </w:rPr>
        <w:t>(</w:t>
      </w:r>
      <w:r w:rsidRPr="006A10F4">
        <w:rPr>
          <w:noProof/>
        </w:rPr>
        <w:t>2014</w:t>
      </w:r>
      <w:r>
        <w:rPr>
          <w:noProof/>
        </w:rPr>
        <w:t>).</w:t>
      </w:r>
      <w:r w:rsidRPr="006A10F4">
        <w:rPr>
          <w:noProof/>
        </w:rPr>
        <w:t xml:space="preserve"> River Murray Channel Environmental Water Requirements: Hydrodynamic Modelling Results and Conceptual Models, Goyder Institute for Water Research Technical Report Series No. 14/5, Adelaide, South Australia</w:t>
      </w:r>
      <w:r>
        <w:rPr>
          <w:noProof/>
        </w:rPr>
        <w:t>.</w:t>
      </w:r>
    </w:p>
    <w:p w14:paraId="40F26D39" w14:textId="77777777" w:rsidR="006C55C1" w:rsidRPr="006927F9" w:rsidRDefault="006C55C1" w:rsidP="006C55C1">
      <w:pPr>
        <w:rPr>
          <w:noProof/>
        </w:rPr>
      </w:pPr>
      <w:r w:rsidRPr="006927F9">
        <w:rPr>
          <w:noProof/>
        </w:rPr>
        <w:t xml:space="preserve">Woodhead, J., Swearer, S., Hergt, J. and Maas, R. (2005). In situ Sr-isotope analysis of carbonates by LA-MC-ICP-MS: interference corrections, high spatial resolution and an example from otolith studies. </w:t>
      </w:r>
      <w:r w:rsidRPr="006927F9">
        <w:rPr>
          <w:i/>
          <w:noProof/>
        </w:rPr>
        <w:t>Journal of Analytic Atomic Spectrometry</w:t>
      </w:r>
      <w:r w:rsidRPr="006927F9">
        <w:rPr>
          <w:noProof/>
        </w:rPr>
        <w:t xml:space="preserve"> </w:t>
      </w:r>
      <w:r w:rsidRPr="006927F9">
        <w:rPr>
          <w:b/>
          <w:noProof/>
        </w:rPr>
        <w:t>20</w:t>
      </w:r>
      <w:r w:rsidRPr="006927F9">
        <w:rPr>
          <w:noProof/>
        </w:rPr>
        <w:t>, 22–27.</w:t>
      </w:r>
    </w:p>
    <w:p w14:paraId="2F54EBB7" w14:textId="77777777" w:rsidR="006C55C1" w:rsidRPr="00BD1626" w:rsidRDefault="006C55C1" w:rsidP="006C55C1">
      <w:r w:rsidRPr="006927F9">
        <w:t>Ye, Q., Aldridge, K., Bucater, L., Bice, C., Busch, B., Cheshire, K.J.M, Fleer, D., Hipsey, M., Leigh, S.J., Livore, J.P., Nicol, J., Wilson,</w:t>
      </w:r>
      <w:r w:rsidRPr="00BD1626">
        <w:t xml:space="preserve"> P.J. and Zampatti, B.P. (2015a). Monitoring of ecological responses to the delivery of Commonwealth environmental water in the lower River Murray, during 2011-12. Final report prepared for Commonwealth Environmental Water Office. South Australian Research and Development Institute, Aquatic Sciences. </w:t>
      </w:r>
    </w:p>
    <w:p w14:paraId="67E3944F" w14:textId="77777777" w:rsidR="006C55C1" w:rsidRPr="00F0104F" w:rsidRDefault="006C55C1" w:rsidP="006C55C1">
      <w:r w:rsidRPr="00F0104F">
        <w:t>Ye, Q., Giatas, G., Aldridge, K., Busch, B., Gibbs, M., Hipsey, M., Lorenz, Z., Oliver, R., Shiel, R. and Zampatti, B. (2016a). Long-Term Intervention Monitoring for the Ecological Responses to Commonwealth Environmental Water Delivered to the Lower Murray River Selected Area in 2014/15. A report prepared for the Commonwealth Environmental Water Office. South Australian Research and Development Institute, Aquatic Sciences.</w:t>
      </w:r>
    </w:p>
    <w:p w14:paraId="20BD89D2" w14:textId="77777777" w:rsidR="006C55C1" w:rsidRPr="00BD1626" w:rsidRDefault="006C55C1" w:rsidP="006C55C1">
      <w:pPr>
        <w:rPr>
          <w:rFonts w:cstheme="minorHAnsi"/>
          <w:noProof/>
          <w:szCs w:val="24"/>
        </w:rPr>
      </w:pPr>
      <w:r w:rsidRPr="00BD1626">
        <w:rPr>
          <w:rFonts w:cstheme="minorHAnsi"/>
          <w:noProof/>
          <w:szCs w:val="24"/>
        </w:rPr>
        <w:t>Ye, Q., Giatas, G.C., Aldridge, K.T., Benger, S.N., Bice, C.M., Brookes, J.D., Bucater, L.B., Cheshire, K.J.M., Cummings, C.R., Doody, T.M., Fairweather, P.G., Frahn, K.A., Fredberg, J.F., Gehrig, S.L., Holland, K.L., Leigh, S.L., Lester, R.E., Lorenz, Z., Marsland, K.B., Nicol, J.M., Oliver, R.L., Overton, I.C., Pritchard, J.L., Strawbridge, A.D., Thwaites, L.A., Turnadge, C.J., Wilson, P.K. and Zampatti, B.P. (2014). Ecological responses to flooding in the lower River Murray following an extended drought. Synthesis Report of the Murray Flood Ecology Project. Goyder Institute for Water Research Technical Report Series No. 14/6.</w:t>
      </w:r>
    </w:p>
    <w:p w14:paraId="3D3F294E" w14:textId="77777777" w:rsidR="00EA349B" w:rsidRDefault="00EA349B" w:rsidP="0046489A"/>
    <w:p w14:paraId="63A6E1ED" w14:textId="77777777" w:rsidR="00EA349B" w:rsidRDefault="00EA349B">
      <w:pPr>
        <w:spacing w:before="0" w:after="200" w:line="276" w:lineRule="auto"/>
        <w:jc w:val="left"/>
      </w:pPr>
      <w:r>
        <w:br w:type="page"/>
      </w:r>
    </w:p>
    <w:p w14:paraId="65D9A984" w14:textId="6DC89E58" w:rsidR="00361918" w:rsidRDefault="006C55C1" w:rsidP="0046489A">
      <w:r w:rsidRPr="00BD1626">
        <w:lastRenderedPageBreak/>
        <w:t xml:space="preserve">Ye, Q., Livore, J.P., Aldridge, K., Bradford, T. , Busch, B., Earl, J., Hipsey, M., Hoffmann, E., Joehnk, K., Lorenz, Z., Nicol, J., Oliver, R., Shiel, R., Suitor, L., Tan, L., Turner, R., Wegener, I., Wilson, P.J. and Zampatti, B.P. (2015b). Monitoring the ecological responses to Commonwealth environmental water delivered to the Lower Murray River in 2012-13. Report 3, prepared for Commonwealth Environmental Water Office. South Australian Research and Development Institute, Aquatic Sciences. </w:t>
      </w:r>
    </w:p>
    <w:p w14:paraId="64B2682C" w14:textId="09A93588" w:rsidR="006C55C1" w:rsidRPr="00BD1626" w:rsidRDefault="006C55C1" w:rsidP="006C55C1">
      <w:r>
        <w:t>Ye, Q., Livore, J., Aldridge, K., Giatas, G., Hipsey, M., Joehnk, K., Nicol, J., Wilson, P. and Zampatti, B.</w:t>
      </w:r>
      <w:r w:rsidRPr="00BD1626">
        <w:t xml:space="preserve"> (2016</w:t>
      </w:r>
      <w:r>
        <w:t>b</w:t>
      </w:r>
      <w:r w:rsidRPr="00BD1626">
        <w:t>). Monitoring ecological response to Commonwealth environmental water delivered to the Lower Murray River in 2013-14. Final Report prepared for the Commonwealth Environmental Water Office. South Australian Res</w:t>
      </w:r>
      <w:r>
        <w:t>earch and Development Institute, Aquatic Sciences.</w:t>
      </w:r>
    </w:p>
    <w:p w14:paraId="2B534BE2" w14:textId="77777777" w:rsidR="006C55C1" w:rsidRPr="00F0104F" w:rsidRDefault="006C55C1" w:rsidP="006C55C1">
      <w:r w:rsidRPr="00F0104F">
        <w:t xml:space="preserve">Young, R.G. and Huryn, A.D. (1996). Interannual variation in discharge controls ecosystem metabolism along a grassland river continuum. </w:t>
      </w:r>
      <w:r w:rsidRPr="00F0104F">
        <w:rPr>
          <w:i/>
        </w:rPr>
        <w:t>Canadian Journal of Fisheries and Aquatic Sciences</w:t>
      </w:r>
      <w:r w:rsidRPr="00F0104F">
        <w:t xml:space="preserve"> </w:t>
      </w:r>
      <w:r w:rsidRPr="00F0104F">
        <w:rPr>
          <w:b/>
        </w:rPr>
        <w:t>53</w:t>
      </w:r>
      <w:r w:rsidRPr="00F0104F">
        <w:t>: 2199–2211.</w:t>
      </w:r>
    </w:p>
    <w:p w14:paraId="3592E628" w14:textId="77777777" w:rsidR="006C55C1" w:rsidRPr="007D0512" w:rsidRDefault="006C55C1" w:rsidP="006C55C1">
      <w:pPr>
        <w:rPr>
          <w:noProof/>
          <w:szCs w:val="24"/>
        </w:rPr>
      </w:pPr>
      <w:r w:rsidRPr="00BD1626">
        <w:rPr>
          <w:noProof/>
          <w:szCs w:val="24"/>
        </w:rPr>
        <w:t xml:space="preserve">Zampatti, B.P., Bice, C.M. and Jennings, P.R. (2010). Temporal variability in fish assemblage structure and recruitment in a freshwater-deprived estuary: The coorong, australia. </w:t>
      </w:r>
      <w:r w:rsidRPr="00BD1626">
        <w:rPr>
          <w:i/>
          <w:noProof/>
          <w:szCs w:val="24"/>
        </w:rPr>
        <w:t xml:space="preserve">Marine </w:t>
      </w:r>
      <w:r w:rsidRPr="007D0512">
        <w:rPr>
          <w:i/>
          <w:noProof/>
          <w:szCs w:val="24"/>
        </w:rPr>
        <w:t>and Freshwater Research</w:t>
      </w:r>
      <w:r w:rsidRPr="007D0512">
        <w:rPr>
          <w:noProof/>
          <w:szCs w:val="24"/>
        </w:rPr>
        <w:t xml:space="preserve"> </w:t>
      </w:r>
      <w:r w:rsidRPr="007D0512">
        <w:rPr>
          <w:b/>
          <w:noProof/>
          <w:szCs w:val="24"/>
        </w:rPr>
        <w:t>61</w:t>
      </w:r>
      <w:r w:rsidRPr="007D0512">
        <w:rPr>
          <w:noProof/>
          <w:szCs w:val="24"/>
        </w:rPr>
        <w:t>, 1298–1312.</w:t>
      </w:r>
    </w:p>
    <w:p w14:paraId="5F946A31" w14:textId="77777777" w:rsidR="006C55C1" w:rsidRPr="007D0512" w:rsidRDefault="006C55C1" w:rsidP="006C55C1">
      <w:pPr>
        <w:rPr>
          <w:noProof/>
          <w:szCs w:val="24"/>
        </w:rPr>
      </w:pPr>
      <w:r w:rsidRPr="007D0512">
        <w:rPr>
          <w:noProof/>
          <w:szCs w:val="24"/>
        </w:rPr>
        <w:t>Zampatti, B.P. and Leigh, S.J. (2013a). Effects of flooding on recruitment and abundance of Golden Perch (</w:t>
      </w:r>
      <w:r w:rsidRPr="007D0512">
        <w:rPr>
          <w:i/>
          <w:noProof/>
          <w:szCs w:val="24"/>
        </w:rPr>
        <w:t>Macquaria ambigua ambigua</w:t>
      </w:r>
      <w:r w:rsidRPr="007D0512">
        <w:rPr>
          <w:noProof/>
          <w:szCs w:val="24"/>
        </w:rPr>
        <w:t xml:space="preserve">) in the lower River Murray. </w:t>
      </w:r>
      <w:r w:rsidRPr="007D0512">
        <w:rPr>
          <w:i/>
          <w:noProof/>
          <w:szCs w:val="24"/>
        </w:rPr>
        <w:t>Ecological Management and Restoration</w:t>
      </w:r>
      <w:r w:rsidRPr="007D0512">
        <w:rPr>
          <w:noProof/>
          <w:szCs w:val="24"/>
        </w:rPr>
        <w:t xml:space="preserve"> </w:t>
      </w:r>
      <w:r w:rsidRPr="007D0512">
        <w:rPr>
          <w:b/>
          <w:noProof/>
          <w:szCs w:val="24"/>
        </w:rPr>
        <w:t>14</w:t>
      </w:r>
      <w:r w:rsidRPr="007D0512">
        <w:rPr>
          <w:noProof/>
          <w:szCs w:val="24"/>
        </w:rPr>
        <w:t>, 135–143.</w:t>
      </w:r>
    </w:p>
    <w:p w14:paraId="5BBAB596" w14:textId="77777777" w:rsidR="006C55C1" w:rsidRPr="007D0512" w:rsidRDefault="006C55C1" w:rsidP="006C55C1">
      <w:pPr>
        <w:rPr>
          <w:noProof/>
          <w:szCs w:val="24"/>
        </w:rPr>
      </w:pPr>
      <w:r w:rsidRPr="007D0512">
        <w:rPr>
          <w:noProof/>
          <w:szCs w:val="24"/>
        </w:rPr>
        <w:t xml:space="preserve">Zampatti, B.P. and Leigh, S.J. (2013b). Within-channel flows promote spawning and recruitment of golden perch, Macquaria ambigua ambigua: implications for environmental flow management in the River Murray, Australia. Marine and Freshwater Research </w:t>
      </w:r>
      <w:r w:rsidRPr="007D0512">
        <w:rPr>
          <w:b/>
          <w:noProof/>
          <w:szCs w:val="24"/>
        </w:rPr>
        <w:t>64</w:t>
      </w:r>
      <w:r w:rsidRPr="007D0512">
        <w:rPr>
          <w:noProof/>
          <w:szCs w:val="24"/>
        </w:rPr>
        <w:t>, 618–630.</w:t>
      </w:r>
    </w:p>
    <w:p w14:paraId="24D528E4" w14:textId="3E02D62C" w:rsidR="006C55C1" w:rsidRPr="007D0512" w:rsidRDefault="006C55C1" w:rsidP="006C55C1">
      <w:pPr>
        <w:rPr>
          <w:noProof/>
          <w:szCs w:val="24"/>
        </w:rPr>
      </w:pPr>
      <w:r w:rsidRPr="007D0512">
        <w:rPr>
          <w:rFonts w:cs="Arial"/>
          <w:color w:val="auto"/>
          <w:kern w:val="0"/>
          <w:szCs w:val="22"/>
        </w:rPr>
        <w:t xml:space="preserve">Zampatti, B.P., Bice, C.M., Wilson, P.J. and Ye, Q. (2014). </w:t>
      </w:r>
      <w:bookmarkStart w:id="144" w:name="OLE_LINK3"/>
      <w:bookmarkStart w:id="145" w:name="OLE_LINK5"/>
      <w:r w:rsidRPr="007D0512">
        <w:rPr>
          <w:rFonts w:cs="Arial"/>
          <w:color w:val="auto"/>
          <w:kern w:val="0"/>
          <w:szCs w:val="22"/>
        </w:rPr>
        <w:t>Population dynamics of Murray cod (</w:t>
      </w:r>
      <w:r w:rsidRPr="007D0512">
        <w:rPr>
          <w:rFonts w:cs="Arial"/>
          <w:i/>
          <w:color w:val="auto"/>
          <w:kern w:val="0"/>
          <w:szCs w:val="22"/>
        </w:rPr>
        <w:t>Maccullochella peelii</w:t>
      </w:r>
      <w:r w:rsidRPr="007D0512">
        <w:rPr>
          <w:rFonts w:cs="Arial"/>
          <w:color w:val="auto"/>
          <w:kern w:val="0"/>
          <w:szCs w:val="22"/>
        </w:rPr>
        <w:t>) in the South Australian reaches of the River Murray: A synthesis of data from 2002–2013.</w:t>
      </w:r>
      <w:bookmarkEnd w:id="144"/>
      <w:bookmarkEnd w:id="145"/>
      <w:r w:rsidRPr="007D0512">
        <w:rPr>
          <w:rFonts w:cs="Arial"/>
          <w:color w:val="auto"/>
          <w:kern w:val="0"/>
          <w:szCs w:val="22"/>
        </w:rPr>
        <w:t xml:space="preserve"> South Australian Research and Development Institute (Aquatic Sciences), Adelaide. SARDI Publication No. F2014-000089-1. SARDI Research Report Series No. 761. </w:t>
      </w:r>
    </w:p>
    <w:p w14:paraId="05BED73C" w14:textId="77777777" w:rsidR="00EA349B" w:rsidRDefault="00EA349B" w:rsidP="00B93BFF">
      <w:pPr>
        <w:rPr>
          <w:noProof/>
          <w:szCs w:val="24"/>
        </w:rPr>
      </w:pPr>
    </w:p>
    <w:p w14:paraId="7BBF005D" w14:textId="77777777" w:rsidR="00EA349B" w:rsidRDefault="00EA349B">
      <w:pPr>
        <w:spacing w:before="0" w:after="200" w:line="276" w:lineRule="auto"/>
        <w:jc w:val="left"/>
        <w:rPr>
          <w:noProof/>
          <w:szCs w:val="24"/>
        </w:rPr>
      </w:pPr>
      <w:r>
        <w:rPr>
          <w:noProof/>
          <w:szCs w:val="24"/>
        </w:rPr>
        <w:br w:type="page"/>
      </w:r>
    </w:p>
    <w:p w14:paraId="10C536EE" w14:textId="12D4117A" w:rsidR="009E0981" w:rsidRPr="00B23818" w:rsidRDefault="006C55C1" w:rsidP="00B93BFF">
      <w:pPr>
        <w:sectPr w:rsidR="009E0981" w:rsidRPr="00B23818" w:rsidSect="002B75FE">
          <w:pgSz w:w="11900" w:h="16840" w:code="9"/>
          <w:pgMar w:top="1440" w:right="1440" w:bottom="1440" w:left="1440" w:header="709" w:footer="709" w:gutter="0"/>
          <w:cols w:space="708"/>
          <w:docGrid w:linePitch="360"/>
        </w:sectPr>
      </w:pPr>
      <w:r w:rsidRPr="007D0512">
        <w:rPr>
          <w:noProof/>
          <w:szCs w:val="24"/>
        </w:rPr>
        <w:lastRenderedPageBreak/>
        <w:t>Zampatti, B.P., Wilson, P.J., Baumgartner, L., Koster, W., Livore, J.P., McCasker, N., Thiem, J., Tonkin, Z. and Ye, Q. (2015). Reproduction and recruitment of golden perch (</w:t>
      </w:r>
      <w:r w:rsidRPr="007D0512">
        <w:rPr>
          <w:i/>
          <w:noProof/>
          <w:szCs w:val="24"/>
        </w:rPr>
        <w:t>Macquaria ambigua ambigua</w:t>
      </w:r>
      <w:r w:rsidRPr="007D0512">
        <w:rPr>
          <w:noProof/>
          <w:szCs w:val="24"/>
        </w:rPr>
        <w:t>) in the southern Murray–Darling Basin in 2013–2014: An exploration of river-scale response, connectivity and population dynamics. South Australian Research and Development Institute (Aquatic Sciences), Adelaide. SARDI Publication No. F2014/000756-1. SARDI Resea</w:t>
      </w:r>
      <w:r>
        <w:rPr>
          <w:noProof/>
          <w:szCs w:val="24"/>
        </w:rPr>
        <w:t xml:space="preserve">rch Report Series No. 820. </w:t>
      </w:r>
    </w:p>
    <w:p w14:paraId="78D90A05" w14:textId="00070991" w:rsidR="00F07368" w:rsidRPr="00A67C76" w:rsidRDefault="00F07368" w:rsidP="00F41737">
      <w:pPr>
        <w:pStyle w:val="Heading1"/>
      </w:pPr>
      <w:bookmarkStart w:id="146" w:name="_Toc441838746"/>
      <w:bookmarkStart w:id="147" w:name="_Toc474147071"/>
      <w:r w:rsidRPr="00A67C76">
        <w:lastRenderedPageBreak/>
        <w:t>Appendices</w:t>
      </w:r>
      <w:bookmarkEnd w:id="146"/>
      <w:bookmarkEnd w:id="147"/>
    </w:p>
    <w:p w14:paraId="39625F8C" w14:textId="77777777" w:rsidR="00A27BD7" w:rsidRDefault="00A27BD7" w:rsidP="00A27BD7">
      <w:pPr>
        <w:pStyle w:val="Heading1"/>
        <w:numPr>
          <w:ilvl w:val="0"/>
          <w:numId w:val="0"/>
        </w:numPr>
      </w:pPr>
      <w:bookmarkStart w:id="148" w:name="_Toc441838747"/>
      <w:bookmarkStart w:id="149" w:name="_Toc474147072"/>
      <w:bookmarkStart w:id="150" w:name="_Ref381790395"/>
      <w:bookmarkStart w:id="151" w:name="_Ref381790155"/>
      <w:r>
        <w:t>Appendix A</w:t>
      </w:r>
      <w:r w:rsidRPr="001056B4">
        <w:t>: Selected area objectives and hypotheses for each indicator</w:t>
      </w:r>
      <w:bookmarkEnd w:id="148"/>
      <w:bookmarkEnd w:id="149"/>
    </w:p>
    <w:p w14:paraId="0DF84FE9" w14:textId="77777777" w:rsidR="00265D2F" w:rsidRDefault="00265D2F" w:rsidP="00265D2F">
      <w:r>
        <w:t>Indicator-specific objectives and hypotheses for the LMR Selected Area were created by the LMR project team during the planning phase of the project. These objectives and hypotheses</w:t>
      </w:r>
      <w:r w:rsidR="00902EE3">
        <w:t xml:space="preserve">, which appear in the LMR </w:t>
      </w:r>
      <w:r w:rsidR="007610AD">
        <w:t xml:space="preserve">LTIM </w:t>
      </w:r>
      <w:r w:rsidR="00902EE3">
        <w:t>M&amp;E Plan</w:t>
      </w:r>
      <w:r w:rsidR="007610AD">
        <w:t>,</w:t>
      </w:r>
      <w:r w:rsidR="00902EE3">
        <w:t xml:space="preserve"> are provided below for Category 1 and 3 indicators.</w:t>
      </w:r>
    </w:p>
    <w:p w14:paraId="0A1E4D27" w14:textId="77777777" w:rsidR="00A27BD7" w:rsidRPr="009D249D" w:rsidRDefault="00A27BD7" w:rsidP="00A27BD7">
      <w:pPr>
        <w:rPr>
          <w:b/>
          <w:color w:val="1F497D" w:themeColor="text2"/>
          <w:sz w:val="26"/>
          <w:szCs w:val="26"/>
        </w:rPr>
      </w:pPr>
      <w:r w:rsidRPr="009D249D">
        <w:rPr>
          <w:b/>
          <w:color w:val="1F497D" w:themeColor="text2"/>
          <w:sz w:val="26"/>
          <w:szCs w:val="26"/>
        </w:rPr>
        <w:t>Category 1</w:t>
      </w:r>
    </w:p>
    <w:p w14:paraId="47828ACA" w14:textId="77777777" w:rsidR="007A53E3" w:rsidRPr="009D249D" w:rsidRDefault="007A53E3" w:rsidP="007A53E3">
      <w:pPr>
        <w:rPr>
          <w:b/>
          <w:i/>
          <w:color w:val="1F497D" w:themeColor="text2"/>
          <w:sz w:val="24"/>
          <w:szCs w:val="24"/>
        </w:rPr>
      </w:pPr>
      <w:r w:rsidRPr="009D249D">
        <w:rPr>
          <w:b/>
          <w:i/>
          <w:color w:val="1F497D" w:themeColor="text2"/>
          <w:sz w:val="24"/>
          <w:szCs w:val="24"/>
        </w:rPr>
        <w:t>Hydrology (channel)</w:t>
      </w:r>
    </w:p>
    <w:p w14:paraId="76133501" w14:textId="77777777" w:rsidR="007A53E3" w:rsidRPr="00C757C7" w:rsidRDefault="007A53E3" w:rsidP="007A53E3">
      <w:r>
        <w:rPr>
          <w:i/>
          <w:u w:val="single"/>
        </w:rPr>
        <w:t>Objective:</w:t>
      </w:r>
      <w:r w:rsidRPr="001076A4">
        <w:rPr>
          <w:i/>
        </w:rPr>
        <w:t xml:space="preserve"> </w:t>
      </w:r>
      <w:r w:rsidRPr="001076A4">
        <w:t xml:space="preserve">The recorded daily discharge </w:t>
      </w:r>
      <w:r>
        <w:t xml:space="preserve">and water level at locations within the selected area </w:t>
      </w:r>
      <w:r w:rsidRPr="001076A4">
        <w:t>will inform the assessment of other indicators and evaluation.</w:t>
      </w:r>
    </w:p>
    <w:p w14:paraId="59E56E75" w14:textId="77777777" w:rsidR="00A27BD7" w:rsidRPr="009D249D" w:rsidRDefault="00A27BD7" w:rsidP="00A27BD7">
      <w:pPr>
        <w:rPr>
          <w:b/>
          <w:i/>
          <w:color w:val="1F497D" w:themeColor="text2"/>
          <w:sz w:val="24"/>
          <w:szCs w:val="24"/>
        </w:rPr>
      </w:pPr>
      <w:r w:rsidRPr="009D249D">
        <w:rPr>
          <w:b/>
          <w:i/>
          <w:color w:val="1F497D" w:themeColor="text2"/>
          <w:sz w:val="24"/>
          <w:szCs w:val="24"/>
        </w:rPr>
        <w:t>Stream Metabolism</w:t>
      </w:r>
    </w:p>
    <w:p w14:paraId="51CB6B86" w14:textId="77777777" w:rsidR="00A27BD7" w:rsidRPr="00C757C7" w:rsidRDefault="00A27BD7" w:rsidP="00A27BD7">
      <w:r>
        <w:rPr>
          <w:i/>
          <w:u w:val="single"/>
        </w:rPr>
        <w:t>Objective:</w:t>
      </w:r>
      <w:r w:rsidRPr="001076A4">
        <w:rPr>
          <w:i/>
        </w:rPr>
        <w:t xml:space="preserve"> </w:t>
      </w:r>
      <w:r w:rsidRPr="001076A4">
        <w:t>Assess how environmental water influences primary production and ecosystem respiration in the river channel.</w:t>
      </w:r>
    </w:p>
    <w:p w14:paraId="03E8D88A" w14:textId="77777777" w:rsidR="00A27BD7" w:rsidRPr="00C757C7" w:rsidRDefault="00A27BD7" w:rsidP="00A27BD7">
      <w:r w:rsidRPr="00C757C7">
        <w:rPr>
          <w:i/>
          <w:u w:val="single"/>
        </w:rPr>
        <w:t xml:space="preserve">Hypotheses: </w:t>
      </w:r>
      <w:r w:rsidRPr="00C757C7">
        <w:t xml:space="preserve">Increased flow into the </w:t>
      </w:r>
      <w:r>
        <w:t>LMR</w:t>
      </w:r>
      <w:r w:rsidRPr="00C757C7">
        <w:t xml:space="preserve"> (peak and duration) in spring/summer will:</w:t>
      </w:r>
    </w:p>
    <w:p w14:paraId="16C7C5FB" w14:textId="77777777" w:rsidR="00A27BD7" w:rsidRDefault="00A27BD7" w:rsidP="00A27BD7">
      <w:pPr>
        <w:numPr>
          <w:ilvl w:val="0"/>
          <w:numId w:val="7"/>
        </w:numPr>
        <w:spacing w:line="276" w:lineRule="auto"/>
      </w:pPr>
      <w:r>
        <w:t>Not enhance the transport of organic material from the floodplain</w:t>
      </w:r>
      <w:r w:rsidRPr="000A6362">
        <w:t xml:space="preserve"> </w:t>
      </w:r>
      <w:r w:rsidR="007A53E3">
        <w:t>i</w:t>
      </w:r>
      <w:r>
        <w:t>f delivered as in-channel flows so that autochthonous carbon captured in-stream through photosynthesis will be the major source of energy to the aquatic food webs.</w:t>
      </w:r>
    </w:p>
    <w:p w14:paraId="0902E93B" w14:textId="77777777" w:rsidR="00A27BD7" w:rsidRDefault="00A27BD7" w:rsidP="00A27BD7">
      <w:pPr>
        <w:numPr>
          <w:ilvl w:val="0"/>
          <w:numId w:val="7"/>
        </w:numPr>
        <w:spacing w:line="276" w:lineRule="auto"/>
      </w:pPr>
      <w:r>
        <w:t xml:space="preserve">Alter metabolic rates if water quality changes influence the growth of aquatic plants (microalgae and macrophytes) by modifying light and nutrient availability and </w:t>
      </w:r>
      <w:r w:rsidR="00B52391">
        <w:t>this will</w:t>
      </w:r>
      <w:r>
        <w:t xml:space="preserve"> alter the supply of autochthonous organic carbon to food webs.</w:t>
      </w:r>
    </w:p>
    <w:p w14:paraId="4FBA3501" w14:textId="77777777" w:rsidR="00A27BD7" w:rsidRDefault="00A27BD7" w:rsidP="00A27BD7">
      <w:pPr>
        <w:numPr>
          <w:ilvl w:val="0"/>
          <w:numId w:val="7"/>
        </w:numPr>
        <w:spacing w:line="276" w:lineRule="auto"/>
      </w:pPr>
      <w:r>
        <w:t>Enhance the supply of allochthonous organic carbon to the river channel if increasing flow better connects the channel with ripari</w:t>
      </w:r>
      <w:r w:rsidR="00B52391">
        <w:t>an, wetland or floodplain areas</w:t>
      </w:r>
      <w:r>
        <w:t>, leading to increased energy supplies and enhanced ecosystem respiration rates due to decomposition.</w:t>
      </w:r>
    </w:p>
    <w:p w14:paraId="35904686" w14:textId="741DFCCA" w:rsidR="006C56FA" w:rsidRDefault="007A53E3" w:rsidP="00A27BD7">
      <w:pPr>
        <w:numPr>
          <w:ilvl w:val="0"/>
          <w:numId w:val="7"/>
        </w:numPr>
        <w:spacing w:line="276" w:lineRule="auto"/>
      </w:pPr>
      <w:r>
        <w:t xml:space="preserve">Reduce dissolved oxygen concentrations to levels below those required by aquatic organisms, </w:t>
      </w:r>
      <w:r w:rsidR="00A27BD7">
        <w:t>with potentially lethal effects if flows carry excessive loads of organic carbon that increase respiration and decomposition rates</w:t>
      </w:r>
      <w:r w:rsidR="00B52391">
        <w:t xml:space="preserve"> unless water quality is appropriately managed along with flows</w:t>
      </w:r>
      <w:r w:rsidR="00A27BD7">
        <w:t>.</w:t>
      </w:r>
    </w:p>
    <w:p w14:paraId="3D77D2A2" w14:textId="38D8776E" w:rsidR="00A27BD7" w:rsidRPr="006C56FA" w:rsidRDefault="006C56FA" w:rsidP="006C56FA">
      <w:pPr>
        <w:tabs>
          <w:tab w:val="left" w:pos="3801"/>
        </w:tabs>
      </w:pPr>
      <w:r>
        <w:tab/>
      </w:r>
    </w:p>
    <w:p w14:paraId="7AEE5061" w14:textId="77777777" w:rsidR="00A27BD7" w:rsidRPr="00C757C7" w:rsidRDefault="00A27BD7" w:rsidP="00A27BD7">
      <w:pPr>
        <w:numPr>
          <w:ilvl w:val="0"/>
          <w:numId w:val="7"/>
        </w:numPr>
        <w:spacing w:line="276" w:lineRule="auto"/>
      </w:pPr>
      <w:r>
        <w:lastRenderedPageBreak/>
        <w:t>Lead to increased food web size and complexity that can support larger populations of organisms dependent on aquatic systems for food supplies if flows lead to increased energy supply due to enhanced aquatic photosynthetic production or enhanced supply of externally sourced organic carbon.</w:t>
      </w:r>
    </w:p>
    <w:p w14:paraId="238E80F1" w14:textId="77777777" w:rsidR="00A27BD7" w:rsidRPr="009D249D" w:rsidRDefault="00A27BD7" w:rsidP="00A27BD7">
      <w:pPr>
        <w:rPr>
          <w:b/>
          <w:i/>
          <w:color w:val="1F497D" w:themeColor="text2"/>
          <w:sz w:val="24"/>
          <w:szCs w:val="24"/>
        </w:rPr>
      </w:pPr>
      <w:r w:rsidRPr="009D249D">
        <w:rPr>
          <w:b/>
          <w:i/>
          <w:color w:val="1F497D" w:themeColor="text2"/>
          <w:sz w:val="24"/>
          <w:szCs w:val="24"/>
        </w:rPr>
        <w:t>Fish (channel)</w:t>
      </w:r>
    </w:p>
    <w:p w14:paraId="2CF56003" w14:textId="77777777" w:rsidR="00A27BD7" w:rsidRDefault="007A53E3" w:rsidP="00A27BD7">
      <w:r>
        <w:rPr>
          <w:i/>
          <w:u w:val="single"/>
        </w:rPr>
        <w:t>Objective:</w:t>
      </w:r>
      <w:r w:rsidRPr="001076A4">
        <w:rPr>
          <w:i/>
        </w:rPr>
        <w:t xml:space="preserve"> </w:t>
      </w:r>
      <w:r w:rsidR="00A27BD7" w:rsidRPr="001076A4">
        <w:t xml:space="preserve">Determine presence or absence, relative abundance and age or size class structure for </w:t>
      </w:r>
      <w:r w:rsidR="00702694">
        <w:t>nominated</w:t>
      </w:r>
      <w:r w:rsidR="00A27BD7" w:rsidRPr="001076A4">
        <w:t xml:space="preserve"> species</w:t>
      </w:r>
      <w:r w:rsidR="00702694">
        <w:t xml:space="preserve"> (</w:t>
      </w:r>
      <w:r w:rsidR="00CF253E">
        <w:t xml:space="preserve">Hale </w:t>
      </w:r>
      <w:r w:rsidR="00CF253E" w:rsidRPr="00CF253E">
        <w:rPr>
          <w:i/>
        </w:rPr>
        <w:t>et al.</w:t>
      </w:r>
      <w:r w:rsidR="00CF253E">
        <w:t xml:space="preserve"> 2014</w:t>
      </w:r>
      <w:r w:rsidR="00702694">
        <w:t>)</w:t>
      </w:r>
      <w:r w:rsidR="00A27BD7" w:rsidRPr="001076A4">
        <w:t>.</w:t>
      </w:r>
    </w:p>
    <w:p w14:paraId="5C713159" w14:textId="77777777" w:rsidR="00A27BD7" w:rsidRPr="009D249D" w:rsidRDefault="00A27BD7" w:rsidP="00A27BD7">
      <w:pPr>
        <w:rPr>
          <w:b/>
          <w:color w:val="1F497D" w:themeColor="text2"/>
          <w:sz w:val="26"/>
          <w:szCs w:val="26"/>
        </w:rPr>
      </w:pPr>
      <w:r w:rsidRPr="009D249D">
        <w:rPr>
          <w:b/>
          <w:color w:val="1F497D" w:themeColor="text2"/>
          <w:sz w:val="26"/>
          <w:szCs w:val="26"/>
        </w:rPr>
        <w:t>Category 3</w:t>
      </w:r>
    </w:p>
    <w:p w14:paraId="7D7F1080" w14:textId="77777777" w:rsidR="00A27BD7" w:rsidRPr="009D249D" w:rsidRDefault="00A27BD7" w:rsidP="00A27BD7">
      <w:pPr>
        <w:rPr>
          <w:b/>
          <w:i/>
          <w:color w:val="1F497D" w:themeColor="text2"/>
          <w:sz w:val="24"/>
          <w:szCs w:val="24"/>
        </w:rPr>
      </w:pPr>
      <w:r w:rsidRPr="009D249D">
        <w:rPr>
          <w:b/>
          <w:i/>
          <w:color w:val="1F497D" w:themeColor="text2"/>
          <w:sz w:val="24"/>
          <w:szCs w:val="24"/>
        </w:rPr>
        <w:t>Hydrological Regime</w:t>
      </w:r>
    </w:p>
    <w:p w14:paraId="0EA8F14B" w14:textId="77777777" w:rsidR="00A27BD7" w:rsidRPr="00C757C7" w:rsidRDefault="00A27BD7" w:rsidP="00A27BD7">
      <w:r>
        <w:rPr>
          <w:i/>
          <w:u w:val="single"/>
        </w:rPr>
        <w:t>Objective:</w:t>
      </w:r>
      <w:r w:rsidRPr="001076A4">
        <w:rPr>
          <w:i/>
        </w:rPr>
        <w:t xml:space="preserve"> </w:t>
      </w:r>
      <w:r w:rsidRPr="00720E05">
        <w:t xml:space="preserve">Assess how </w:t>
      </w:r>
      <w:r>
        <w:t>Commonwealth environmental water</w:t>
      </w:r>
      <w:r w:rsidRPr="00720E05">
        <w:t xml:space="preserve"> has contributed to an increase in discharge, velocity and depth of flow at a high spatial and temporal resolution. </w:t>
      </w:r>
    </w:p>
    <w:p w14:paraId="023D8837" w14:textId="77777777" w:rsidR="00A27BD7" w:rsidRDefault="00A27BD7" w:rsidP="00A27BD7">
      <w:r>
        <w:rPr>
          <w:i/>
          <w:u w:val="single"/>
        </w:rPr>
        <w:t>Hypothesi</w:t>
      </w:r>
      <w:r w:rsidRPr="00C757C7">
        <w:rPr>
          <w:i/>
          <w:u w:val="single"/>
        </w:rPr>
        <w:t xml:space="preserve">s: </w:t>
      </w:r>
      <w:r w:rsidRPr="00720E05">
        <w:t xml:space="preserve">Commonwealth environmental water will increase metrics representing desirable conditions, for example increased velocities and increased variability in water levels. </w:t>
      </w:r>
    </w:p>
    <w:p w14:paraId="0D9F61C7" w14:textId="77777777" w:rsidR="00A27BD7" w:rsidRPr="009D249D" w:rsidRDefault="00A27BD7" w:rsidP="00A27BD7">
      <w:pPr>
        <w:rPr>
          <w:b/>
          <w:i/>
          <w:color w:val="1F497D" w:themeColor="text2"/>
          <w:sz w:val="24"/>
          <w:szCs w:val="24"/>
        </w:rPr>
      </w:pPr>
      <w:r w:rsidRPr="009D249D">
        <w:rPr>
          <w:b/>
          <w:i/>
          <w:color w:val="1F497D" w:themeColor="text2"/>
          <w:sz w:val="24"/>
          <w:szCs w:val="24"/>
        </w:rPr>
        <w:t>Matter Transport</w:t>
      </w:r>
    </w:p>
    <w:p w14:paraId="3676C0D3" w14:textId="06F363EE" w:rsidR="00A27BD7" w:rsidRPr="00C757C7" w:rsidRDefault="00A27BD7" w:rsidP="00A27BD7">
      <w:r>
        <w:rPr>
          <w:i/>
          <w:u w:val="single"/>
        </w:rPr>
        <w:t>Objective:</w:t>
      </w:r>
      <w:r w:rsidRPr="001076A4">
        <w:rPr>
          <w:i/>
        </w:rPr>
        <w:t xml:space="preserve"> </w:t>
      </w:r>
      <w:r w:rsidRPr="00720E05">
        <w:t xml:space="preserve">Assess whether </w:t>
      </w:r>
      <w:r>
        <w:t>Commonwealth environmental water</w:t>
      </w:r>
      <w:r w:rsidRPr="00720E05">
        <w:t xml:space="preserve"> has increased the transport and export of salt, nutrients and </w:t>
      </w:r>
      <w:r w:rsidR="00036CFC">
        <w:t>phytoplankton biomass</w:t>
      </w:r>
      <w:r w:rsidR="00036CFC" w:rsidRPr="00720E05">
        <w:t xml:space="preserve"> </w:t>
      </w:r>
      <w:r w:rsidRPr="00720E05">
        <w:t>through the LMR Selected Area.</w:t>
      </w:r>
    </w:p>
    <w:p w14:paraId="04D02B9C" w14:textId="77777777" w:rsidR="00A27BD7" w:rsidRPr="00C757C7" w:rsidRDefault="00A27BD7" w:rsidP="00A27BD7">
      <w:r w:rsidRPr="00C757C7">
        <w:rPr>
          <w:i/>
          <w:u w:val="single"/>
        </w:rPr>
        <w:t xml:space="preserve">Hypotheses: </w:t>
      </w:r>
      <w:r>
        <w:t>Commonwealth environmental water will increase</w:t>
      </w:r>
      <w:r w:rsidRPr="00C757C7">
        <w:t>:</w:t>
      </w:r>
    </w:p>
    <w:p w14:paraId="4125A1B1" w14:textId="77777777" w:rsidR="00A27BD7" w:rsidRDefault="00A27BD7" w:rsidP="00A27BD7">
      <w:pPr>
        <w:numPr>
          <w:ilvl w:val="0"/>
          <w:numId w:val="7"/>
        </w:numPr>
        <w:spacing w:line="276" w:lineRule="auto"/>
      </w:pPr>
      <w:r>
        <w:t>The mobilisation of salts from the Basin and increase the transport of salt passing from Lock 1 through the LMR Selected Area (and through the Lower Lakes and Murray Mouth)</w:t>
      </w:r>
    </w:p>
    <w:p w14:paraId="5BB8C89C" w14:textId="77777777" w:rsidR="00A27BD7" w:rsidRDefault="00A27BD7" w:rsidP="00A27BD7">
      <w:pPr>
        <w:numPr>
          <w:ilvl w:val="0"/>
          <w:numId w:val="7"/>
        </w:numPr>
        <w:spacing w:line="276" w:lineRule="auto"/>
      </w:pPr>
      <w:r>
        <w:t>The mobilisation of nutrients from the Basin and increase nutrient loads passing from Lock 1 through the LMR Selected Area (and through the Lower Lakes and Murray Mouth)</w:t>
      </w:r>
    </w:p>
    <w:p w14:paraId="5AF4E32F" w14:textId="5BF87448" w:rsidR="00A27BD7" w:rsidRPr="00720E05" w:rsidRDefault="00036CFC" w:rsidP="00A27BD7">
      <w:pPr>
        <w:numPr>
          <w:ilvl w:val="0"/>
          <w:numId w:val="7"/>
        </w:numPr>
        <w:spacing w:line="276" w:lineRule="auto"/>
        <w:rPr>
          <w:rStyle w:val="CharChar7"/>
          <w:rFonts w:ascii="Century Gothic" w:hAnsi="Century Gothic" w:cs="Times New Roman"/>
          <w:color w:val="000000"/>
          <w:spacing w:val="0"/>
          <w:sz w:val="22"/>
          <w:szCs w:val="20"/>
        </w:rPr>
      </w:pPr>
      <w:r>
        <w:t xml:space="preserve">Phytoplankton biomass loads passing from Lock 1 </w:t>
      </w:r>
      <w:r w:rsidR="00A27BD7">
        <w:t>through the LMR Selected Area (and through the Lower Lakes and Murray Mouth).</w:t>
      </w:r>
    </w:p>
    <w:p w14:paraId="7FBC6C18" w14:textId="77777777" w:rsidR="007C6FE5" w:rsidRDefault="007C6FE5">
      <w:pPr>
        <w:spacing w:before="0" w:after="200" w:line="276" w:lineRule="auto"/>
        <w:rPr>
          <w:b/>
          <w:i/>
          <w:color w:val="1F497D" w:themeColor="text2"/>
          <w:sz w:val="24"/>
          <w:szCs w:val="24"/>
        </w:rPr>
      </w:pPr>
      <w:r>
        <w:rPr>
          <w:b/>
          <w:i/>
          <w:color w:val="1F497D" w:themeColor="text2"/>
          <w:sz w:val="24"/>
          <w:szCs w:val="24"/>
        </w:rPr>
        <w:br w:type="page"/>
      </w:r>
    </w:p>
    <w:p w14:paraId="7A8BD5BE" w14:textId="77777777" w:rsidR="00A27BD7" w:rsidRPr="009D249D" w:rsidRDefault="00A27BD7" w:rsidP="00A27BD7">
      <w:pPr>
        <w:rPr>
          <w:b/>
          <w:i/>
          <w:color w:val="1F497D" w:themeColor="text2"/>
          <w:sz w:val="24"/>
          <w:szCs w:val="24"/>
        </w:rPr>
      </w:pPr>
      <w:r w:rsidRPr="009D249D">
        <w:rPr>
          <w:b/>
          <w:i/>
          <w:color w:val="1F497D" w:themeColor="text2"/>
          <w:sz w:val="24"/>
          <w:szCs w:val="24"/>
        </w:rPr>
        <w:lastRenderedPageBreak/>
        <w:t>Microinvertebrates</w:t>
      </w:r>
    </w:p>
    <w:p w14:paraId="6193D222" w14:textId="77777777" w:rsidR="00A27BD7" w:rsidRDefault="00A27BD7" w:rsidP="00A27BD7">
      <w:r>
        <w:rPr>
          <w:i/>
          <w:u w:val="single"/>
        </w:rPr>
        <w:t>Objectives:</w:t>
      </w:r>
    </w:p>
    <w:p w14:paraId="7EF142C8" w14:textId="77777777" w:rsidR="00A27BD7" w:rsidRDefault="00A27BD7" w:rsidP="00A27BD7">
      <w:pPr>
        <w:numPr>
          <w:ilvl w:val="0"/>
          <w:numId w:val="7"/>
        </w:numPr>
        <w:spacing w:line="276" w:lineRule="auto"/>
      </w:pPr>
      <w:r>
        <w:t>Compare and contrast potamoplankton assemblages pre- and post-Commonwealth environmental water deliveries</w:t>
      </w:r>
    </w:p>
    <w:p w14:paraId="089BEA18" w14:textId="77777777" w:rsidR="00A27BD7" w:rsidRDefault="00A27BD7" w:rsidP="00A27BD7">
      <w:pPr>
        <w:numPr>
          <w:ilvl w:val="0"/>
          <w:numId w:val="7"/>
        </w:numPr>
        <w:spacing w:line="276" w:lineRule="auto"/>
      </w:pPr>
      <w:r>
        <w:t>Compare and contrast littoral microcrustacean assemblages pre- and post-Commonwealth environmental water deliveries</w:t>
      </w:r>
    </w:p>
    <w:p w14:paraId="607062DF" w14:textId="77777777" w:rsidR="00A27BD7" w:rsidRDefault="00A27BD7" w:rsidP="00A27BD7">
      <w:pPr>
        <w:numPr>
          <w:ilvl w:val="0"/>
          <w:numId w:val="7"/>
        </w:numPr>
        <w:spacing w:line="276" w:lineRule="auto"/>
      </w:pPr>
      <w:r>
        <w:t>Compare and contrast propagule deposition (egg-bank) in riparian sediments post-environmental deliveries</w:t>
      </w:r>
    </w:p>
    <w:p w14:paraId="528E0224" w14:textId="77777777" w:rsidR="00A27BD7" w:rsidRDefault="00A27BD7" w:rsidP="00A27BD7">
      <w:pPr>
        <w:numPr>
          <w:ilvl w:val="0"/>
          <w:numId w:val="7"/>
        </w:numPr>
        <w:spacing w:line="276" w:lineRule="auto"/>
      </w:pPr>
      <w:r>
        <w:t>Identify pre- and post-Commonwealth environmental water delivery dietary items of juvenile fish collected concurrently with microinvertebrate samples</w:t>
      </w:r>
    </w:p>
    <w:p w14:paraId="2CF505F5" w14:textId="77777777" w:rsidR="00A27BD7" w:rsidRPr="00720E05" w:rsidRDefault="00A27BD7" w:rsidP="00A27BD7">
      <w:pPr>
        <w:numPr>
          <w:ilvl w:val="0"/>
          <w:numId w:val="7"/>
        </w:numPr>
        <w:spacing w:line="276" w:lineRule="auto"/>
        <w:rPr>
          <w:rStyle w:val="CharChar7"/>
          <w:rFonts w:ascii="Century Gothic" w:hAnsi="Century Gothic" w:cs="Times New Roman"/>
          <w:color w:val="000000"/>
          <w:spacing w:val="0"/>
          <w:sz w:val="22"/>
          <w:szCs w:val="20"/>
        </w:rPr>
      </w:pPr>
      <w:r>
        <w:t>Compare pre- and post-Commonwealth environmental water delivery dietary item proportions to ambient microinvertebrate composition to determine selectivity of feeding.</w:t>
      </w:r>
    </w:p>
    <w:p w14:paraId="4EF24A8A" w14:textId="77777777" w:rsidR="00A27BD7" w:rsidRPr="00C757C7" w:rsidRDefault="00A27BD7" w:rsidP="00A27BD7">
      <w:r w:rsidRPr="00C757C7">
        <w:rPr>
          <w:i/>
          <w:u w:val="single"/>
        </w:rPr>
        <w:t xml:space="preserve">Hypotheses: </w:t>
      </w:r>
    </w:p>
    <w:p w14:paraId="4022755C" w14:textId="77777777" w:rsidR="00A27BD7" w:rsidRDefault="00A27BD7" w:rsidP="00A27BD7">
      <w:pPr>
        <w:numPr>
          <w:ilvl w:val="0"/>
          <w:numId w:val="7"/>
        </w:numPr>
        <w:spacing w:line="276" w:lineRule="auto"/>
      </w:pPr>
      <w:r>
        <w:t>Microinvertebrate taxonomic diversity will increase in inundated habitats due to increases in available habitat by triggering propagules deposited in sediments</w:t>
      </w:r>
    </w:p>
    <w:p w14:paraId="04FD337A" w14:textId="77777777" w:rsidR="00A27BD7" w:rsidRDefault="00A27BD7" w:rsidP="00A27BD7">
      <w:pPr>
        <w:numPr>
          <w:ilvl w:val="0"/>
          <w:numId w:val="7"/>
        </w:numPr>
        <w:spacing w:line="276" w:lineRule="auto"/>
      </w:pPr>
      <w:r>
        <w:t>Microinvertebrate abundance will increase in inundated habitats in response to increased egg production by resident or transported populations</w:t>
      </w:r>
    </w:p>
    <w:p w14:paraId="00AC75C3" w14:textId="6726A5A8" w:rsidR="00A27BD7" w:rsidRDefault="00A27BD7" w:rsidP="00A27BD7">
      <w:pPr>
        <w:numPr>
          <w:ilvl w:val="0"/>
          <w:numId w:val="7"/>
        </w:numPr>
        <w:spacing w:line="276" w:lineRule="auto"/>
      </w:pPr>
      <w:r>
        <w:t>Microinvertebrate propagule density and diversity in ripari</w:t>
      </w:r>
      <w:r w:rsidR="0055023A">
        <w:t>an sediments will increase post-</w:t>
      </w:r>
      <w:r>
        <w:t>environmental water delivery</w:t>
      </w:r>
    </w:p>
    <w:p w14:paraId="732E7448" w14:textId="77777777" w:rsidR="00A27BD7" w:rsidRPr="009072AC" w:rsidRDefault="00A27BD7" w:rsidP="00A27BD7">
      <w:pPr>
        <w:numPr>
          <w:ilvl w:val="0"/>
          <w:numId w:val="7"/>
        </w:numPr>
        <w:spacing w:after="240" w:line="276" w:lineRule="auto"/>
        <w:ind w:left="714" w:hanging="357"/>
      </w:pPr>
      <w:r>
        <w:t>Microinvertebrate assemblage responses will be reflected in the dietary components of fish larvae (golden perch).</w:t>
      </w:r>
    </w:p>
    <w:p w14:paraId="582FE212" w14:textId="77777777" w:rsidR="00A27BD7" w:rsidRPr="009D249D" w:rsidRDefault="00A27BD7" w:rsidP="00A27BD7">
      <w:pPr>
        <w:rPr>
          <w:b/>
          <w:i/>
          <w:color w:val="1F497D" w:themeColor="text2"/>
          <w:sz w:val="24"/>
          <w:szCs w:val="24"/>
        </w:rPr>
      </w:pPr>
      <w:r w:rsidRPr="009D249D">
        <w:rPr>
          <w:b/>
          <w:i/>
          <w:color w:val="1F497D" w:themeColor="text2"/>
          <w:sz w:val="24"/>
          <w:szCs w:val="24"/>
        </w:rPr>
        <w:t xml:space="preserve">Fish Spawning and Recruitment </w:t>
      </w:r>
    </w:p>
    <w:p w14:paraId="4000B1EB" w14:textId="77777777" w:rsidR="00A27BD7" w:rsidRDefault="00A27BD7" w:rsidP="00A27BD7">
      <w:r>
        <w:rPr>
          <w:i/>
          <w:u w:val="single"/>
        </w:rPr>
        <w:t>Objectives:</w:t>
      </w:r>
      <w:r w:rsidRPr="001076A4">
        <w:rPr>
          <w:i/>
        </w:rPr>
        <w:t xml:space="preserve"> </w:t>
      </w:r>
    </w:p>
    <w:p w14:paraId="75B654FE" w14:textId="77777777" w:rsidR="00A27BD7" w:rsidRDefault="00A27BD7" w:rsidP="00A27BD7">
      <w:pPr>
        <w:numPr>
          <w:ilvl w:val="0"/>
          <w:numId w:val="7"/>
        </w:numPr>
        <w:spacing w:line="276" w:lineRule="auto"/>
      </w:pPr>
      <w:r>
        <w:t>Compare and contrast spawning response to various environmental water deliveries.</w:t>
      </w:r>
    </w:p>
    <w:p w14:paraId="6EE77F32" w14:textId="77777777" w:rsidR="00A27BD7" w:rsidRDefault="00A27BD7" w:rsidP="00A27BD7">
      <w:pPr>
        <w:numPr>
          <w:ilvl w:val="0"/>
          <w:numId w:val="7"/>
        </w:numPr>
        <w:spacing w:line="276" w:lineRule="auto"/>
      </w:pPr>
      <w:r>
        <w:t>Compare and contrast recruitment success in response to various environmental water deliveries.</w:t>
      </w:r>
    </w:p>
    <w:p w14:paraId="420782CC" w14:textId="77777777" w:rsidR="00A27BD7" w:rsidRDefault="00A27BD7" w:rsidP="00A27BD7">
      <w:pPr>
        <w:numPr>
          <w:ilvl w:val="0"/>
          <w:numId w:val="7"/>
        </w:numPr>
        <w:spacing w:line="276" w:lineRule="auto"/>
      </w:pPr>
      <w:r>
        <w:t>Compare and contrast the timing of spawning and source (i.e. natal origin) of successful recruits in response to various environmental water deliveries.</w:t>
      </w:r>
    </w:p>
    <w:p w14:paraId="353199A9" w14:textId="77777777" w:rsidR="00A27BD7" w:rsidRDefault="00A27BD7" w:rsidP="00A27BD7">
      <w:pPr>
        <w:numPr>
          <w:ilvl w:val="0"/>
          <w:numId w:val="7"/>
        </w:numPr>
        <w:spacing w:line="276" w:lineRule="auto"/>
      </w:pPr>
      <w:r>
        <w:t>Identify potential associations between reproduction (spawning and recruitment) and environmental water delivery (e.g. magnitude, timing and source).</w:t>
      </w:r>
    </w:p>
    <w:p w14:paraId="4AE0C229" w14:textId="77777777" w:rsidR="00A27BD7" w:rsidRDefault="00A27BD7" w:rsidP="00A27BD7">
      <w:pPr>
        <w:numPr>
          <w:ilvl w:val="0"/>
          <w:numId w:val="7"/>
        </w:numPr>
        <w:spacing w:line="276" w:lineRule="auto"/>
      </w:pPr>
      <w:r>
        <w:lastRenderedPageBreak/>
        <w:t>Determine population connectivity between regions (e.g. larvae spawned in the Goulburn recruiting to LMR Selected Area populations).</w:t>
      </w:r>
    </w:p>
    <w:p w14:paraId="2B85699A" w14:textId="77777777" w:rsidR="00A27BD7" w:rsidRPr="00C757C7" w:rsidRDefault="00A27BD7" w:rsidP="00A27BD7">
      <w:r w:rsidRPr="00C757C7">
        <w:rPr>
          <w:i/>
          <w:u w:val="single"/>
        </w:rPr>
        <w:t xml:space="preserve">Hypotheses: </w:t>
      </w:r>
    </w:p>
    <w:p w14:paraId="3830F018" w14:textId="77777777" w:rsidR="00A27BD7" w:rsidRDefault="00A27BD7" w:rsidP="00A27BD7">
      <w:pPr>
        <w:numPr>
          <w:ilvl w:val="0"/>
          <w:numId w:val="7"/>
        </w:numPr>
        <w:spacing w:line="276" w:lineRule="auto"/>
      </w:pPr>
      <w:r>
        <w:t xml:space="preserve">Increases in flow above regulated entitlement flow (in-channel or overbank) in spring–summer will promote the spawning and recruitment (to </w:t>
      </w:r>
      <w:r w:rsidR="00E46C02">
        <w:t>young-of-year</w:t>
      </w:r>
      <w:r>
        <w:t>) of golden perch and silver perch.</w:t>
      </w:r>
    </w:p>
    <w:p w14:paraId="48779692" w14:textId="77777777" w:rsidR="00A27BD7" w:rsidRPr="00C757C7" w:rsidRDefault="00A27BD7" w:rsidP="00A27BD7">
      <w:pPr>
        <w:numPr>
          <w:ilvl w:val="0"/>
          <w:numId w:val="7"/>
        </w:numPr>
        <w:spacing w:line="276" w:lineRule="auto"/>
      </w:pPr>
      <w:r>
        <w:t>Multiple years of enhanced spring–summer flow will increase the resilience of golden perch and silver perch populations in the LMR.</w:t>
      </w:r>
    </w:p>
    <w:p w14:paraId="2ED82E51" w14:textId="77777777" w:rsidR="00D14CD9" w:rsidRDefault="00D14CD9" w:rsidP="00D271D9"/>
    <w:p w14:paraId="367593A5" w14:textId="77777777" w:rsidR="00D14CD9" w:rsidRDefault="00D14CD9">
      <w:pPr>
        <w:spacing w:before="0" w:after="200" w:line="276" w:lineRule="auto"/>
        <w:rPr>
          <w:rFonts w:eastAsiaTheme="majorEastAsia" w:cstheme="majorBidi"/>
          <w:b/>
          <w:bCs/>
          <w:caps/>
          <w:color w:val="1F497D" w:themeColor="text2"/>
          <w:sz w:val="32"/>
          <w:szCs w:val="28"/>
        </w:rPr>
      </w:pPr>
      <w:r>
        <w:br w:type="page"/>
      </w:r>
    </w:p>
    <w:p w14:paraId="57ADFFF3" w14:textId="12B0DDD3" w:rsidR="00667674" w:rsidRDefault="00A22FED" w:rsidP="007C2425">
      <w:pPr>
        <w:pStyle w:val="Heading1"/>
        <w:numPr>
          <w:ilvl w:val="0"/>
          <w:numId w:val="0"/>
        </w:numPr>
      </w:pPr>
      <w:bookmarkStart w:id="152" w:name="_Toc441838748"/>
      <w:bookmarkStart w:id="153" w:name="_Toc474147073"/>
      <w:r>
        <w:lastRenderedPageBreak/>
        <w:t>Appendix B: Overview of other watering activities during 2015/16</w:t>
      </w:r>
      <w:bookmarkEnd w:id="152"/>
      <w:bookmarkEnd w:id="153"/>
    </w:p>
    <w:p w14:paraId="4940F368" w14:textId="50CD5102" w:rsidR="008F4E64" w:rsidRDefault="00A22FED" w:rsidP="00867CFF">
      <w:pPr>
        <w:rPr>
          <w:b/>
          <w:color w:val="1F497D" w:themeColor="text2"/>
          <w:sz w:val="26"/>
          <w:szCs w:val="26"/>
        </w:rPr>
      </w:pPr>
      <w:r w:rsidRPr="008F4E64">
        <w:t xml:space="preserve">In addition to </w:t>
      </w:r>
      <w:r w:rsidRPr="00001CE8">
        <w:t>environmental water deliveries</w:t>
      </w:r>
      <w:r>
        <w:t xml:space="preserve"> to the LMR Selected Area in 2015/16</w:t>
      </w:r>
      <w:r w:rsidRPr="00001CE8">
        <w:t xml:space="preserve"> </w:t>
      </w:r>
      <w:r w:rsidR="008F4E64" w:rsidRPr="00001CE8">
        <w:t>(</w:t>
      </w:r>
      <w:r w:rsidR="00D70C30" w:rsidRPr="00001CE8">
        <w:fldChar w:fldCharType="begin"/>
      </w:r>
      <w:r w:rsidR="00D70C30" w:rsidRPr="00001CE8">
        <w:instrText xml:space="preserve"> REF _Ref416335496 \h </w:instrText>
      </w:r>
      <w:r w:rsidR="00001CE8">
        <w:instrText xml:space="preserve"> \* MERGEFORMAT </w:instrText>
      </w:r>
      <w:r w:rsidR="00D70C30" w:rsidRPr="00001CE8">
        <w:fldChar w:fldCharType="separate"/>
      </w:r>
      <w:r w:rsidR="004260C4" w:rsidRPr="00160EF9">
        <w:t xml:space="preserve">Figure </w:t>
      </w:r>
      <w:r w:rsidR="004260C4">
        <w:rPr>
          <w:noProof/>
        </w:rPr>
        <w:t>3</w:t>
      </w:r>
      <w:r w:rsidR="00D70C30" w:rsidRPr="00001CE8">
        <w:fldChar w:fldCharType="end"/>
      </w:r>
      <w:r w:rsidR="008F4E64" w:rsidRPr="00001CE8">
        <w:t xml:space="preserve">), </w:t>
      </w:r>
      <w:r w:rsidRPr="00001CE8">
        <w:t>the following environmental water management events are relevant to the analyses</w:t>
      </w:r>
      <w:r w:rsidR="00A12655">
        <w:t xml:space="preserve"> and interpretations</w:t>
      </w:r>
      <w:r w:rsidRPr="00001CE8">
        <w:t xml:space="preserve"> in this report.</w:t>
      </w:r>
      <w:r w:rsidR="00E32484">
        <w:t xml:space="preserve"> </w:t>
      </w:r>
      <w:r w:rsidR="00FC78FD">
        <w:t>I</w:t>
      </w:r>
      <w:r w:rsidR="006E5C96">
        <w:t>t is</w:t>
      </w:r>
      <w:r w:rsidR="00FC78FD">
        <w:t xml:space="preserve"> important to note with these events, for example weir pool raising (WPR), that environmental water contributed to infrastructure operation and it was th</w:t>
      </w:r>
      <w:r w:rsidR="006E5C96">
        <w:t>e</w:t>
      </w:r>
      <w:r w:rsidR="00FC78FD">
        <w:t xml:space="preserve"> combination of management actions (i.e. environmental water delivery and infrastructure operation) that produced the outcome. </w:t>
      </w:r>
      <w:r w:rsidR="00E32484" w:rsidRPr="00E32484">
        <w:t xml:space="preserve">Wetland pumping was not considered to influence any </w:t>
      </w:r>
      <w:r w:rsidR="00E32484">
        <w:t xml:space="preserve">of the </w:t>
      </w:r>
      <w:r w:rsidR="00E32484" w:rsidRPr="00E32484">
        <w:t>main channel indicators in the LMR.</w:t>
      </w:r>
      <w:r w:rsidR="00867CFF">
        <w:t xml:space="preserve"> </w:t>
      </w:r>
    </w:p>
    <w:p w14:paraId="7D4F8152" w14:textId="77777777" w:rsidR="00A22FED" w:rsidRPr="00964B7F" w:rsidRDefault="00A22FED" w:rsidP="00A22FED">
      <w:pPr>
        <w:rPr>
          <w:b/>
          <w:color w:val="1F497D" w:themeColor="text2"/>
          <w:sz w:val="26"/>
          <w:szCs w:val="26"/>
        </w:rPr>
      </w:pPr>
      <w:r w:rsidRPr="00964B7F">
        <w:rPr>
          <w:b/>
          <w:color w:val="1F497D" w:themeColor="text2"/>
          <w:sz w:val="26"/>
          <w:szCs w:val="26"/>
        </w:rPr>
        <w:t>Other watering activities in the LMR Selected Area</w:t>
      </w:r>
    </w:p>
    <w:p w14:paraId="6E211049" w14:textId="0C68BDC1" w:rsidR="00A22FED" w:rsidRPr="00964B7F" w:rsidRDefault="00C92313" w:rsidP="00A22FED">
      <w:pPr>
        <w:rPr>
          <w:i/>
          <w:sz w:val="24"/>
          <w:szCs w:val="24"/>
        </w:rPr>
      </w:pPr>
      <w:r>
        <w:rPr>
          <w:b/>
          <w:i/>
          <w:color w:val="1F497D" w:themeColor="text2"/>
          <w:sz w:val="24"/>
          <w:szCs w:val="24"/>
        </w:rPr>
        <w:t>Raising</w:t>
      </w:r>
      <w:r w:rsidR="00A22FED" w:rsidRPr="00964B7F">
        <w:rPr>
          <w:b/>
          <w:i/>
          <w:color w:val="1F497D" w:themeColor="text2"/>
          <w:sz w:val="24"/>
          <w:szCs w:val="24"/>
        </w:rPr>
        <w:t xml:space="preserve"> of water levels in Weir Pools 2 and 5 </w:t>
      </w:r>
    </w:p>
    <w:p w14:paraId="37F7685C" w14:textId="296B73BB" w:rsidR="00351896" w:rsidRPr="00964B7F" w:rsidRDefault="00351896" w:rsidP="0061623E">
      <w:pPr>
        <w:spacing w:before="0" w:after="200"/>
        <w:rPr>
          <w:i/>
          <w:color w:val="auto"/>
          <w:sz w:val="24"/>
          <w:szCs w:val="24"/>
          <w:u w:val="single"/>
          <w:lang w:val="en-US"/>
        </w:rPr>
      </w:pPr>
      <w:r w:rsidRPr="00964B7F">
        <w:rPr>
          <w:i/>
          <w:color w:val="auto"/>
          <w:sz w:val="24"/>
          <w:szCs w:val="24"/>
          <w:u w:val="single"/>
          <w:lang w:val="en-US"/>
        </w:rPr>
        <w:t>Overview</w:t>
      </w:r>
    </w:p>
    <w:p w14:paraId="6EE8FF7F" w14:textId="18A28CB4" w:rsidR="00667674" w:rsidRDefault="007108F3" w:rsidP="0061623E">
      <w:pPr>
        <w:spacing w:before="0" w:after="200"/>
        <w:rPr>
          <w:lang w:val="en-US"/>
        </w:rPr>
      </w:pPr>
      <w:r>
        <w:rPr>
          <w:lang w:val="en-US"/>
        </w:rPr>
        <w:t xml:space="preserve">Raising of </w:t>
      </w:r>
      <w:r w:rsidR="00667674">
        <w:rPr>
          <w:lang w:val="en-US"/>
        </w:rPr>
        <w:t xml:space="preserve">Weir Pool </w:t>
      </w:r>
      <w:r w:rsidR="00BE7A99">
        <w:rPr>
          <w:lang w:val="en-US"/>
        </w:rPr>
        <w:t>2</w:t>
      </w:r>
      <w:r w:rsidR="00667674">
        <w:rPr>
          <w:lang w:val="en-US"/>
        </w:rPr>
        <w:t xml:space="preserve"> (between Lock</w:t>
      </w:r>
      <w:r w:rsidR="00842517">
        <w:rPr>
          <w:lang w:val="en-US"/>
        </w:rPr>
        <w:t>s</w:t>
      </w:r>
      <w:r w:rsidR="00667674">
        <w:rPr>
          <w:lang w:val="en-US"/>
        </w:rPr>
        <w:t xml:space="preserve"> </w:t>
      </w:r>
      <w:r w:rsidR="00BE7A99">
        <w:rPr>
          <w:lang w:val="en-US"/>
        </w:rPr>
        <w:t>2</w:t>
      </w:r>
      <w:r w:rsidR="00667674">
        <w:rPr>
          <w:lang w:val="en-US"/>
        </w:rPr>
        <w:t xml:space="preserve"> and </w:t>
      </w:r>
      <w:r w:rsidR="00BE7A99">
        <w:rPr>
          <w:lang w:val="en-US"/>
        </w:rPr>
        <w:t>3</w:t>
      </w:r>
      <w:r w:rsidR="008717A6">
        <w:rPr>
          <w:lang w:val="en-US"/>
        </w:rPr>
        <w:t>, gorge geomorphic zone</w:t>
      </w:r>
      <w:r w:rsidR="00667674">
        <w:rPr>
          <w:lang w:val="en-US"/>
        </w:rPr>
        <w:t xml:space="preserve">) and Weir Pool </w:t>
      </w:r>
      <w:r w:rsidR="00BE7A99">
        <w:rPr>
          <w:lang w:val="en-US"/>
        </w:rPr>
        <w:t>5</w:t>
      </w:r>
      <w:r w:rsidR="00667674">
        <w:rPr>
          <w:lang w:val="en-US"/>
        </w:rPr>
        <w:t xml:space="preserve"> (between Lock</w:t>
      </w:r>
      <w:r w:rsidR="00842517">
        <w:rPr>
          <w:lang w:val="en-US"/>
        </w:rPr>
        <w:t>s</w:t>
      </w:r>
      <w:r w:rsidR="00667674">
        <w:rPr>
          <w:lang w:val="en-US"/>
        </w:rPr>
        <w:t xml:space="preserve"> </w:t>
      </w:r>
      <w:r w:rsidR="00BE7A99">
        <w:rPr>
          <w:lang w:val="en-US"/>
        </w:rPr>
        <w:t>5</w:t>
      </w:r>
      <w:r w:rsidR="00667674">
        <w:rPr>
          <w:lang w:val="en-US"/>
        </w:rPr>
        <w:t xml:space="preserve"> and </w:t>
      </w:r>
      <w:r w:rsidR="00BE7A99">
        <w:rPr>
          <w:lang w:val="en-US"/>
        </w:rPr>
        <w:t>6</w:t>
      </w:r>
      <w:r w:rsidR="008717A6">
        <w:rPr>
          <w:lang w:val="en-US"/>
        </w:rPr>
        <w:t>, floodplain geomorphic zone</w:t>
      </w:r>
      <w:r w:rsidR="00667674">
        <w:rPr>
          <w:lang w:val="en-US"/>
        </w:rPr>
        <w:t xml:space="preserve">) </w:t>
      </w:r>
      <w:r w:rsidR="00941832">
        <w:rPr>
          <w:lang w:val="en-US"/>
        </w:rPr>
        <w:t>in the LMR Selected Area</w:t>
      </w:r>
      <w:r w:rsidR="008717A6">
        <w:rPr>
          <w:lang w:val="en-US"/>
        </w:rPr>
        <w:t xml:space="preserve"> </w:t>
      </w:r>
      <w:r w:rsidR="00667674">
        <w:rPr>
          <w:lang w:val="en-US"/>
        </w:rPr>
        <w:t xml:space="preserve">occurred </w:t>
      </w:r>
      <w:r w:rsidR="001C2114">
        <w:rPr>
          <w:lang w:val="en-US"/>
        </w:rPr>
        <w:t xml:space="preserve">between </w:t>
      </w:r>
      <w:r w:rsidR="0052368C">
        <w:rPr>
          <w:lang w:val="en-US"/>
        </w:rPr>
        <w:t>early September</w:t>
      </w:r>
      <w:r w:rsidR="00667674">
        <w:rPr>
          <w:lang w:val="en-US"/>
        </w:rPr>
        <w:t xml:space="preserve"> and </w:t>
      </w:r>
      <w:r w:rsidR="0052368C">
        <w:rPr>
          <w:lang w:val="en-US"/>
        </w:rPr>
        <w:t xml:space="preserve">early </w:t>
      </w:r>
      <w:r w:rsidR="00667674">
        <w:rPr>
          <w:lang w:val="en-US"/>
        </w:rPr>
        <w:t>November 201</w:t>
      </w:r>
      <w:r w:rsidR="0052368C">
        <w:rPr>
          <w:lang w:val="en-US"/>
        </w:rPr>
        <w:t>5</w:t>
      </w:r>
      <w:r w:rsidR="008D3914">
        <w:rPr>
          <w:lang w:val="en-US"/>
        </w:rPr>
        <w:t>.</w:t>
      </w:r>
      <w:r w:rsidR="00667674">
        <w:rPr>
          <w:lang w:val="en-US"/>
        </w:rPr>
        <w:t xml:space="preserve"> </w:t>
      </w:r>
      <w:r w:rsidR="008D3914">
        <w:rPr>
          <w:lang w:val="en-US"/>
        </w:rPr>
        <w:t>W</w:t>
      </w:r>
      <w:r>
        <w:rPr>
          <w:lang w:val="en-US"/>
        </w:rPr>
        <w:t xml:space="preserve">ater levels within </w:t>
      </w:r>
      <w:r w:rsidR="008D3914">
        <w:rPr>
          <w:lang w:val="en-US"/>
        </w:rPr>
        <w:t>Weir P</w:t>
      </w:r>
      <w:r w:rsidR="00667674">
        <w:rPr>
          <w:lang w:val="en-US"/>
        </w:rPr>
        <w:t>ool</w:t>
      </w:r>
      <w:r w:rsidR="008717A6">
        <w:rPr>
          <w:lang w:val="en-US"/>
        </w:rPr>
        <w:t>s</w:t>
      </w:r>
      <w:r w:rsidR="008D3914">
        <w:rPr>
          <w:lang w:val="en-US"/>
        </w:rPr>
        <w:t xml:space="preserve"> 2 and 5</w:t>
      </w:r>
      <w:r w:rsidR="00667674">
        <w:rPr>
          <w:lang w:val="en-US"/>
        </w:rPr>
        <w:t xml:space="preserve"> were raised to a maximum of </w:t>
      </w:r>
      <w:r>
        <w:rPr>
          <w:lang w:val="en-US"/>
        </w:rPr>
        <w:t>0.</w:t>
      </w:r>
      <w:r w:rsidR="008717A6">
        <w:rPr>
          <w:lang w:val="en-US"/>
        </w:rPr>
        <w:t>5</w:t>
      </w:r>
      <w:r w:rsidR="00667674">
        <w:rPr>
          <w:lang w:val="en-US"/>
        </w:rPr>
        <w:t xml:space="preserve"> </w:t>
      </w:r>
      <w:r w:rsidR="008D3914">
        <w:rPr>
          <w:lang w:val="en-US"/>
        </w:rPr>
        <w:t xml:space="preserve">and 0.45 m </w:t>
      </w:r>
      <w:r w:rsidR="00667674">
        <w:rPr>
          <w:lang w:val="en-US"/>
        </w:rPr>
        <w:t xml:space="preserve">above the normal pool </w:t>
      </w:r>
      <w:r w:rsidR="00667674" w:rsidRPr="0061623E">
        <w:rPr>
          <w:lang w:val="en-US"/>
        </w:rPr>
        <w:t>level</w:t>
      </w:r>
      <w:r w:rsidR="00040D91">
        <w:rPr>
          <w:lang w:val="en-US"/>
        </w:rPr>
        <w:t xml:space="preserve"> (NPL)</w:t>
      </w:r>
      <w:r w:rsidR="008D3914">
        <w:rPr>
          <w:lang w:val="en-US"/>
        </w:rPr>
        <w:t>, respectively</w:t>
      </w:r>
      <w:r w:rsidR="008717A6">
        <w:rPr>
          <w:lang w:val="en-US"/>
        </w:rPr>
        <w:t>,</w:t>
      </w:r>
      <w:r w:rsidR="00F84FD5" w:rsidRPr="0061623E">
        <w:rPr>
          <w:lang w:val="en-US"/>
        </w:rPr>
        <w:t xml:space="preserve"> </w:t>
      </w:r>
      <w:r w:rsidR="008717A6">
        <w:rPr>
          <w:lang w:val="en-US"/>
        </w:rPr>
        <w:t>and</w:t>
      </w:r>
      <w:r w:rsidR="00835993">
        <w:rPr>
          <w:lang w:val="en-US"/>
        </w:rPr>
        <w:t xml:space="preserve"> returned to </w:t>
      </w:r>
      <w:r w:rsidR="00040D91">
        <w:rPr>
          <w:lang w:val="en-US"/>
        </w:rPr>
        <w:t>NPL</w:t>
      </w:r>
      <w:r w:rsidR="00835993">
        <w:rPr>
          <w:lang w:val="en-US"/>
        </w:rPr>
        <w:t xml:space="preserve"> by </w:t>
      </w:r>
      <w:r w:rsidR="0052368C">
        <w:rPr>
          <w:lang w:val="en-US"/>
        </w:rPr>
        <w:t xml:space="preserve">early </w:t>
      </w:r>
      <w:r w:rsidR="00835993">
        <w:rPr>
          <w:lang w:val="en-US"/>
        </w:rPr>
        <w:t>December 201</w:t>
      </w:r>
      <w:r w:rsidR="0052368C">
        <w:rPr>
          <w:lang w:val="en-US"/>
        </w:rPr>
        <w:t xml:space="preserve">5 </w:t>
      </w:r>
      <w:r w:rsidR="000914B7">
        <w:rPr>
          <w:lang w:val="en-US"/>
        </w:rPr>
        <w:t>(</w:t>
      </w:r>
      <w:r w:rsidR="008717A6">
        <w:rPr>
          <w:lang w:val="en-US"/>
        </w:rPr>
        <w:t xml:space="preserve">Figure B1; </w:t>
      </w:r>
      <w:r w:rsidR="008717A6" w:rsidRPr="0061623E">
        <w:rPr>
          <w:lang w:val="en-US"/>
        </w:rPr>
        <w:t>Table B</w:t>
      </w:r>
      <w:r w:rsidR="008717A6">
        <w:rPr>
          <w:lang w:val="en-US"/>
        </w:rPr>
        <w:t>1</w:t>
      </w:r>
      <w:r w:rsidR="000914B7">
        <w:rPr>
          <w:lang w:val="en-US"/>
        </w:rPr>
        <w:t>)</w:t>
      </w:r>
      <w:r>
        <w:rPr>
          <w:lang w:val="en-US"/>
        </w:rPr>
        <w:t xml:space="preserve">. </w:t>
      </w:r>
      <w:r w:rsidR="00040D91">
        <w:rPr>
          <w:lang w:val="en-US"/>
        </w:rPr>
        <w:t xml:space="preserve">Water levels for both weir pools peaked in October 2015, resulting in an </w:t>
      </w:r>
      <w:r w:rsidR="002322EA">
        <w:rPr>
          <w:lang w:val="en-US"/>
        </w:rPr>
        <w:t xml:space="preserve">additional </w:t>
      </w:r>
      <w:r w:rsidR="00040D91">
        <w:rPr>
          <w:lang w:val="en-US"/>
        </w:rPr>
        <w:t>inundation</w:t>
      </w:r>
      <w:r w:rsidR="00351896">
        <w:rPr>
          <w:lang w:val="en-US"/>
        </w:rPr>
        <w:t xml:space="preserve"> are</w:t>
      </w:r>
      <w:r w:rsidR="008D226D">
        <w:rPr>
          <w:lang w:val="en-US"/>
        </w:rPr>
        <w:t>a</w:t>
      </w:r>
      <w:r w:rsidR="00040D91">
        <w:rPr>
          <w:lang w:val="en-US"/>
        </w:rPr>
        <w:t xml:space="preserve"> </w:t>
      </w:r>
      <w:r w:rsidR="00A22FED">
        <w:rPr>
          <w:lang w:val="en-US"/>
        </w:rPr>
        <w:t xml:space="preserve">of </w:t>
      </w:r>
      <w:r w:rsidR="002322EA">
        <w:rPr>
          <w:lang w:val="en-US"/>
        </w:rPr>
        <w:t>175</w:t>
      </w:r>
      <w:r w:rsidR="00337C21">
        <w:rPr>
          <w:lang w:val="en-US"/>
        </w:rPr>
        <w:t xml:space="preserve"> ha </w:t>
      </w:r>
      <w:r w:rsidR="00A22FED">
        <w:rPr>
          <w:lang w:val="en-US"/>
        </w:rPr>
        <w:t xml:space="preserve">for Weir Pool 2, and </w:t>
      </w:r>
      <w:r w:rsidR="002322EA">
        <w:rPr>
          <w:lang w:val="en-US"/>
        </w:rPr>
        <w:t>894</w:t>
      </w:r>
      <w:r w:rsidR="00337C21">
        <w:rPr>
          <w:lang w:val="en-US"/>
        </w:rPr>
        <w:t xml:space="preserve"> ha </w:t>
      </w:r>
      <w:r w:rsidR="00A22FED">
        <w:rPr>
          <w:lang w:val="en-US"/>
        </w:rPr>
        <w:t xml:space="preserve">for Weir Pool 5. Approximately 5,084 ML of environmental water was </w:t>
      </w:r>
      <w:r w:rsidR="00E32484">
        <w:rPr>
          <w:lang w:val="en-US"/>
        </w:rPr>
        <w:t xml:space="preserve">delivered </w:t>
      </w:r>
      <w:r w:rsidR="00A22FED">
        <w:rPr>
          <w:lang w:val="en-US"/>
        </w:rPr>
        <w:t xml:space="preserve">to </w:t>
      </w:r>
      <w:r w:rsidR="00E32484">
        <w:rPr>
          <w:lang w:val="en-US"/>
        </w:rPr>
        <w:t xml:space="preserve">account for losses </w:t>
      </w:r>
      <w:r w:rsidR="00465F87">
        <w:rPr>
          <w:lang w:val="en-US"/>
        </w:rPr>
        <w:t xml:space="preserve">(e.g. evaporation) </w:t>
      </w:r>
      <w:r w:rsidR="00E32484">
        <w:rPr>
          <w:lang w:val="en-US"/>
        </w:rPr>
        <w:t>during the raising of</w:t>
      </w:r>
      <w:r w:rsidR="00A22FED">
        <w:rPr>
          <w:lang w:val="en-US"/>
        </w:rPr>
        <w:t xml:space="preserve"> Weir Pools 2 and 5, of which Commonwealth environmental water contributed 100%</w:t>
      </w:r>
      <w:r w:rsidR="004C2ED9">
        <w:rPr>
          <w:lang w:val="en-US"/>
        </w:rPr>
        <w:t xml:space="preserve"> (source, CEWO)</w:t>
      </w:r>
      <w:r w:rsidR="00A22FED">
        <w:rPr>
          <w:lang w:val="en-US"/>
        </w:rPr>
        <w:t xml:space="preserve">. The WPR event is described in </w:t>
      </w:r>
      <w:r w:rsidR="007D5010">
        <w:rPr>
          <w:lang w:val="en-US"/>
        </w:rPr>
        <w:t>DEWNR (2015)</w:t>
      </w:r>
      <w:r w:rsidR="00A22FED">
        <w:rPr>
          <w:lang w:val="en-US"/>
        </w:rPr>
        <w:t>.</w:t>
      </w:r>
    </w:p>
    <w:p w14:paraId="392B0ED5" w14:textId="2DC5403F" w:rsidR="00351896" w:rsidRPr="00964B7F" w:rsidRDefault="00351896" w:rsidP="00351896">
      <w:pPr>
        <w:spacing w:before="0" w:after="200"/>
        <w:rPr>
          <w:i/>
          <w:color w:val="auto"/>
          <w:sz w:val="24"/>
          <w:szCs w:val="24"/>
          <w:u w:val="single"/>
          <w:lang w:val="en-US"/>
        </w:rPr>
      </w:pPr>
      <w:r w:rsidRPr="00964B7F">
        <w:rPr>
          <w:i/>
          <w:color w:val="auto"/>
          <w:sz w:val="24"/>
          <w:szCs w:val="24"/>
          <w:u w:val="single"/>
          <w:lang w:val="en-US"/>
        </w:rPr>
        <w:t>Ecological outcomes</w:t>
      </w:r>
    </w:p>
    <w:p w14:paraId="653EC4C4" w14:textId="204BF883" w:rsidR="00FF26BC" w:rsidRDefault="00BF3723" w:rsidP="0061623E">
      <w:pPr>
        <w:spacing w:before="0" w:after="200"/>
        <w:rPr>
          <w:lang w:val="en-US"/>
        </w:rPr>
      </w:pPr>
      <w:r>
        <w:rPr>
          <w:lang w:val="en-US"/>
        </w:rPr>
        <w:t xml:space="preserve">A number of targeted investigations were conducted to monitor the ecological responses to </w:t>
      </w:r>
      <w:r w:rsidR="001E29E0">
        <w:rPr>
          <w:lang w:val="en-US"/>
        </w:rPr>
        <w:t>WPR</w:t>
      </w:r>
      <w:r>
        <w:rPr>
          <w:lang w:val="en-US"/>
        </w:rPr>
        <w:t xml:space="preserve"> in 2015. These included:</w:t>
      </w:r>
      <w:r w:rsidR="00FF26BC">
        <w:rPr>
          <w:lang w:val="en-US"/>
        </w:rPr>
        <w:t xml:space="preserve"> channel hydraulics (Bice </w:t>
      </w:r>
      <w:r w:rsidR="00FF26BC" w:rsidRPr="008D226D">
        <w:rPr>
          <w:i/>
          <w:lang w:val="en-US"/>
        </w:rPr>
        <w:t>et al.</w:t>
      </w:r>
      <w:r w:rsidR="00FF26BC" w:rsidRPr="00FF26BC">
        <w:rPr>
          <w:lang w:val="en-US"/>
        </w:rPr>
        <w:t xml:space="preserve"> </w:t>
      </w:r>
      <w:r w:rsidR="00FF26BC">
        <w:rPr>
          <w:lang w:val="en-US"/>
        </w:rPr>
        <w:t>2016a), water quality (Wallace and</w:t>
      </w:r>
      <w:r w:rsidR="00FF26BC" w:rsidRPr="00FF26BC">
        <w:rPr>
          <w:lang w:val="en-US"/>
        </w:rPr>
        <w:t xml:space="preserve"> Cum</w:t>
      </w:r>
      <w:r w:rsidR="00FF26BC">
        <w:rPr>
          <w:lang w:val="en-US"/>
        </w:rPr>
        <w:t>mings 2016a; Cummings and Goonan</w:t>
      </w:r>
      <w:r w:rsidR="00FF26BC" w:rsidRPr="00FF26BC">
        <w:rPr>
          <w:lang w:val="en-US"/>
        </w:rPr>
        <w:t xml:space="preserve"> 2016a), surface water-grou</w:t>
      </w:r>
      <w:r w:rsidR="00FF26BC">
        <w:rPr>
          <w:lang w:val="en-US"/>
        </w:rPr>
        <w:t xml:space="preserve">ndwater interactions (Cummings and Goonan 2016a; Gehrig </w:t>
      </w:r>
      <w:r w:rsidR="00FF26BC" w:rsidRPr="00FF26BC">
        <w:rPr>
          <w:i/>
          <w:lang w:val="en-US"/>
        </w:rPr>
        <w:t>et al.</w:t>
      </w:r>
      <w:r w:rsidR="00FF26BC" w:rsidRPr="00FF26BC">
        <w:rPr>
          <w:lang w:val="en-US"/>
        </w:rPr>
        <w:t xml:space="preserve"> 2016), </w:t>
      </w:r>
      <w:r w:rsidR="00FF26BC" w:rsidRPr="00FF26BC">
        <w:rPr>
          <w:lang w:val="en-US"/>
        </w:rPr>
        <w:lastRenderedPageBreak/>
        <w:t>floodplain vegetation response - both canopy and understor</w:t>
      </w:r>
      <w:r w:rsidR="00FF26BC">
        <w:rPr>
          <w:lang w:val="en-US"/>
        </w:rPr>
        <w:t xml:space="preserve">ey species (Gehrig </w:t>
      </w:r>
      <w:r w:rsidR="00FF26BC" w:rsidRPr="008D226D">
        <w:rPr>
          <w:i/>
          <w:lang w:val="en-US"/>
        </w:rPr>
        <w:t>et al.</w:t>
      </w:r>
      <w:r w:rsidR="00FF26BC" w:rsidRPr="00FF26BC">
        <w:rPr>
          <w:lang w:val="en-US"/>
        </w:rPr>
        <w:t xml:space="preserve"> 2016), ecosystem</w:t>
      </w:r>
      <w:r w:rsidR="00FF26BC">
        <w:rPr>
          <w:lang w:val="en-US"/>
        </w:rPr>
        <w:t xml:space="preserve"> metabolism (Wallace and Cummings</w:t>
      </w:r>
      <w:r w:rsidR="00FF26BC" w:rsidRPr="00FF26BC">
        <w:rPr>
          <w:lang w:val="en-US"/>
        </w:rPr>
        <w:t xml:space="preserve"> 2016a</w:t>
      </w:r>
      <w:r w:rsidR="00FF26BC">
        <w:rPr>
          <w:lang w:val="en-US"/>
        </w:rPr>
        <w:t>), biofilms (Wallace and Cummings</w:t>
      </w:r>
      <w:r w:rsidR="00FF26BC" w:rsidRPr="00FF26BC">
        <w:rPr>
          <w:lang w:val="en-US"/>
        </w:rPr>
        <w:t xml:space="preserve"> 2016b</w:t>
      </w:r>
      <w:r w:rsidR="00FF26BC">
        <w:rPr>
          <w:lang w:val="en-US"/>
        </w:rPr>
        <w:t>), primary consumers (Cummings and Goonan</w:t>
      </w:r>
      <w:r w:rsidR="00FF26BC" w:rsidRPr="00FF26BC">
        <w:rPr>
          <w:lang w:val="en-US"/>
        </w:rPr>
        <w:t xml:space="preserve"> 2016b) biofilm – primary consume</w:t>
      </w:r>
      <w:r w:rsidR="00FF26BC">
        <w:rPr>
          <w:lang w:val="en-US"/>
        </w:rPr>
        <w:t xml:space="preserve">r interactions (Cummings </w:t>
      </w:r>
      <w:r w:rsidR="00FF26BC" w:rsidRPr="00FF26BC">
        <w:rPr>
          <w:i/>
          <w:lang w:val="en-US"/>
        </w:rPr>
        <w:t>et al.</w:t>
      </w:r>
      <w:r w:rsidR="00FF26BC" w:rsidRPr="00FF26BC">
        <w:rPr>
          <w:lang w:val="en-US"/>
        </w:rPr>
        <w:t xml:space="preserve"> 2016), and secondary productivity</w:t>
      </w:r>
      <w:r w:rsidR="00FF26BC">
        <w:rPr>
          <w:lang w:val="en-US"/>
        </w:rPr>
        <w:t xml:space="preserve"> via fish response (Bice </w:t>
      </w:r>
      <w:r w:rsidR="00FF26BC" w:rsidRPr="00FF26BC">
        <w:rPr>
          <w:i/>
          <w:lang w:val="en-US"/>
        </w:rPr>
        <w:t>et al.</w:t>
      </w:r>
      <w:r w:rsidR="00FF26BC" w:rsidRPr="00FF26BC">
        <w:rPr>
          <w:lang w:val="en-US"/>
        </w:rPr>
        <w:t xml:space="preserve"> 2016b).</w:t>
      </w:r>
    </w:p>
    <w:p w14:paraId="0E71EEDA" w14:textId="2E4DF563" w:rsidR="00BF3723" w:rsidRDefault="00945EC4" w:rsidP="0061623E">
      <w:pPr>
        <w:spacing w:before="0" w:after="200"/>
        <w:rPr>
          <w:lang w:val="en-US"/>
        </w:rPr>
      </w:pPr>
      <w:r>
        <w:rPr>
          <w:lang w:val="en-US"/>
        </w:rPr>
        <w:t>Key findings were:</w:t>
      </w:r>
    </w:p>
    <w:p w14:paraId="6A8292FD" w14:textId="4928179B" w:rsidR="00945EC4" w:rsidRDefault="00945EC4" w:rsidP="00945EC4">
      <w:pPr>
        <w:pStyle w:val="ListParagraph"/>
        <w:numPr>
          <w:ilvl w:val="0"/>
          <w:numId w:val="31"/>
        </w:numPr>
        <w:spacing w:before="0" w:after="200"/>
        <w:rPr>
          <w:lang w:val="en-US"/>
        </w:rPr>
      </w:pPr>
      <w:r>
        <w:rPr>
          <w:lang w:val="en-US"/>
        </w:rPr>
        <w:t xml:space="preserve">Increased water level variation (Bice </w:t>
      </w:r>
      <w:r w:rsidRPr="008D226D">
        <w:rPr>
          <w:i/>
          <w:lang w:val="en-US"/>
        </w:rPr>
        <w:t>et al.</w:t>
      </w:r>
      <w:r>
        <w:rPr>
          <w:lang w:val="en-US"/>
        </w:rPr>
        <w:t xml:space="preserve"> 2016a);</w:t>
      </w:r>
    </w:p>
    <w:p w14:paraId="3EDA7507" w14:textId="22538B9C" w:rsidR="006E58C3" w:rsidRDefault="006E58C3" w:rsidP="00945EC4">
      <w:pPr>
        <w:pStyle w:val="ListParagraph"/>
        <w:numPr>
          <w:ilvl w:val="0"/>
          <w:numId w:val="31"/>
        </w:numPr>
        <w:spacing w:before="0" w:after="200"/>
        <w:rPr>
          <w:lang w:val="en-US"/>
        </w:rPr>
      </w:pPr>
      <w:r>
        <w:rPr>
          <w:lang w:val="en-US"/>
        </w:rPr>
        <w:t>Disso</w:t>
      </w:r>
      <w:r w:rsidR="008D226D">
        <w:rPr>
          <w:lang w:val="en-US"/>
        </w:rPr>
        <w:t xml:space="preserve">lved oxygen remained above 6 mg </w:t>
      </w:r>
      <w:r>
        <w:rPr>
          <w:lang w:val="en-US"/>
        </w:rPr>
        <w:t>L</w:t>
      </w:r>
      <w:r w:rsidRPr="006E58C3">
        <w:rPr>
          <w:vertAlign w:val="superscript"/>
          <w:lang w:val="en-US"/>
        </w:rPr>
        <w:t>-1</w:t>
      </w:r>
      <w:r>
        <w:rPr>
          <w:lang w:val="en-US"/>
        </w:rPr>
        <w:t xml:space="preserve"> and 50% saturation throughout the event (Wallace and</w:t>
      </w:r>
      <w:r w:rsidRPr="00FF26BC">
        <w:rPr>
          <w:lang w:val="en-US"/>
        </w:rPr>
        <w:t xml:space="preserve"> Cum</w:t>
      </w:r>
      <w:r>
        <w:rPr>
          <w:lang w:val="en-US"/>
        </w:rPr>
        <w:t>mings 2016a);</w:t>
      </w:r>
    </w:p>
    <w:p w14:paraId="32498E79" w14:textId="2738566F" w:rsidR="00945EC4" w:rsidRDefault="00DA34E5" w:rsidP="00945EC4">
      <w:pPr>
        <w:pStyle w:val="ListParagraph"/>
        <w:numPr>
          <w:ilvl w:val="0"/>
          <w:numId w:val="31"/>
        </w:numPr>
        <w:spacing w:before="0" w:after="200"/>
        <w:rPr>
          <w:lang w:val="en-US"/>
        </w:rPr>
      </w:pPr>
      <w:r>
        <w:rPr>
          <w:lang w:val="en-US"/>
        </w:rPr>
        <w:t xml:space="preserve">Vegetation community composition shift – increase in </w:t>
      </w:r>
      <w:r w:rsidR="006E58C3">
        <w:rPr>
          <w:lang w:val="en-US"/>
        </w:rPr>
        <w:t xml:space="preserve">the </w:t>
      </w:r>
      <w:r>
        <w:rPr>
          <w:lang w:val="en-US"/>
        </w:rPr>
        <w:t xml:space="preserve">proportion of amphibious and floodplain species at higher elevation bands (0.3–0.6 m above NPL) (Gehrig </w:t>
      </w:r>
      <w:r w:rsidRPr="00DA34E5">
        <w:rPr>
          <w:i/>
          <w:lang w:val="en-US"/>
        </w:rPr>
        <w:t xml:space="preserve">et al. </w:t>
      </w:r>
      <w:r w:rsidRPr="00FF26BC">
        <w:rPr>
          <w:lang w:val="en-US"/>
        </w:rPr>
        <w:t>2016</w:t>
      </w:r>
      <w:r>
        <w:rPr>
          <w:lang w:val="en-US"/>
        </w:rPr>
        <w:t>);</w:t>
      </w:r>
    </w:p>
    <w:p w14:paraId="3A31A797" w14:textId="0196C332" w:rsidR="00945EC4" w:rsidRDefault="00DA34E5" w:rsidP="00945EC4">
      <w:pPr>
        <w:pStyle w:val="ListParagraph"/>
        <w:numPr>
          <w:ilvl w:val="0"/>
          <w:numId w:val="31"/>
        </w:numPr>
        <w:spacing w:before="0" w:after="200"/>
        <w:rPr>
          <w:lang w:val="en-US"/>
        </w:rPr>
      </w:pPr>
      <w:r>
        <w:rPr>
          <w:lang w:val="en-US"/>
        </w:rPr>
        <w:t xml:space="preserve">Increased tree condition at </w:t>
      </w:r>
      <w:r w:rsidR="008016FE">
        <w:rPr>
          <w:lang w:val="en-US"/>
        </w:rPr>
        <w:t>sites within Weir Pool 2 and 5</w:t>
      </w:r>
      <w:r>
        <w:rPr>
          <w:lang w:val="en-US"/>
        </w:rPr>
        <w:t xml:space="preserve">. However, tree condition at the Weir Pool 2 site (Big Toolunka) decreased significantly after the </w:t>
      </w:r>
      <w:r w:rsidR="001E29E0">
        <w:rPr>
          <w:lang w:val="en-US"/>
        </w:rPr>
        <w:t>WPR</w:t>
      </w:r>
      <w:r w:rsidR="006E58C3">
        <w:rPr>
          <w:lang w:val="en-US"/>
        </w:rPr>
        <w:t xml:space="preserve"> event</w:t>
      </w:r>
      <w:r>
        <w:rPr>
          <w:lang w:val="en-US"/>
        </w:rPr>
        <w:t xml:space="preserve"> (Gehrig </w:t>
      </w:r>
      <w:r w:rsidRPr="00DA34E5">
        <w:rPr>
          <w:i/>
          <w:lang w:val="en-US"/>
        </w:rPr>
        <w:t xml:space="preserve">et al. </w:t>
      </w:r>
      <w:r w:rsidRPr="00FF26BC">
        <w:rPr>
          <w:lang w:val="en-US"/>
        </w:rPr>
        <w:t>2016</w:t>
      </w:r>
      <w:r>
        <w:rPr>
          <w:lang w:val="en-US"/>
        </w:rPr>
        <w:t>);</w:t>
      </w:r>
    </w:p>
    <w:p w14:paraId="5D1D3A8D" w14:textId="76DFE83D" w:rsidR="00DA34E5" w:rsidRDefault="00DA34E5" w:rsidP="00945EC4">
      <w:pPr>
        <w:pStyle w:val="ListParagraph"/>
        <w:numPr>
          <w:ilvl w:val="0"/>
          <w:numId w:val="31"/>
        </w:numPr>
        <w:spacing w:before="0" w:after="200"/>
        <w:rPr>
          <w:lang w:val="en-US"/>
        </w:rPr>
      </w:pPr>
      <w:r>
        <w:rPr>
          <w:lang w:val="en-US"/>
        </w:rPr>
        <w:t>Increased gross primary productivity</w:t>
      </w:r>
      <w:r w:rsidR="000B37A5">
        <w:rPr>
          <w:lang w:val="en-US"/>
        </w:rPr>
        <w:t xml:space="preserve"> and ecosystem respiration (Wallace and Cummings 2016a);</w:t>
      </w:r>
    </w:p>
    <w:p w14:paraId="06DD513E" w14:textId="72587728" w:rsidR="000B37A5" w:rsidRDefault="000B37A5" w:rsidP="00945EC4">
      <w:pPr>
        <w:pStyle w:val="ListParagraph"/>
        <w:numPr>
          <w:ilvl w:val="0"/>
          <w:numId w:val="31"/>
        </w:numPr>
        <w:spacing w:before="0" w:after="200"/>
        <w:rPr>
          <w:lang w:val="en-US"/>
        </w:rPr>
      </w:pPr>
      <w:r>
        <w:rPr>
          <w:lang w:val="en-US"/>
        </w:rPr>
        <w:t xml:space="preserve">Increased abundance and diversity of </w:t>
      </w:r>
      <w:r w:rsidR="00AE3E2C">
        <w:rPr>
          <w:lang w:val="en-US"/>
        </w:rPr>
        <w:t>primary consumers (e.g. macroinvertebrates)</w:t>
      </w:r>
      <w:r>
        <w:rPr>
          <w:lang w:val="en-US"/>
        </w:rPr>
        <w:t xml:space="preserve"> at wetlands in Weir Pools 2 and 5</w:t>
      </w:r>
      <w:r w:rsidR="00AE3E2C">
        <w:rPr>
          <w:lang w:val="en-US"/>
        </w:rPr>
        <w:t xml:space="preserve"> (Cummings and Goonan 2016b);</w:t>
      </w:r>
    </w:p>
    <w:p w14:paraId="454B3C63" w14:textId="44F76F6D" w:rsidR="00AE3E2C" w:rsidRDefault="00AE3E2C" w:rsidP="00945EC4">
      <w:pPr>
        <w:pStyle w:val="ListParagraph"/>
        <w:numPr>
          <w:ilvl w:val="0"/>
          <w:numId w:val="31"/>
        </w:numPr>
        <w:spacing w:before="0" w:after="200"/>
        <w:rPr>
          <w:lang w:val="en-US"/>
        </w:rPr>
      </w:pPr>
      <w:r>
        <w:rPr>
          <w:lang w:val="en-US"/>
        </w:rPr>
        <w:t xml:space="preserve">Increased abundance of the shrimp </w:t>
      </w:r>
      <w:r w:rsidRPr="00AE3E2C">
        <w:rPr>
          <w:i/>
          <w:lang w:val="en-US"/>
        </w:rPr>
        <w:t>Paratya australiensis</w:t>
      </w:r>
      <w:r>
        <w:rPr>
          <w:lang w:val="en-US"/>
        </w:rPr>
        <w:t xml:space="preserve"> (including egg-bearing females) in the main channel and wetlands at the downstream end of Weir Pool 2 (Cummings and Goonan 2016b);</w:t>
      </w:r>
    </w:p>
    <w:p w14:paraId="409B0612" w14:textId="468D8F14" w:rsidR="00AE3E2C" w:rsidRDefault="00F5308B" w:rsidP="00945EC4">
      <w:pPr>
        <w:pStyle w:val="ListParagraph"/>
        <w:numPr>
          <w:ilvl w:val="0"/>
          <w:numId w:val="31"/>
        </w:numPr>
        <w:spacing w:before="0" w:after="200"/>
        <w:rPr>
          <w:lang w:val="en-US"/>
        </w:rPr>
      </w:pPr>
      <w:r>
        <w:rPr>
          <w:lang w:val="en-US"/>
        </w:rPr>
        <w:t xml:space="preserve">Increased abundance of ‘floodwater’ taxa (e.g. caddisflies, mayflies, non-biting and biting midges) in Weir Pool 2 (Cummings </w:t>
      </w:r>
      <w:r w:rsidRPr="00F5308B">
        <w:rPr>
          <w:i/>
          <w:lang w:val="en-US"/>
        </w:rPr>
        <w:t>et al.</w:t>
      </w:r>
      <w:r>
        <w:rPr>
          <w:lang w:val="en-US"/>
        </w:rPr>
        <w:t xml:space="preserve"> 2016);</w:t>
      </w:r>
    </w:p>
    <w:p w14:paraId="7B9E9070" w14:textId="05D3F819" w:rsidR="00AB6826" w:rsidRPr="007F2CBC" w:rsidRDefault="006561B0" w:rsidP="005574C9">
      <w:pPr>
        <w:pStyle w:val="ListParagraph"/>
        <w:numPr>
          <w:ilvl w:val="0"/>
          <w:numId w:val="31"/>
        </w:numPr>
        <w:spacing w:before="0" w:after="200"/>
        <w:rPr>
          <w:lang w:val="en-US"/>
        </w:rPr>
      </w:pPr>
      <w:r w:rsidRPr="007F2CBC">
        <w:rPr>
          <w:lang w:val="en-US"/>
        </w:rPr>
        <w:t xml:space="preserve">Increased </w:t>
      </w:r>
      <w:r w:rsidR="00D25B9B" w:rsidRPr="007F2CBC">
        <w:rPr>
          <w:lang w:val="en-US"/>
        </w:rPr>
        <w:t xml:space="preserve">body </w:t>
      </w:r>
      <w:r w:rsidRPr="007F2CBC">
        <w:rPr>
          <w:lang w:val="en-US"/>
        </w:rPr>
        <w:t>condition</w:t>
      </w:r>
      <w:r w:rsidR="00D25B9B" w:rsidRPr="007F2CBC">
        <w:rPr>
          <w:lang w:val="en-US"/>
        </w:rPr>
        <w:t xml:space="preserve"> (weight relative to length)</w:t>
      </w:r>
      <w:r w:rsidRPr="007F2CBC">
        <w:rPr>
          <w:lang w:val="en-US"/>
        </w:rPr>
        <w:t xml:space="preserve"> of Australian smelt (</w:t>
      </w:r>
      <w:r w:rsidRPr="007F2CBC">
        <w:rPr>
          <w:i/>
          <w:lang w:val="en-US"/>
        </w:rPr>
        <w:t>Retropinna semoni</w:t>
      </w:r>
      <w:r w:rsidRPr="007F2CBC">
        <w:rPr>
          <w:lang w:val="en-US"/>
        </w:rPr>
        <w:t xml:space="preserve">) in Weir Pool 5 compared to the unraised Weir Pool 3 during </w:t>
      </w:r>
      <w:r w:rsidR="00B53B28" w:rsidRPr="007F2CBC">
        <w:rPr>
          <w:lang w:val="en-US"/>
        </w:rPr>
        <w:lastRenderedPageBreak/>
        <w:t>October 2015; however, there were</w:t>
      </w:r>
      <w:r w:rsidRPr="007F2CBC">
        <w:rPr>
          <w:lang w:val="en-US"/>
        </w:rPr>
        <w:t xml:space="preserve"> no differences in growth rates between raised and unraised weir pools</w:t>
      </w:r>
      <w:r w:rsidR="00533F85" w:rsidRPr="007F2CBC">
        <w:rPr>
          <w:lang w:val="en-US"/>
        </w:rPr>
        <w:t xml:space="preserve"> (Bice </w:t>
      </w:r>
      <w:r w:rsidR="00533F85" w:rsidRPr="007F2CBC">
        <w:rPr>
          <w:i/>
          <w:lang w:val="en-US"/>
        </w:rPr>
        <w:t>et al.</w:t>
      </w:r>
      <w:r w:rsidR="00533F85" w:rsidRPr="007F2CBC">
        <w:rPr>
          <w:lang w:val="en-US"/>
        </w:rPr>
        <w:t xml:space="preserve"> 2016b)</w:t>
      </w:r>
      <w:r w:rsidRPr="007F2CBC">
        <w:rPr>
          <w:lang w:val="en-US"/>
        </w:rPr>
        <w:t>.</w:t>
      </w:r>
      <w:r w:rsidR="0052368C" w:rsidRPr="007F2CBC">
        <w:rPr>
          <w:lang w:val="en-US"/>
        </w:rPr>
        <w:t xml:space="preserve"> </w:t>
      </w:r>
    </w:p>
    <w:p w14:paraId="01F09984" w14:textId="0A03E907" w:rsidR="00A22FED" w:rsidRDefault="007F2CBC" w:rsidP="00A22FED">
      <w:pPr>
        <w:spacing w:before="0" w:after="200"/>
        <w:jc w:val="center"/>
        <w:rPr>
          <w:lang w:val="en-US"/>
        </w:rPr>
      </w:pPr>
      <w:r w:rsidRPr="007F2CBC">
        <w:rPr>
          <w:noProof/>
          <w:lang w:eastAsia="en-AU"/>
        </w:rPr>
        <w:drawing>
          <wp:inline distT="0" distB="0" distL="0" distR="0" wp14:anchorId="3FD60F33" wp14:editId="292A0E49">
            <wp:extent cx="5411879" cy="2668773"/>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t="10667" b="5658"/>
                    <a:stretch/>
                  </pic:blipFill>
                  <pic:spPr bwMode="auto">
                    <a:xfrm>
                      <a:off x="0" y="0"/>
                      <a:ext cx="5412105" cy="2668884"/>
                    </a:xfrm>
                    <a:prstGeom prst="rect">
                      <a:avLst/>
                    </a:prstGeom>
                    <a:noFill/>
                    <a:ln>
                      <a:noFill/>
                    </a:ln>
                    <a:extLst>
                      <a:ext uri="{53640926-AAD7-44D8-BBD7-CCE9431645EC}">
                        <a14:shadowObscured xmlns:a14="http://schemas.microsoft.com/office/drawing/2010/main"/>
                      </a:ext>
                    </a:extLst>
                  </pic:spPr>
                </pic:pic>
              </a:graphicData>
            </a:graphic>
          </wp:inline>
        </w:drawing>
      </w:r>
      <w:r w:rsidRPr="007F2CBC">
        <w:t xml:space="preserve"> </w:t>
      </w:r>
    </w:p>
    <w:p w14:paraId="7ED16CE6" w14:textId="2BDE7F30" w:rsidR="007F2CBC" w:rsidRPr="007F2CBC" w:rsidRDefault="00A22FED" w:rsidP="00B46038">
      <w:pPr>
        <w:pStyle w:val="Captions"/>
      </w:pPr>
      <w:r>
        <w:t>Figure B1. Water level</w:t>
      </w:r>
      <w:r w:rsidR="007F2CBC">
        <w:t>s</w:t>
      </w:r>
      <w:r>
        <w:t xml:space="preserve"> </w:t>
      </w:r>
      <w:r w:rsidR="007F2CBC" w:rsidRPr="007F2CBC">
        <w:t>in the Lock 2 (US Lock 2, +6.1 m AHD)</w:t>
      </w:r>
      <w:r w:rsidR="007F2CBC">
        <w:t xml:space="preserve"> and Lock 5 (US Lock 5, +16.3 m </w:t>
      </w:r>
      <w:r w:rsidR="007F2CBC" w:rsidRPr="007F2CBC">
        <w:t>AHD) weir pools</w:t>
      </w:r>
      <w:r>
        <w:t xml:space="preserve"> between July 2015 and July 2016, showing weir pool </w:t>
      </w:r>
      <w:r w:rsidR="00E07DF1">
        <w:t>raising</w:t>
      </w:r>
      <w:r>
        <w:t xml:space="preserve"> between September 2015 and January 2016 (DEWNR). Water level is measured at Lock 2 US (</w:t>
      </w:r>
      <w:r w:rsidRPr="0016088F">
        <w:t>A4260518</w:t>
      </w:r>
      <w:r w:rsidRPr="004A3E4F">
        <w:t>) and Lock 5 US (</w:t>
      </w:r>
      <w:r w:rsidRPr="0016088F">
        <w:t>A4260512</w:t>
      </w:r>
      <w:r w:rsidRPr="004A3E4F">
        <w:t>) sites</w:t>
      </w:r>
      <w:r>
        <w:t>. Red circles indicate (A) the commencement of weir pool raising, (B) maximum level and (C) return to normal pool levels.</w:t>
      </w:r>
    </w:p>
    <w:p w14:paraId="2E9B87F9" w14:textId="77777777" w:rsidR="00A22FED" w:rsidRPr="00A22FED" w:rsidRDefault="00A22FED" w:rsidP="00A22FED">
      <w:pPr>
        <w:rPr>
          <w:highlight w:val="yellow"/>
          <w:lang w:val="en-US"/>
        </w:rPr>
      </w:pPr>
    </w:p>
    <w:p w14:paraId="44E6964C" w14:textId="0E571CA4" w:rsidR="00F84FD5" w:rsidRDefault="00F84FD5" w:rsidP="00B46038">
      <w:pPr>
        <w:pStyle w:val="Captions"/>
      </w:pPr>
      <w:r w:rsidRPr="007C6FE5">
        <w:t xml:space="preserve">Table </w:t>
      </w:r>
      <w:r w:rsidR="0061623E" w:rsidRPr="007C6FE5">
        <w:t>B</w:t>
      </w:r>
      <w:r w:rsidRPr="007C6FE5">
        <w:t xml:space="preserve">1. </w:t>
      </w:r>
      <w:r w:rsidR="009D77F3">
        <w:t>I</w:t>
      </w:r>
      <w:r w:rsidRPr="007C6FE5">
        <w:t>nundation</w:t>
      </w:r>
      <w:r w:rsidR="003916FA">
        <w:t xml:space="preserve"> areas for Weir Pools 2 and 5</w:t>
      </w:r>
      <w:r>
        <w:t xml:space="preserve"> </w:t>
      </w:r>
      <w:r w:rsidR="003916FA">
        <w:t xml:space="preserve">during spring </w:t>
      </w:r>
      <w:r w:rsidR="003916FA" w:rsidRPr="007536EC">
        <w:t>2015</w:t>
      </w:r>
      <w:r w:rsidR="002F6FF0">
        <w:t xml:space="preserve"> (</w:t>
      </w:r>
      <w:r w:rsidR="009D77F3">
        <w:t xml:space="preserve">Hanisch </w:t>
      </w:r>
      <w:r w:rsidR="009D77F3" w:rsidRPr="00A95722">
        <w:rPr>
          <w:i/>
        </w:rPr>
        <w:t>et al.</w:t>
      </w:r>
      <w:r w:rsidR="009D77F3">
        <w:t xml:space="preserve"> 2017</w:t>
      </w:r>
      <w:r w:rsidR="002F6FF0">
        <w:t>)</w:t>
      </w:r>
      <w:r w:rsidR="007C6FE5" w:rsidRPr="007536EC">
        <w:rPr>
          <w:rFonts w:eastAsia="Times New Roman" w:cs="Tahoma"/>
          <w:color w:val="000000"/>
        </w:rPr>
        <w:t>.</w:t>
      </w:r>
    </w:p>
    <w:tbl>
      <w:tblPr>
        <w:tblW w:w="5000" w:type="pct"/>
        <w:tblCellMar>
          <w:left w:w="0" w:type="dxa"/>
          <w:right w:w="0" w:type="dxa"/>
        </w:tblCellMar>
        <w:tblLook w:val="04A0" w:firstRow="1" w:lastRow="0" w:firstColumn="1" w:lastColumn="0" w:noHBand="0" w:noVBand="1"/>
      </w:tblPr>
      <w:tblGrid>
        <w:gridCol w:w="1405"/>
        <w:gridCol w:w="2427"/>
        <w:gridCol w:w="1404"/>
        <w:gridCol w:w="1997"/>
        <w:gridCol w:w="1777"/>
      </w:tblGrid>
      <w:tr w:rsidR="00A22FED" w:rsidRPr="00555A65" w14:paraId="4C8626F2" w14:textId="77777777" w:rsidTr="00D07F2C">
        <w:trPr>
          <w:trHeight w:val="300"/>
        </w:trPr>
        <w:tc>
          <w:tcPr>
            <w:tcW w:w="780" w:type="pct"/>
            <w:vMerge w:val="restart"/>
            <w:tcBorders>
              <w:top w:val="single" w:sz="4" w:space="0" w:color="auto"/>
              <w:left w:val="single" w:sz="4" w:space="0" w:color="auto"/>
              <w:bottom w:val="single" w:sz="4" w:space="0" w:color="auto"/>
              <w:right w:val="single" w:sz="4" w:space="0" w:color="auto"/>
            </w:tcBorders>
            <w:vAlign w:val="center"/>
            <w:hideMark/>
          </w:tcPr>
          <w:p w14:paraId="2CEE1374" w14:textId="5F4F4BA2" w:rsidR="00A22FED" w:rsidRPr="00555A65" w:rsidRDefault="00A22FED" w:rsidP="00D07F2C">
            <w:pPr>
              <w:pStyle w:val="NormalWeb"/>
              <w:jc w:val="center"/>
              <w:rPr>
                <w:rFonts w:ascii="Century Gothic" w:hAnsi="Century Gothic"/>
                <w:b/>
                <w:sz w:val="19"/>
                <w:szCs w:val="19"/>
              </w:rPr>
            </w:pPr>
            <w:r w:rsidRPr="00555A65">
              <w:rPr>
                <w:rFonts w:ascii="Century Gothic" w:hAnsi="Century Gothic" w:cs="Calibri"/>
                <w:b/>
                <w:sz w:val="19"/>
                <w:szCs w:val="19"/>
              </w:rPr>
              <w:t>Weir pool</w:t>
            </w:r>
          </w:p>
        </w:tc>
        <w:tc>
          <w:tcPr>
            <w:tcW w:w="1347" w:type="pct"/>
            <w:vMerge w:val="restart"/>
            <w:tcBorders>
              <w:top w:val="single" w:sz="4" w:space="0" w:color="auto"/>
              <w:left w:val="single" w:sz="4" w:space="0" w:color="auto"/>
              <w:bottom w:val="single" w:sz="4" w:space="0" w:color="auto"/>
              <w:right w:val="single" w:sz="4" w:space="0" w:color="auto"/>
            </w:tcBorders>
            <w:vAlign w:val="center"/>
            <w:hideMark/>
          </w:tcPr>
          <w:p w14:paraId="446D1EB5" w14:textId="77777777" w:rsidR="00A22FED" w:rsidRPr="00555A65" w:rsidRDefault="00A22FED" w:rsidP="00D07F2C">
            <w:pPr>
              <w:pStyle w:val="NormalWeb"/>
              <w:jc w:val="center"/>
              <w:rPr>
                <w:rFonts w:ascii="Century Gothic" w:hAnsi="Century Gothic"/>
                <w:b/>
                <w:sz w:val="19"/>
                <w:szCs w:val="19"/>
              </w:rPr>
            </w:pPr>
            <w:r w:rsidRPr="00555A65">
              <w:rPr>
                <w:rFonts w:ascii="Century Gothic" w:hAnsi="Century Gothic" w:cs="Calibri"/>
                <w:b/>
                <w:sz w:val="19"/>
                <w:szCs w:val="19"/>
              </w:rPr>
              <w:t>Height above pool level (cm)</w:t>
            </w:r>
          </w:p>
        </w:tc>
        <w:tc>
          <w:tcPr>
            <w:tcW w:w="779" w:type="pct"/>
            <w:vMerge w:val="restart"/>
            <w:tcBorders>
              <w:top w:val="single" w:sz="4" w:space="0" w:color="auto"/>
              <w:left w:val="single" w:sz="4" w:space="0" w:color="auto"/>
              <w:bottom w:val="single" w:sz="4" w:space="0" w:color="auto"/>
              <w:right w:val="single" w:sz="4" w:space="0" w:color="auto"/>
            </w:tcBorders>
            <w:vAlign w:val="center"/>
            <w:hideMark/>
          </w:tcPr>
          <w:p w14:paraId="293FF03B" w14:textId="77777777" w:rsidR="00A22FED" w:rsidRPr="00555A65" w:rsidRDefault="00A22FED" w:rsidP="00D07F2C">
            <w:pPr>
              <w:pStyle w:val="NormalWeb"/>
              <w:jc w:val="center"/>
              <w:rPr>
                <w:rFonts w:ascii="Century Gothic" w:hAnsi="Century Gothic"/>
                <w:b/>
                <w:sz w:val="19"/>
                <w:szCs w:val="19"/>
              </w:rPr>
            </w:pPr>
            <w:r w:rsidRPr="00555A65">
              <w:rPr>
                <w:rFonts w:ascii="Century Gothic" w:hAnsi="Century Gothic" w:cs="Calibri"/>
                <w:b/>
                <w:sz w:val="19"/>
                <w:szCs w:val="19"/>
              </w:rPr>
              <w:t>Area (ha)</w:t>
            </w:r>
          </w:p>
        </w:tc>
        <w:tc>
          <w:tcPr>
            <w:tcW w:w="2094" w:type="pct"/>
            <w:gridSpan w:val="2"/>
            <w:tcBorders>
              <w:top w:val="single" w:sz="4" w:space="0" w:color="auto"/>
              <w:left w:val="nil"/>
              <w:bottom w:val="single" w:sz="4" w:space="0" w:color="auto"/>
              <w:right w:val="single" w:sz="4" w:space="0" w:color="000000"/>
            </w:tcBorders>
            <w:vAlign w:val="center"/>
            <w:hideMark/>
          </w:tcPr>
          <w:p w14:paraId="14EFBF2F" w14:textId="06A7CDDF" w:rsidR="00A22FED" w:rsidRPr="00555A65" w:rsidRDefault="00A22FED" w:rsidP="00465F87">
            <w:pPr>
              <w:pStyle w:val="NormalWeb"/>
              <w:jc w:val="center"/>
              <w:rPr>
                <w:rFonts w:ascii="Century Gothic" w:hAnsi="Century Gothic"/>
                <w:b/>
                <w:sz w:val="19"/>
                <w:szCs w:val="19"/>
              </w:rPr>
            </w:pPr>
            <w:r w:rsidRPr="00555A65">
              <w:rPr>
                <w:rFonts w:ascii="Century Gothic" w:hAnsi="Century Gothic" w:cs="Calibri"/>
                <w:b/>
                <w:sz w:val="19"/>
                <w:szCs w:val="19"/>
              </w:rPr>
              <w:t xml:space="preserve">Increase compared to </w:t>
            </w:r>
            <w:r w:rsidR="00465F87" w:rsidRPr="00555A65">
              <w:rPr>
                <w:rFonts w:ascii="Century Gothic" w:hAnsi="Century Gothic" w:cs="Calibri"/>
                <w:b/>
                <w:sz w:val="19"/>
                <w:szCs w:val="19"/>
              </w:rPr>
              <w:t>p</w:t>
            </w:r>
            <w:r w:rsidRPr="00555A65">
              <w:rPr>
                <w:rFonts w:ascii="Century Gothic" w:hAnsi="Century Gothic" w:cs="Calibri"/>
                <w:b/>
                <w:sz w:val="19"/>
                <w:szCs w:val="19"/>
              </w:rPr>
              <w:t>ool</w:t>
            </w:r>
          </w:p>
        </w:tc>
      </w:tr>
      <w:tr w:rsidR="00A22FED" w:rsidRPr="00555A65" w14:paraId="0845EA24" w14:textId="77777777" w:rsidTr="00D07F2C">
        <w:trPr>
          <w:trHeight w:val="420"/>
        </w:trPr>
        <w:tc>
          <w:tcPr>
            <w:tcW w:w="780" w:type="pct"/>
            <w:vMerge/>
            <w:tcBorders>
              <w:top w:val="single" w:sz="4" w:space="0" w:color="auto"/>
              <w:left w:val="single" w:sz="4" w:space="0" w:color="auto"/>
              <w:bottom w:val="single" w:sz="4" w:space="0" w:color="auto"/>
              <w:right w:val="single" w:sz="4" w:space="0" w:color="auto"/>
            </w:tcBorders>
            <w:vAlign w:val="center"/>
            <w:hideMark/>
          </w:tcPr>
          <w:p w14:paraId="5190E695" w14:textId="77777777" w:rsidR="00A22FED" w:rsidRPr="00555A65" w:rsidRDefault="00A22FED" w:rsidP="00D07F2C">
            <w:pPr>
              <w:rPr>
                <w:rFonts w:eastAsiaTheme="minorHAnsi"/>
                <w:b/>
                <w:sz w:val="19"/>
                <w:szCs w:val="19"/>
              </w:rPr>
            </w:pPr>
          </w:p>
        </w:tc>
        <w:tc>
          <w:tcPr>
            <w:tcW w:w="1347" w:type="pct"/>
            <w:vMerge/>
            <w:tcBorders>
              <w:top w:val="single" w:sz="4" w:space="0" w:color="auto"/>
              <w:left w:val="single" w:sz="4" w:space="0" w:color="auto"/>
              <w:bottom w:val="single" w:sz="4" w:space="0" w:color="auto"/>
              <w:right w:val="single" w:sz="4" w:space="0" w:color="auto"/>
            </w:tcBorders>
            <w:vAlign w:val="center"/>
            <w:hideMark/>
          </w:tcPr>
          <w:p w14:paraId="3EEAC5B6" w14:textId="77777777" w:rsidR="00A22FED" w:rsidRPr="00555A65" w:rsidRDefault="00A22FED" w:rsidP="00D07F2C">
            <w:pPr>
              <w:rPr>
                <w:rFonts w:eastAsiaTheme="minorHAnsi"/>
                <w:b/>
                <w:sz w:val="19"/>
                <w:szCs w:val="19"/>
              </w:rPr>
            </w:pPr>
          </w:p>
        </w:tc>
        <w:tc>
          <w:tcPr>
            <w:tcW w:w="779" w:type="pct"/>
            <w:vMerge/>
            <w:tcBorders>
              <w:top w:val="single" w:sz="4" w:space="0" w:color="auto"/>
              <w:left w:val="single" w:sz="4" w:space="0" w:color="auto"/>
              <w:bottom w:val="single" w:sz="4" w:space="0" w:color="auto"/>
              <w:right w:val="single" w:sz="4" w:space="0" w:color="auto"/>
            </w:tcBorders>
            <w:vAlign w:val="center"/>
            <w:hideMark/>
          </w:tcPr>
          <w:p w14:paraId="4FAF99F4" w14:textId="77777777" w:rsidR="00A22FED" w:rsidRPr="00555A65" w:rsidRDefault="00A22FED" w:rsidP="00D07F2C">
            <w:pPr>
              <w:rPr>
                <w:rFonts w:eastAsiaTheme="minorHAnsi"/>
                <w:b/>
                <w:sz w:val="19"/>
                <w:szCs w:val="19"/>
              </w:rPr>
            </w:pPr>
          </w:p>
        </w:tc>
        <w:tc>
          <w:tcPr>
            <w:tcW w:w="1108" w:type="pct"/>
            <w:tcBorders>
              <w:top w:val="nil"/>
              <w:left w:val="nil"/>
              <w:bottom w:val="single" w:sz="4" w:space="0" w:color="auto"/>
              <w:right w:val="single" w:sz="4" w:space="0" w:color="auto"/>
            </w:tcBorders>
            <w:vAlign w:val="center"/>
            <w:hideMark/>
          </w:tcPr>
          <w:p w14:paraId="1EB20062" w14:textId="77777777" w:rsidR="00A22FED" w:rsidRPr="00555A65" w:rsidRDefault="00A22FED" w:rsidP="00D07F2C">
            <w:pPr>
              <w:pStyle w:val="NormalWeb"/>
              <w:jc w:val="center"/>
              <w:rPr>
                <w:rFonts w:ascii="Century Gothic" w:hAnsi="Century Gothic"/>
                <w:b/>
                <w:sz w:val="19"/>
                <w:szCs w:val="19"/>
              </w:rPr>
            </w:pPr>
            <w:r w:rsidRPr="00555A65">
              <w:rPr>
                <w:rFonts w:ascii="Century Gothic" w:hAnsi="Century Gothic" w:cs="Calibri"/>
                <w:b/>
                <w:sz w:val="19"/>
                <w:szCs w:val="19"/>
              </w:rPr>
              <w:t>Area (ha)</w:t>
            </w:r>
          </w:p>
        </w:tc>
        <w:tc>
          <w:tcPr>
            <w:tcW w:w="986" w:type="pct"/>
            <w:tcBorders>
              <w:top w:val="nil"/>
              <w:left w:val="nil"/>
              <w:bottom w:val="single" w:sz="4" w:space="0" w:color="auto"/>
              <w:right w:val="single" w:sz="4" w:space="0" w:color="auto"/>
            </w:tcBorders>
            <w:vAlign w:val="center"/>
            <w:hideMark/>
          </w:tcPr>
          <w:p w14:paraId="2DC561CE" w14:textId="77777777" w:rsidR="00A22FED" w:rsidRPr="00555A65" w:rsidRDefault="00A22FED" w:rsidP="00D07F2C">
            <w:pPr>
              <w:pStyle w:val="NormalWeb"/>
              <w:jc w:val="center"/>
              <w:rPr>
                <w:rFonts w:ascii="Century Gothic" w:hAnsi="Century Gothic"/>
                <w:b/>
                <w:sz w:val="19"/>
                <w:szCs w:val="19"/>
              </w:rPr>
            </w:pPr>
            <w:r w:rsidRPr="00555A65">
              <w:rPr>
                <w:rFonts w:ascii="Century Gothic" w:hAnsi="Century Gothic" w:cs="Calibri"/>
                <w:b/>
                <w:sz w:val="19"/>
                <w:szCs w:val="19"/>
              </w:rPr>
              <w:t>Area (%)</w:t>
            </w:r>
          </w:p>
        </w:tc>
      </w:tr>
      <w:tr w:rsidR="00A22FED" w:rsidRPr="00555A65" w14:paraId="49F64E8E" w14:textId="77777777" w:rsidTr="00D07F2C">
        <w:trPr>
          <w:trHeight w:val="300"/>
        </w:trPr>
        <w:tc>
          <w:tcPr>
            <w:tcW w:w="780" w:type="pct"/>
            <w:tcBorders>
              <w:top w:val="nil"/>
              <w:left w:val="single" w:sz="4" w:space="0" w:color="auto"/>
              <w:bottom w:val="single" w:sz="4" w:space="0" w:color="auto"/>
              <w:right w:val="single" w:sz="4" w:space="0" w:color="auto"/>
            </w:tcBorders>
          </w:tcPr>
          <w:p w14:paraId="7D34136F" w14:textId="77777777" w:rsidR="00A22FED" w:rsidRPr="00555A65" w:rsidRDefault="00A22FED" w:rsidP="00D07F2C">
            <w:pPr>
              <w:pStyle w:val="NormalWeb"/>
              <w:jc w:val="center"/>
              <w:rPr>
                <w:rFonts w:ascii="Century Gothic" w:hAnsi="Century Gothic"/>
                <w:sz w:val="19"/>
                <w:szCs w:val="19"/>
                <w:highlight w:val="yellow"/>
              </w:rPr>
            </w:pPr>
            <w:r w:rsidRPr="00555A65">
              <w:rPr>
                <w:rFonts w:ascii="Century Gothic" w:hAnsi="Century Gothic"/>
                <w:sz w:val="19"/>
                <w:szCs w:val="19"/>
              </w:rPr>
              <w:t>2</w:t>
            </w:r>
          </w:p>
        </w:tc>
        <w:tc>
          <w:tcPr>
            <w:tcW w:w="1347" w:type="pct"/>
            <w:tcBorders>
              <w:top w:val="nil"/>
              <w:left w:val="nil"/>
              <w:bottom w:val="single" w:sz="4" w:space="0" w:color="auto"/>
              <w:right w:val="single" w:sz="4" w:space="0" w:color="auto"/>
            </w:tcBorders>
          </w:tcPr>
          <w:p w14:paraId="51DA778B" w14:textId="77777777" w:rsidR="00A22FED" w:rsidRPr="00555A65" w:rsidRDefault="00A22FED" w:rsidP="00D07F2C">
            <w:pPr>
              <w:pStyle w:val="NormalWeb"/>
              <w:jc w:val="center"/>
              <w:rPr>
                <w:rFonts w:ascii="Century Gothic" w:hAnsi="Century Gothic"/>
                <w:sz w:val="19"/>
                <w:szCs w:val="19"/>
                <w:highlight w:val="yellow"/>
              </w:rPr>
            </w:pPr>
            <w:r w:rsidRPr="00555A65">
              <w:rPr>
                <w:rFonts w:ascii="Century Gothic" w:hAnsi="Century Gothic"/>
                <w:sz w:val="19"/>
                <w:szCs w:val="19"/>
              </w:rPr>
              <w:t>0</w:t>
            </w:r>
          </w:p>
        </w:tc>
        <w:tc>
          <w:tcPr>
            <w:tcW w:w="779" w:type="pct"/>
            <w:tcBorders>
              <w:top w:val="nil"/>
              <w:left w:val="nil"/>
              <w:bottom w:val="single" w:sz="4" w:space="0" w:color="auto"/>
              <w:right w:val="single" w:sz="4" w:space="0" w:color="auto"/>
            </w:tcBorders>
          </w:tcPr>
          <w:p w14:paraId="4528F0D4" w14:textId="77777777" w:rsidR="00A22FED" w:rsidRPr="00555A65" w:rsidRDefault="00A22FED" w:rsidP="00D07F2C">
            <w:pPr>
              <w:pStyle w:val="NormalWeb"/>
              <w:jc w:val="center"/>
              <w:rPr>
                <w:rFonts w:ascii="Century Gothic" w:hAnsi="Century Gothic"/>
                <w:sz w:val="19"/>
                <w:szCs w:val="19"/>
                <w:highlight w:val="yellow"/>
              </w:rPr>
            </w:pPr>
            <w:r w:rsidRPr="00555A65">
              <w:rPr>
                <w:rFonts w:ascii="Century Gothic" w:hAnsi="Century Gothic"/>
                <w:sz w:val="19"/>
                <w:szCs w:val="19"/>
              </w:rPr>
              <w:t>1,557</w:t>
            </w:r>
          </w:p>
        </w:tc>
        <w:tc>
          <w:tcPr>
            <w:tcW w:w="1108" w:type="pct"/>
            <w:tcBorders>
              <w:top w:val="nil"/>
              <w:left w:val="nil"/>
              <w:bottom w:val="single" w:sz="4" w:space="0" w:color="auto"/>
              <w:right w:val="single" w:sz="4" w:space="0" w:color="auto"/>
            </w:tcBorders>
          </w:tcPr>
          <w:p w14:paraId="4EABCCFB" w14:textId="77777777" w:rsidR="00A22FED" w:rsidRPr="00555A65" w:rsidRDefault="00A22FED" w:rsidP="00D07F2C">
            <w:pPr>
              <w:pStyle w:val="NormalWeb"/>
              <w:jc w:val="center"/>
              <w:rPr>
                <w:rFonts w:ascii="Century Gothic" w:hAnsi="Century Gothic"/>
                <w:sz w:val="19"/>
                <w:szCs w:val="19"/>
                <w:highlight w:val="yellow"/>
              </w:rPr>
            </w:pPr>
            <w:r w:rsidRPr="00555A65">
              <w:rPr>
                <w:rFonts w:ascii="Century Gothic" w:hAnsi="Century Gothic"/>
                <w:sz w:val="19"/>
                <w:szCs w:val="19"/>
              </w:rPr>
              <w:t>0</w:t>
            </w:r>
          </w:p>
        </w:tc>
        <w:tc>
          <w:tcPr>
            <w:tcW w:w="986" w:type="pct"/>
            <w:tcBorders>
              <w:top w:val="nil"/>
              <w:left w:val="nil"/>
              <w:bottom w:val="single" w:sz="4" w:space="0" w:color="auto"/>
              <w:right w:val="single" w:sz="4" w:space="0" w:color="auto"/>
            </w:tcBorders>
          </w:tcPr>
          <w:p w14:paraId="2FE39C77" w14:textId="77777777" w:rsidR="00A22FED" w:rsidRPr="00555A65" w:rsidRDefault="00A22FED" w:rsidP="00D07F2C">
            <w:pPr>
              <w:pStyle w:val="NormalWeb"/>
              <w:jc w:val="center"/>
              <w:rPr>
                <w:rFonts w:ascii="Century Gothic" w:hAnsi="Century Gothic"/>
                <w:sz w:val="19"/>
                <w:szCs w:val="19"/>
                <w:highlight w:val="yellow"/>
              </w:rPr>
            </w:pPr>
            <w:r w:rsidRPr="00555A65">
              <w:rPr>
                <w:rFonts w:ascii="Century Gothic" w:hAnsi="Century Gothic"/>
                <w:sz w:val="19"/>
                <w:szCs w:val="19"/>
              </w:rPr>
              <w:t>0%</w:t>
            </w:r>
          </w:p>
        </w:tc>
      </w:tr>
      <w:tr w:rsidR="00A22FED" w:rsidRPr="00555A65" w14:paraId="6CB14198" w14:textId="77777777" w:rsidTr="00D07F2C">
        <w:trPr>
          <w:trHeight w:val="300"/>
        </w:trPr>
        <w:tc>
          <w:tcPr>
            <w:tcW w:w="780" w:type="pct"/>
            <w:tcBorders>
              <w:top w:val="nil"/>
              <w:left w:val="single" w:sz="4" w:space="0" w:color="auto"/>
              <w:bottom w:val="single" w:sz="4" w:space="0" w:color="auto"/>
              <w:right w:val="single" w:sz="4" w:space="0" w:color="auto"/>
            </w:tcBorders>
          </w:tcPr>
          <w:p w14:paraId="093088D0" w14:textId="77777777" w:rsidR="00A22FED" w:rsidRPr="00555A65" w:rsidRDefault="00A22FED" w:rsidP="00277D3F">
            <w:pPr>
              <w:pStyle w:val="NormalWeb"/>
              <w:spacing w:before="0" w:beforeAutospacing="0" w:after="0" w:afterAutospacing="0"/>
              <w:jc w:val="center"/>
              <w:rPr>
                <w:rFonts w:ascii="Century Gothic" w:hAnsi="Century Gothic"/>
                <w:sz w:val="19"/>
                <w:szCs w:val="19"/>
                <w:highlight w:val="yellow"/>
              </w:rPr>
            </w:pPr>
            <w:r w:rsidRPr="00555A65">
              <w:rPr>
                <w:rFonts w:ascii="Century Gothic" w:hAnsi="Century Gothic"/>
                <w:sz w:val="19"/>
                <w:szCs w:val="19"/>
              </w:rPr>
              <w:t>2</w:t>
            </w:r>
          </w:p>
        </w:tc>
        <w:tc>
          <w:tcPr>
            <w:tcW w:w="1347" w:type="pct"/>
            <w:tcBorders>
              <w:top w:val="nil"/>
              <w:left w:val="nil"/>
              <w:bottom w:val="single" w:sz="4" w:space="0" w:color="auto"/>
              <w:right w:val="single" w:sz="4" w:space="0" w:color="auto"/>
            </w:tcBorders>
          </w:tcPr>
          <w:p w14:paraId="25FD4445" w14:textId="77777777" w:rsidR="00A22FED" w:rsidRPr="00555A65" w:rsidRDefault="00A22FED" w:rsidP="00277D3F">
            <w:pPr>
              <w:pStyle w:val="NormalWeb"/>
              <w:spacing w:before="0" w:beforeAutospacing="0" w:after="0" w:afterAutospacing="0"/>
              <w:jc w:val="center"/>
              <w:rPr>
                <w:rFonts w:ascii="Century Gothic" w:hAnsi="Century Gothic"/>
                <w:sz w:val="19"/>
                <w:szCs w:val="19"/>
                <w:highlight w:val="yellow"/>
              </w:rPr>
            </w:pPr>
            <w:r w:rsidRPr="00555A65">
              <w:rPr>
                <w:rFonts w:ascii="Century Gothic" w:hAnsi="Century Gothic"/>
                <w:sz w:val="19"/>
                <w:szCs w:val="19"/>
              </w:rPr>
              <w:t>50</w:t>
            </w:r>
          </w:p>
        </w:tc>
        <w:tc>
          <w:tcPr>
            <w:tcW w:w="779" w:type="pct"/>
            <w:tcBorders>
              <w:top w:val="nil"/>
              <w:left w:val="nil"/>
              <w:bottom w:val="single" w:sz="4" w:space="0" w:color="auto"/>
              <w:right w:val="single" w:sz="4" w:space="0" w:color="auto"/>
            </w:tcBorders>
          </w:tcPr>
          <w:p w14:paraId="0030C118" w14:textId="776B23CA" w:rsidR="00A22FED" w:rsidRPr="00555A65" w:rsidRDefault="00A22FED" w:rsidP="009D77F3">
            <w:pPr>
              <w:pStyle w:val="NormalWeb"/>
              <w:jc w:val="center"/>
              <w:rPr>
                <w:rFonts w:ascii="Century Gothic" w:hAnsi="Century Gothic"/>
                <w:sz w:val="19"/>
                <w:szCs w:val="19"/>
                <w:highlight w:val="yellow"/>
              </w:rPr>
            </w:pPr>
            <w:r w:rsidRPr="00555A65">
              <w:rPr>
                <w:rFonts w:ascii="Century Gothic" w:hAnsi="Century Gothic"/>
                <w:sz w:val="19"/>
                <w:szCs w:val="19"/>
              </w:rPr>
              <w:t>1,</w:t>
            </w:r>
            <w:r w:rsidR="009D77F3" w:rsidRPr="00555A65">
              <w:rPr>
                <w:rFonts w:ascii="Century Gothic" w:hAnsi="Century Gothic"/>
                <w:sz w:val="19"/>
                <w:szCs w:val="19"/>
              </w:rPr>
              <w:t>732</w:t>
            </w:r>
          </w:p>
        </w:tc>
        <w:tc>
          <w:tcPr>
            <w:tcW w:w="1108" w:type="pct"/>
            <w:tcBorders>
              <w:top w:val="nil"/>
              <w:left w:val="nil"/>
              <w:bottom w:val="single" w:sz="4" w:space="0" w:color="auto"/>
              <w:right w:val="single" w:sz="4" w:space="0" w:color="auto"/>
            </w:tcBorders>
          </w:tcPr>
          <w:p w14:paraId="696C67C5" w14:textId="6448E50E" w:rsidR="00A22FED" w:rsidRPr="00555A65" w:rsidRDefault="009D77F3" w:rsidP="00D07F2C">
            <w:pPr>
              <w:pStyle w:val="NormalWeb"/>
              <w:jc w:val="center"/>
              <w:rPr>
                <w:rFonts w:ascii="Century Gothic" w:hAnsi="Century Gothic"/>
                <w:sz w:val="19"/>
                <w:szCs w:val="19"/>
                <w:highlight w:val="yellow"/>
              </w:rPr>
            </w:pPr>
            <w:r w:rsidRPr="00555A65">
              <w:rPr>
                <w:rFonts w:ascii="Century Gothic" w:hAnsi="Century Gothic"/>
                <w:sz w:val="19"/>
                <w:szCs w:val="19"/>
              </w:rPr>
              <w:t>175</w:t>
            </w:r>
          </w:p>
        </w:tc>
        <w:tc>
          <w:tcPr>
            <w:tcW w:w="986" w:type="pct"/>
            <w:tcBorders>
              <w:top w:val="nil"/>
              <w:left w:val="nil"/>
              <w:bottom w:val="single" w:sz="4" w:space="0" w:color="auto"/>
              <w:right w:val="single" w:sz="4" w:space="0" w:color="auto"/>
            </w:tcBorders>
          </w:tcPr>
          <w:p w14:paraId="7ED5D74B" w14:textId="5B8840D9" w:rsidR="00A22FED" w:rsidRPr="00555A65" w:rsidRDefault="00A22FED" w:rsidP="00D07F2C">
            <w:pPr>
              <w:pStyle w:val="NormalWeb"/>
              <w:jc w:val="center"/>
              <w:rPr>
                <w:rFonts w:ascii="Century Gothic" w:hAnsi="Century Gothic"/>
                <w:sz w:val="19"/>
                <w:szCs w:val="19"/>
                <w:highlight w:val="yellow"/>
              </w:rPr>
            </w:pPr>
            <w:r w:rsidRPr="00555A65">
              <w:rPr>
                <w:rFonts w:ascii="Century Gothic" w:hAnsi="Century Gothic"/>
                <w:sz w:val="19"/>
                <w:szCs w:val="19"/>
              </w:rPr>
              <w:t>1</w:t>
            </w:r>
            <w:r w:rsidR="009D77F3" w:rsidRPr="00555A65">
              <w:rPr>
                <w:rFonts w:ascii="Century Gothic" w:hAnsi="Century Gothic"/>
                <w:sz w:val="19"/>
                <w:szCs w:val="19"/>
              </w:rPr>
              <w:t>1</w:t>
            </w:r>
            <w:r w:rsidRPr="00555A65">
              <w:rPr>
                <w:rFonts w:ascii="Century Gothic" w:hAnsi="Century Gothic"/>
                <w:sz w:val="19"/>
                <w:szCs w:val="19"/>
              </w:rPr>
              <w:t>%</w:t>
            </w:r>
          </w:p>
        </w:tc>
      </w:tr>
      <w:tr w:rsidR="00A22FED" w:rsidRPr="00555A65" w14:paraId="49025D54" w14:textId="77777777" w:rsidTr="00D07F2C">
        <w:trPr>
          <w:trHeight w:val="300"/>
        </w:trPr>
        <w:tc>
          <w:tcPr>
            <w:tcW w:w="780" w:type="pct"/>
            <w:tcBorders>
              <w:top w:val="nil"/>
              <w:left w:val="single" w:sz="4" w:space="0" w:color="auto"/>
              <w:bottom w:val="single" w:sz="4" w:space="0" w:color="auto"/>
              <w:right w:val="single" w:sz="4" w:space="0" w:color="auto"/>
            </w:tcBorders>
          </w:tcPr>
          <w:p w14:paraId="672E4D0B" w14:textId="77777777" w:rsidR="00A22FED" w:rsidRPr="00555A65" w:rsidRDefault="00A22FED" w:rsidP="00D07F2C">
            <w:pPr>
              <w:pStyle w:val="NormalWeb"/>
              <w:jc w:val="center"/>
              <w:rPr>
                <w:rFonts w:ascii="Century Gothic" w:hAnsi="Century Gothic"/>
                <w:sz w:val="19"/>
                <w:szCs w:val="19"/>
                <w:highlight w:val="yellow"/>
              </w:rPr>
            </w:pPr>
            <w:r w:rsidRPr="00555A65">
              <w:rPr>
                <w:rFonts w:ascii="Century Gothic" w:hAnsi="Century Gothic"/>
                <w:sz w:val="19"/>
                <w:szCs w:val="19"/>
              </w:rPr>
              <w:t>5</w:t>
            </w:r>
          </w:p>
        </w:tc>
        <w:tc>
          <w:tcPr>
            <w:tcW w:w="1347" w:type="pct"/>
            <w:tcBorders>
              <w:top w:val="nil"/>
              <w:left w:val="nil"/>
              <w:bottom w:val="single" w:sz="4" w:space="0" w:color="auto"/>
              <w:right w:val="single" w:sz="4" w:space="0" w:color="auto"/>
            </w:tcBorders>
          </w:tcPr>
          <w:p w14:paraId="764E7D54" w14:textId="77777777" w:rsidR="00A22FED" w:rsidRPr="00555A65" w:rsidRDefault="00A22FED" w:rsidP="00D07F2C">
            <w:pPr>
              <w:pStyle w:val="NormalWeb"/>
              <w:jc w:val="center"/>
              <w:rPr>
                <w:rFonts w:ascii="Century Gothic" w:hAnsi="Century Gothic"/>
                <w:sz w:val="19"/>
                <w:szCs w:val="19"/>
                <w:highlight w:val="yellow"/>
              </w:rPr>
            </w:pPr>
            <w:r w:rsidRPr="00555A65">
              <w:rPr>
                <w:rFonts w:ascii="Century Gothic" w:hAnsi="Century Gothic"/>
                <w:sz w:val="19"/>
                <w:szCs w:val="19"/>
              </w:rPr>
              <w:t>0</w:t>
            </w:r>
          </w:p>
        </w:tc>
        <w:tc>
          <w:tcPr>
            <w:tcW w:w="779" w:type="pct"/>
            <w:tcBorders>
              <w:top w:val="nil"/>
              <w:left w:val="nil"/>
              <w:bottom w:val="single" w:sz="4" w:space="0" w:color="auto"/>
              <w:right w:val="single" w:sz="4" w:space="0" w:color="auto"/>
            </w:tcBorders>
          </w:tcPr>
          <w:p w14:paraId="3C2AF3A8" w14:textId="77777777" w:rsidR="00A22FED" w:rsidRPr="00555A65" w:rsidRDefault="00A22FED" w:rsidP="00D07F2C">
            <w:pPr>
              <w:pStyle w:val="NormalWeb"/>
              <w:jc w:val="center"/>
              <w:rPr>
                <w:rFonts w:ascii="Century Gothic" w:hAnsi="Century Gothic"/>
                <w:sz w:val="19"/>
                <w:szCs w:val="19"/>
                <w:highlight w:val="yellow"/>
              </w:rPr>
            </w:pPr>
            <w:r w:rsidRPr="00555A65">
              <w:rPr>
                <w:rFonts w:ascii="Century Gothic" w:hAnsi="Century Gothic"/>
                <w:sz w:val="19"/>
                <w:szCs w:val="19"/>
              </w:rPr>
              <w:t>2,434</w:t>
            </w:r>
          </w:p>
        </w:tc>
        <w:tc>
          <w:tcPr>
            <w:tcW w:w="1108" w:type="pct"/>
            <w:tcBorders>
              <w:top w:val="nil"/>
              <w:left w:val="nil"/>
              <w:bottom w:val="single" w:sz="4" w:space="0" w:color="auto"/>
              <w:right w:val="single" w:sz="4" w:space="0" w:color="auto"/>
            </w:tcBorders>
          </w:tcPr>
          <w:p w14:paraId="56D23C7C" w14:textId="77777777" w:rsidR="00A22FED" w:rsidRPr="00555A65" w:rsidRDefault="00A22FED" w:rsidP="00D07F2C">
            <w:pPr>
              <w:pStyle w:val="NormalWeb"/>
              <w:jc w:val="center"/>
              <w:rPr>
                <w:rFonts w:ascii="Century Gothic" w:hAnsi="Century Gothic"/>
                <w:sz w:val="19"/>
                <w:szCs w:val="19"/>
                <w:highlight w:val="yellow"/>
              </w:rPr>
            </w:pPr>
            <w:r w:rsidRPr="00555A65">
              <w:rPr>
                <w:rFonts w:ascii="Century Gothic" w:hAnsi="Century Gothic"/>
                <w:sz w:val="19"/>
                <w:szCs w:val="19"/>
              </w:rPr>
              <w:t>0</w:t>
            </w:r>
          </w:p>
        </w:tc>
        <w:tc>
          <w:tcPr>
            <w:tcW w:w="986" w:type="pct"/>
            <w:tcBorders>
              <w:top w:val="nil"/>
              <w:left w:val="nil"/>
              <w:bottom w:val="single" w:sz="4" w:space="0" w:color="auto"/>
              <w:right w:val="single" w:sz="4" w:space="0" w:color="auto"/>
            </w:tcBorders>
          </w:tcPr>
          <w:p w14:paraId="5A6753B0" w14:textId="77777777" w:rsidR="00A22FED" w:rsidRPr="00555A65" w:rsidRDefault="00A22FED" w:rsidP="00D07F2C">
            <w:pPr>
              <w:pStyle w:val="NormalWeb"/>
              <w:jc w:val="center"/>
              <w:rPr>
                <w:rFonts w:ascii="Century Gothic" w:hAnsi="Century Gothic"/>
                <w:sz w:val="19"/>
                <w:szCs w:val="19"/>
                <w:highlight w:val="yellow"/>
              </w:rPr>
            </w:pPr>
            <w:r w:rsidRPr="00555A65">
              <w:rPr>
                <w:rFonts w:ascii="Century Gothic" w:hAnsi="Century Gothic"/>
                <w:sz w:val="19"/>
                <w:szCs w:val="19"/>
              </w:rPr>
              <w:t>0%</w:t>
            </w:r>
          </w:p>
        </w:tc>
      </w:tr>
      <w:tr w:rsidR="00A22FED" w:rsidRPr="00555A65" w14:paraId="7CA4F4C6" w14:textId="77777777" w:rsidTr="00D07F2C">
        <w:trPr>
          <w:trHeight w:val="300"/>
        </w:trPr>
        <w:tc>
          <w:tcPr>
            <w:tcW w:w="780" w:type="pct"/>
            <w:tcBorders>
              <w:top w:val="nil"/>
              <w:left w:val="single" w:sz="4" w:space="0" w:color="auto"/>
              <w:bottom w:val="single" w:sz="4" w:space="0" w:color="auto"/>
              <w:right w:val="single" w:sz="4" w:space="0" w:color="auto"/>
            </w:tcBorders>
          </w:tcPr>
          <w:p w14:paraId="7AC349E9" w14:textId="77777777" w:rsidR="00A22FED" w:rsidRPr="00555A65" w:rsidRDefault="00A22FED" w:rsidP="00D07F2C">
            <w:pPr>
              <w:pStyle w:val="NormalWeb"/>
              <w:jc w:val="center"/>
              <w:rPr>
                <w:rFonts w:ascii="Century Gothic" w:hAnsi="Century Gothic"/>
                <w:sz w:val="19"/>
                <w:szCs w:val="19"/>
                <w:highlight w:val="yellow"/>
              </w:rPr>
            </w:pPr>
            <w:r w:rsidRPr="00555A65">
              <w:rPr>
                <w:rFonts w:ascii="Century Gothic" w:hAnsi="Century Gothic"/>
                <w:sz w:val="19"/>
                <w:szCs w:val="19"/>
              </w:rPr>
              <w:t>5</w:t>
            </w:r>
          </w:p>
        </w:tc>
        <w:tc>
          <w:tcPr>
            <w:tcW w:w="1347" w:type="pct"/>
            <w:tcBorders>
              <w:top w:val="nil"/>
              <w:left w:val="nil"/>
              <w:bottom w:val="single" w:sz="4" w:space="0" w:color="auto"/>
              <w:right w:val="single" w:sz="4" w:space="0" w:color="auto"/>
            </w:tcBorders>
          </w:tcPr>
          <w:p w14:paraId="30F76D27" w14:textId="152C9ADA" w:rsidR="00A22FED" w:rsidRPr="00555A65" w:rsidRDefault="009D77F3" w:rsidP="00D07F2C">
            <w:pPr>
              <w:pStyle w:val="NormalWeb"/>
              <w:jc w:val="center"/>
              <w:rPr>
                <w:rFonts w:ascii="Century Gothic" w:hAnsi="Century Gothic"/>
                <w:sz w:val="19"/>
                <w:szCs w:val="19"/>
                <w:highlight w:val="yellow"/>
              </w:rPr>
            </w:pPr>
            <w:r w:rsidRPr="00555A65">
              <w:rPr>
                <w:rFonts w:ascii="Century Gothic" w:hAnsi="Century Gothic"/>
                <w:sz w:val="19"/>
                <w:szCs w:val="19"/>
              </w:rPr>
              <w:t>45</w:t>
            </w:r>
          </w:p>
        </w:tc>
        <w:tc>
          <w:tcPr>
            <w:tcW w:w="779" w:type="pct"/>
            <w:tcBorders>
              <w:top w:val="nil"/>
              <w:left w:val="nil"/>
              <w:bottom w:val="single" w:sz="4" w:space="0" w:color="auto"/>
              <w:right w:val="single" w:sz="4" w:space="0" w:color="auto"/>
            </w:tcBorders>
          </w:tcPr>
          <w:p w14:paraId="1F232E3D" w14:textId="6B3D64C0" w:rsidR="00A22FED" w:rsidRPr="00555A65" w:rsidRDefault="00A22FED" w:rsidP="009D77F3">
            <w:pPr>
              <w:pStyle w:val="NormalWeb"/>
              <w:jc w:val="center"/>
              <w:rPr>
                <w:rFonts w:ascii="Century Gothic" w:hAnsi="Century Gothic"/>
                <w:sz w:val="19"/>
                <w:szCs w:val="19"/>
                <w:highlight w:val="yellow"/>
              </w:rPr>
            </w:pPr>
            <w:r w:rsidRPr="00555A65">
              <w:rPr>
                <w:rFonts w:ascii="Century Gothic" w:hAnsi="Century Gothic"/>
                <w:sz w:val="19"/>
                <w:szCs w:val="19"/>
              </w:rPr>
              <w:t>3,</w:t>
            </w:r>
            <w:r w:rsidR="009D77F3" w:rsidRPr="00555A65">
              <w:rPr>
                <w:rFonts w:ascii="Century Gothic" w:hAnsi="Century Gothic"/>
                <w:sz w:val="19"/>
                <w:szCs w:val="19"/>
              </w:rPr>
              <w:t>328</w:t>
            </w:r>
          </w:p>
        </w:tc>
        <w:tc>
          <w:tcPr>
            <w:tcW w:w="1108" w:type="pct"/>
            <w:tcBorders>
              <w:top w:val="nil"/>
              <w:left w:val="nil"/>
              <w:bottom w:val="single" w:sz="4" w:space="0" w:color="auto"/>
              <w:right w:val="single" w:sz="4" w:space="0" w:color="auto"/>
            </w:tcBorders>
          </w:tcPr>
          <w:p w14:paraId="23B18F10" w14:textId="2D4F0580" w:rsidR="00A22FED" w:rsidRPr="00555A65" w:rsidRDefault="009D77F3" w:rsidP="00D07F2C">
            <w:pPr>
              <w:pStyle w:val="NormalWeb"/>
              <w:jc w:val="center"/>
              <w:rPr>
                <w:rFonts w:ascii="Century Gothic" w:hAnsi="Century Gothic"/>
                <w:sz w:val="19"/>
                <w:szCs w:val="19"/>
                <w:highlight w:val="yellow"/>
              </w:rPr>
            </w:pPr>
            <w:r w:rsidRPr="00555A65">
              <w:rPr>
                <w:rFonts w:ascii="Century Gothic" w:hAnsi="Century Gothic"/>
                <w:sz w:val="19"/>
                <w:szCs w:val="19"/>
              </w:rPr>
              <w:t>894</w:t>
            </w:r>
          </w:p>
        </w:tc>
        <w:tc>
          <w:tcPr>
            <w:tcW w:w="986" w:type="pct"/>
            <w:tcBorders>
              <w:top w:val="nil"/>
              <w:left w:val="nil"/>
              <w:bottom w:val="single" w:sz="4" w:space="0" w:color="auto"/>
              <w:right w:val="single" w:sz="4" w:space="0" w:color="auto"/>
            </w:tcBorders>
          </w:tcPr>
          <w:p w14:paraId="6DCA156D" w14:textId="4B92BAC5" w:rsidR="00A22FED" w:rsidRPr="00555A65" w:rsidRDefault="00A22FED" w:rsidP="00D07F2C">
            <w:pPr>
              <w:pStyle w:val="NormalWeb"/>
              <w:jc w:val="center"/>
              <w:rPr>
                <w:rFonts w:ascii="Century Gothic" w:hAnsi="Century Gothic"/>
                <w:sz w:val="19"/>
                <w:szCs w:val="19"/>
                <w:highlight w:val="yellow"/>
              </w:rPr>
            </w:pPr>
            <w:r w:rsidRPr="00555A65">
              <w:rPr>
                <w:rFonts w:ascii="Century Gothic" w:hAnsi="Century Gothic"/>
                <w:sz w:val="19"/>
                <w:szCs w:val="19"/>
              </w:rPr>
              <w:t>3</w:t>
            </w:r>
            <w:r w:rsidR="009D77F3" w:rsidRPr="00555A65">
              <w:rPr>
                <w:rFonts w:ascii="Century Gothic" w:hAnsi="Century Gothic"/>
                <w:sz w:val="19"/>
                <w:szCs w:val="19"/>
              </w:rPr>
              <w:t>7</w:t>
            </w:r>
            <w:r w:rsidRPr="00555A65">
              <w:rPr>
                <w:rFonts w:ascii="Century Gothic" w:hAnsi="Century Gothic"/>
                <w:sz w:val="19"/>
                <w:szCs w:val="19"/>
              </w:rPr>
              <w:t>%</w:t>
            </w:r>
          </w:p>
        </w:tc>
      </w:tr>
    </w:tbl>
    <w:p w14:paraId="5B895D2F" w14:textId="40453337" w:rsidR="00F84FD5" w:rsidRDefault="00F84FD5" w:rsidP="0061623E">
      <w:pPr>
        <w:spacing w:before="0" w:after="200"/>
        <w:rPr>
          <w:lang w:val="en-US"/>
        </w:rPr>
      </w:pPr>
    </w:p>
    <w:p w14:paraId="3FC8B0E9" w14:textId="2FF99184" w:rsidR="00667674" w:rsidRPr="00A22FED" w:rsidRDefault="00667674" w:rsidP="00667674">
      <w:pPr>
        <w:rPr>
          <w:b/>
          <w:i/>
          <w:color w:val="1F497D" w:themeColor="text2"/>
          <w:sz w:val="24"/>
          <w:szCs w:val="24"/>
        </w:rPr>
      </w:pPr>
      <w:r w:rsidRPr="00A22FED">
        <w:rPr>
          <w:b/>
          <w:i/>
          <w:color w:val="1F497D" w:themeColor="text2"/>
          <w:sz w:val="24"/>
          <w:szCs w:val="24"/>
        </w:rPr>
        <w:t>Chowilla</w:t>
      </w:r>
      <w:r w:rsidR="00257ADF" w:rsidRPr="00A22FED">
        <w:rPr>
          <w:b/>
          <w:i/>
          <w:color w:val="1F497D" w:themeColor="text2"/>
          <w:sz w:val="24"/>
          <w:szCs w:val="24"/>
        </w:rPr>
        <w:t xml:space="preserve"> regulator</w:t>
      </w:r>
      <w:r w:rsidRPr="00A22FED">
        <w:rPr>
          <w:b/>
          <w:i/>
          <w:color w:val="1F497D" w:themeColor="text2"/>
          <w:sz w:val="24"/>
          <w:szCs w:val="24"/>
        </w:rPr>
        <w:t xml:space="preserve"> </w:t>
      </w:r>
      <w:r w:rsidR="00257ADF" w:rsidRPr="00A22FED">
        <w:rPr>
          <w:b/>
          <w:i/>
          <w:color w:val="1F497D" w:themeColor="text2"/>
          <w:sz w:val="24"/>
          <w:szCs w:val="24"/>
        </w:rPr>
        <w:t>in-channel rise</w:t>
      </w:r>
      <w:r w:rsidRPr="00A22FED">
        <w:rPr>
          <w:b/>
          <w:i/>
          <w:color w:val="1F497D" w:themeColor="text2"/>
          <w:sz w:val="24"/>
          <w:szCs w:val="24"/>
        </w:rPr>
        <w:t xml:space="preserve"> </w:t>
      </w:r>
      <w:r w:rsidR="00257ADF" w:rsidRPr="00A22FED">
        <w:rPr>
          <w:b/>
          <w:i/>
          <w:color w:val="1F497D" w:themeColor="text2"/>
          <w:sz w:val="24"/>
          <w:szCs w:val="24"/>
        </w:rPr>
        <w:t>event</w:t>
      </w:r>
    </w:p>
    <w:p w14:paraId="6C6954CC" w14:textId="0B6F2CEE" w:rsidR="00A47007" w:rsidRDefault="007108F3" w:rsidP="0061623E">
      <w:pPr>
        <w:spacing w:before="0" w:after="200"/>
        <w:rPr>
          <w:lang w:val="en-US"/>
        </w:rPr>
      </w:pPr>
      <w:r w:rsidRPr="007108F3">
        <w:rPr>
          <w:lang w:val="en-US"/>
        </w:rPr>
        <w:t>During spring 201</w:t>
      </w:r>
      <w:r w:rsidR="008E342D">
        <w:rPr>
          <w:lang w:val="en-US"/>
        </w:rPr>
        <w:t>5</w:t>
      </w:r>
      <w:r w:rsidR="002731AB">
        <w:rPr>
          <w:lang w:val="en-US"/>
        </w:rPr>
        <w:t xml:space="preserve">, </w:t>
      </w:r>
      <w:r w:rsidR="008E342D">
        <w:rPr>
          <w:lang w:val="en-US"/>
        </w:rPr>
        <w:t>water levels in the Chowilla Anabranch</w:t>
      </w:r>
      <w:r w:rsidR="00C202B0">
        <w:rPr>
          <w:lang w:val="en-US"/>
        </w:rPr>
        <w:t xml:space="preserve"> (</w:t>
      </w:r>
      <w:r w:rsidR="00465F87">
        <w:rPr>
          <w:lang w:val="en-US"/>
        </w:rPr>
        <w:fldChar w:fldCharType="begin"/>
      </w:r>
      <w:r w:rsidR="00465F87">
        <w:rPr>
          <w:lang w:val="en-US"/>
        </w:rPr>
        <w:instrText xml:space="preserve"> REF _Ref382232091 \h </w:instrText>
      </w:r>
      <w:r w:rsidR="00465F87">
        <w:rPr>
          <w:lang w:val="en-US"/>
        </w:rPr>
      </w:r>
      <w:r w:rsidR="00465F87">
        <w:rPr>
          <w:lang w:val="en-US"/>
        </w:rPr>
        <w:fldChar w:fldCharType="separate"/>
      </w:r>
      <w:r w:rsidR="004260C4" w:rsidRPr="00C757C7">
        <w:t xml:space="preserve">Figure </w:t>
      </w:r>
      <w:r w:rsidR="004260C4">
        <w:rPr>
          <w:noProof/>
        </w:rPr>
        <w:t>7</w:t>
      </w:r>
      <w:r w:rsidR="00465F87">
        <w:rPr>
          <w:lang w:val="en-US"/>
        </w:rPr>
        <w:fldChar w:fldCharType="end"/>
      </w:r>
      <w:r w:rsidR="00C202B0">
        <w:rPr>
          <w:lang w:val="en-US"/>
        </w:rPr>
        <w:t xml:space="preserve">) were raised </w:t>
      </w:r>
      <w:r w:rsidR="004C554F">
        <w:rPr>
          <w:lang w:val="en-US"/>
        </w:rPr>
        <w:t xml:space="preserve">to achieve </w:t>
      </w:r>
      <w:r w:rsidR="00294CEE">
        <w:rPr>
          <w:lang w:val="en-US"/>
        </w:rPr>
        <w:t xml:space="preserve">a variety of targets </w:t>
      </w:r>
      <w:r w:rsidR="00C33117">
        <w:rPr>
          <w:lang w:val="en-US"/>
        </w:rPr>
        <w:t>including</w:t>
      </w:r>
      <w:r w:rsidR="007536EC">
        <w:rPr>
          <w:lang w:val="en-US"/>
        </w:rPr>
        <w:t>: mobilisation of carbon and nutrients from fringing areas and low level</w:t>
      </w:r>
      <w:r w:rsidR="001000D2">
        <w:rPr>
          <w:lang w:val="en-US"/>
        </w:rPr>
        <w:t xml:space="preserve"> wetlands to stimulate the food </w:t>
      </w:r>
      <w:r w:rsidR="007536EC">
        <w:rPr>
          <w:lang w:val="en-US"/>
        </w:rPr>
        <w:t xml:space="preserve">web; providing conditions to encourage growth of flood-dependent and aquatic vegetation in riparian zones; and providing habitat for waterbirds, amphibians and invertebrates. </w:t>
      </w:r>
      <w:r w:rsidR="00253655">
        <w:rPr>
          <w:lang w:val="en-US"/>
        </w:rPr>
        <w:t xml:space="preserve">Commencing in </w:t>
      </w:r>
      <w:r w:rsidR="00253655">
        <w:rPr>
          <w:lang w:val="en-US"/>
        </w:rPr>
        <w:lastRenderedPageBreak/>
        <w:t>early October, w</w:t>
      </w:r>
      <w:r w:rsidR="00C202B0">
        <w:rPr>
          <w:lang w:val="en-US"/>
        </w:rPr>
        <w:t>ater level</w:t>
      </w:r>
      <w:r w:rsidR="00257ADF">
        <w:rPr>
          <w:lang w:val="en-US"/>
        </w:rPr>
        <w:t>s</w:t>
      </w:r>
      <w:r w:rsidR="00C202B0">
        <w:rPr>
          <w:lang w:val="en-US"/>
        </w:rPr>
        <w:t xml:space="preserve"> </w:t>
      </w:r>
      <w:r w:rsidR="00257ADF">
        <w:rPr>
          <w:lang w:val="en-US"/>
        </w:rPr>
        <w:t xml:space="preserve">were raised </w:t>
      </w:r>
      <w:r w:rsidR="00253655">
        <w:rPr>
          <w:lang w:val="en-US"/>
        </w:rPr>
        <w:t>to a maximum of 1</w:t>
      </w:r>
      <w:r w:rsidR="00253655" w:rsidRPr="00C202B0">
        <w:rPr>
          <w:lang w:val="en-US"/>
        </w:rPr>
        <w:t xml:space="preserve">.5 </w:t>
      </w:r>
      <w:r w:rsidR="00253655">
        <w:rPr>
          <w:lang w:val="en-US"/>
        </w:rPr>
        <w:t xml:space="preserve">m above </w:t>
      </w:r>
      <w:r w:rsidR="00FE6B28">
        <w:rPr>
          <w:lang w:val="en-US"/>
        </w:rPr>
        <w:t>NPL</w:t>
      </w:r>
      <w:r w:rsidR="00253655">
        <w:rPr>
          <w:lang w:val="en-US"/>
        </w:rPr>
        <w:t xml:space="preserve"> </w:t>
      </w:r>
      <w:r w:rsidR="00257ADF">
        <w:rPr>
          <w:lang w:val="en-US"/>
        </w:rPr>
        <w:t xml:space="preserve">and </w:t>
      </w:r>
      <w:r w:rsidR="00E75CF7">
        <w:rPr>
          <w:lang w:val="en-US"/>
        </w:rPr>
        <w:t xml:space="preserve">held </w:t>
      </w:r>
      <w:r w:rsidR="00523B44">
        <w:rPr>
          <w:lang w:val="en-US"/>
        </w:rPr>
        <w:t xml:space="preserve">at ~17.6–17.8 m AHD </w:t>
      </w:r>
      <w:r w:rsidR="00E75CF7">
        <w:rPr>
          <w:lang w:val="en-US"/>
        </w:rPr>
        <w:t>for five weeks</w:t>
      </w:r>
      <w:r w:rsidR="0040343F">
        <w:rPr>
          <w:lang w:val="en-US"/>
        </w:rPr>
        <w:t xml:space="preserve"> (Figure B2)</w:t>
      </w:r>
      <w:r w:rsidR="00257ADF">
        <w:rPr>
          <w:lang w:val="en-US"/>
        </w:rPr>
        <w:t>. From mid-November, stop logs in the Chowilla regulator were gradually removed to allow water levels</w:t>
      </w:r>
      <w:r w:rsidR="00C202B0">
        <w:rPr>
          <w:lang w:val="en-US"/>
        </w:rPr>
        <w:t xml:space="preserve"> to</w:t>
      </w:r>
      <w:r w:rsidR="00257ADF">
        <w:rPr>
          <w:lang w:val="en-US"/>
        </w:rPr>
        <w:t xml:space="preserve"> return to</w:t>
      </w:r>
      <w:r w:rsidR="00C202B0">
        <w:rPr>
          <w:lang w:val="en-US"/>
        </w:rPr>
        <w:t xml:space="preserve"> </w:t>
      </w:r>
      <w:r w:rsidR="0068540C">
        <w:rPr>
          <w:lang w:val="en-US"/>
        </w:rPr>
        <w:t>normal</w:t>
      </w:r>
      <w:r w:rsidR="00C202B0">
        <w:rPr>
          <w:lang w:val="en-US"/>
        </w:rPr>
        <w:t xml:space="preserve"> level by mid-December 2015.</w:t>
      </w:r>
      <w:r w:rsidR="00257ADF">
        <w:rPr>
          <w:lang w:val="en-US"/>
        </w:rPr>
        <w:t xml:space="preserve"> </w:t>
      </w:r>
    </w:p>
    <w:p w14:paraId="46604442" w14:textId="77777777" w:rsidR="00655D62" w:rsidRDefault="00245CFC" w:rsidP="0061623E">
      <w:pPr>
        <w:spacing w:before="0" w:after="200"/>
        <w:rPr>
          <w:lang w:val="en-US"/>
        </w:rPr>
      </w:pPr>
      <w:r>
        <w:rPr>
          <w:lang w:val="en-US"/>
        </w:rPr>
        <w:t>During the regulator event and throughout summer/autumn 2016, the inlet weirs on two anabranch creeks (Pipeclay and Slaney) were managed to vary inflows to manage water quality and protect fish habitat (Figure B2). In addition, during spring/summer 2015/16, 229 ML of The Living Murray environmental water was pumped to three wetland sites (Brandy Bottle, Punkah Creek Floodrunner and Punkah Creek Depression) to achieve vegetation, frog, water quality and waterbird targets. A detailed description of the Chowilla regulator in-channel rise, operation of anabranch creek weirs</w:t>
      </w:r>
      <w:r w:rsidRPr="007108F3">
        <w:rPr>
          <w:lang w:val="en-US"/>
        </w:rPr>
        <w:t xml:space="preserve"> </w:t>
      </w:r>
      <w:r>
        <w:rPr>
          <w:lang w:val="en-US"/>
        </w:rPr>
        <w:t xml:space="preserve">and wetland watering events can be found at </w:t>
      </w:r>
      <w:hyperlink r:id="rId70" w:history="1">
        <w:r w:rsidRPr="00516303">
          <w:rPr>
            <w:rStyle w:val="Hyperlink"/>
            <w:lang w:val="en-US"/>
          </w:rPr>
          <w:t>http</w:t>
        </w:r>
        <w:r w:rsidRPr="0005063A">
          <w:rPr>
            <w:rStyle w:val="Hyperlink"/>
            <w:lang w:val="en-US"/>
          </w:rPr>
          <w:t>://www.environment.sa.gov.au</w:t>
        </w:r>
      </w:hyperlink>
      <w:r>
        <w:rPr>
          <w:lang w:val="en-US"/>
        </w:rPr>
        <w:t>.</w:t>
      </w:r>
    </w:p>
    <w:p w14:paraId="1A341729" w14:textId="00C19EE6" w:rsidR="00A22600" w:rsidRDefault="006C6F37" w:rsidP="007C1A65">
      <w:pPr>
        <w:spacing w:before="0" w:after="200"/>
        <w:rPr>
          <w:lang w:val="en-US"/>
        </w:rPr>
      </w:pPr>
      <w:r w:rsidRPr="006C6F37">
        <w:rPr>
          <w:noProof/>
          <w:lang w:eastAsia="en-AU"/>
        </w:rPr>
        <w:drawing>
          <wp:inline distT="0" distB="0" distL="0" distR="0" wp14:anchorId="18F98EC8" wp14:editId="23AB6154">
            <wp:extent cx="5727700" cy="3944834"/>
            <wp:effectExtent l="0" t="0" r="635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727700" cy="3944834"/>
                    </a:xfrm>
                    <a:prstGeom prst="rect">
                      <a:avLst/>
                    </a:prstGeom>
                    <a:noFill/>
                    <a:ln>
                      <a:noFill/>
                    </a:ln>
                  </pic:spPr>
                </pic:pic>
              </a:graphicData>
            </a:graphic>
          </wp:inline>
        </w:drawing>
      </w:r>
    </w:p>
    <w:p w14:paraId="45D86C1C" w14:textId="35103441" w:rsidR="00873AE8" w:rsidRDefault="00E25AC2" w:rsidP="00B46038">
      <w:pPr>
        <w:pStyle w:val="Captions"/>
        <w:rPr>
          <w:color w:val="1F497D" w:themeColor="text2"/>
          <w:sz w:val="26"/>
          <w:szCs w:val="26"/>
        </w:rPr>
      </w:pPr>
      <w:r>
        <w:t xml:space="preserve">Figure B2. Water level </w:t>
      </w:r>
      <w:r w:rsidR="00655D62">
        <w:t xml:space="preserve">upstream of the Chowilla regulator </w:t>
      </w:r>
      <w:r>
        <w:t>(m AHD) and flow (ML day</w:t>
      </w:r>
      <w:r w:rsidRPr="00E25AC2">
        <w:rPr>
          <w:vertAlign w:val="superscript"/>
        </w:rPr>
        <w:t>-1</w:t>
      </w:r>
      <w:r>
        <w:t>) for creeks within the Chowilla Anabranch and</w:t>
      </w:r>
      <w:r w:rsidR="00655D62">
        <w:t xml:space="preserve"> at the </w:t>
      </w:r>
      <w:r w:rsidR="005106B5">
        <w:t>South Australian</w:t>
      </w:r>
      <w:r w:rsidR="00655D62">
        <w:t xml:space="preserve"> border (QSA)</w:t>
      </w:r>
      <w:r>
        <w:t xml:space="preserve"> </w:t>
      </w:r>
      <w:r w:rsidR="0040343F">
        <w:t>(DEWNR)</w:t>
      </w:r>
      <w:r>
        <w:t>.</w:t>
      </w:r>
      <w:bookmarkStart w:id="154" w:name="_Toc441838749"/>
      <w:r w:rsidR="002252E5">
        <w:t xml:space="preserve"> </w:t>
      </w:r>
      <w:r w:rsidR="00873AE8">
        <w:rPr>
          <w:color w:val="1F497D" w:themeColor="text2"/>
          <w:sz w:val="26"/>
          <w:szCs w:val="26"/>
        </w:rPr>
        <w:br w:type="page"/>
      </w:r>
    </w:p>
    <w:p w14:paraId="61C7B649" w14:textId="77777777" w:rsidR="00655D62" w:rsidRDefault="00655D62" w:rsidP="00A22FED">
      <w:pPr>
        <w:rPr>
          <w:b/>
          <w:color w:val="1F497D" w:themeColor="text2"/>
          <w:sz w:val="26"/>
          <w:szCs w:val="26"/>
        </w:rPr>
        <w:sectPr w:rsidR="00655D62" w:rsidSect="007C1A65">
          <w:footerReference w:type="default" r:id="rId72"/>
          <w:pgSz w:w="11900" w:h="16840" w:code="9"/>
          <w:pgMar w:top="1440" w:right="1440" w:bottom="1440" w:left="1440" w:header="709" w:footer="709" w:gutter="0"/>
          <w:cols w:space="708"/>
          <w:docGrid w:linePitch="360"/>
        </w:sectPr>
      </w:pPr>
    </w:p>
    <w:p w14:paraId="6984742F" w14:textId="76276E84" w:rsidR="00A22FED" w:rsidRPr="00E40FF5" w:rsidRDefault="00A22FED" w:rsidP="00A22FED">
      <w:pPr>
        <w:rPr>
          <w:b/>
          <w:color w:val="1F497D" w:themeColor="text2"/>
          <w:sz w:val="26"/>
          <w:szCs w:val="26"/>
        </w:rPr>
      </w:pPr>
      <w:r>
        <w:rPr>
          <w:b/>
          <w:color w:val="1F497D" w:themeColor="text2"/>
          <w:sz w:val="26"/>
          <w:szCs w:val="26"/>
        </w:rPr>
        <w:lastRenderedPageBreak/>
        <w:t>W</w:t>
      </w:r>
      <w:r w:rsidRPr="00E40FF5">
        <w:rPr>
          <w:b/>
          <w:color w:val="1F497D" w:themeColor="text2"/>
          <w:sz w:val="26"/>
          <w:szCs w:val="26"/>
        </w:rPr>
        <w:t xml:space="preserve">atering activities </w:t>
      </w:r>
      <w:r>
        <w:rPr>
          <w:b/>
          <w:color w:val="1F497D" w:themeColor="text2"/>
          <w:sz w:val="26"/>
          <w:szCs w:val="26"/>
        </w:rPr>
        <w:t>above</w:t>
      </w:r>
      <w:r w:rsidRPr="00E40FF5">
        <w:rPr>
          <w:b/>
          <w:color w:val="1F497D" w:themeColor="text2"/>
          <w:sz w:val="26"/>
          <w:szCs w:val="26"/>
        </w:rPr>
        <w:t xml:space="preserve"> the LMR Selected Area</w:t>
      </w:r>
    </w:p>
    <w:p w14:paraId="196A20E5" w14:textId="77777777" w:rsidR="00A22FED" w:rsidRPr="00E40FF5" w:rsidRDefault="00A22FED" w:rsidP="00A22FED">
      <w:pPr>
        <w:rPr>
          <w:i/>
          <w:sz w:val="24"/>
          <w:szCs w:val="24"/>
        </w:rPr>
      </w:pPr>
      <w:r w:rsidRPr="00E40FF5">
        <w:rPr>
          <w:b/>
          <w:i/>
          <w:color w:val="1F497D" w:themeColor="text2"/>
          <w:sz w:val="24"/>
          <w:szCs w:val="24"/>
        </w:rPr>
        <w:t>Manipulation</w:t>
      </w:r>
      <w:r>
        <w:rPr>
          <w:b/>
          <w:i/>
          <w:color w:val="1F497D" w:themeColor="text2"/>
          <w:sz w:val="24"/>
          <w:szCs w:val="24"/>
        </w:rPr>
        <w:t xml:space="preserve"> of water levels in Weir Pools 7, 8, 9</w:t>
      </w:r>
      <w:r w:rsidRPr="00E40FF5">
        <w:rPr>
          <w:b/>
          <w:i/>
          <w:color w:val="1F497D" w:themeColor="text2"/>
          <w:sz w:val="24"/>
          <w:szCs w:val="24"/>
        </w:rPr>
        <w:t xml:space="preserve"> and </w:t>
      </w:r>
      <w:r>
        <w:rPr>
          <w:b/>
          <w:i/>
          <w:color w:val="1F497D" w:themeColor="text2"/>
          <w:sz w:val="24"/>
          <w:szCs w:val="24"/>
        </w:rPr>
        <w:t>1</w:t>
      </w:r>
      <w:r w:rsidRPr="00E40FF5">
        <w:rPr>
          <w:b/>
          <w:i/>
          <w:color w:val="1F497D" w:themeColor="text2"/>
          <w:sz w:val="24"/>
          <w:szCs w:val="24"/>
        </w:rPr>
        <w:t xml:space="preserve">5 </w:t>
      </w:r>
    </w:p>
    <w:p w14:paraId="177CA14C" w14:textId="5698F3A5" w:rsidR="00A22FED" w:rsidRDefault="00A22FED" w:rsidP="00964B7F">
      <w:r w:rsidRPr="00964B7F">
        <w:t>Water levels in Weir Pools 7, 8, 9 and 15 were raised and lowered</w:t>
      </w:r>
      <w:r w:rsidR="00873AE8">
        <w:t>, relative to their NPL,</w:t>
      </w:r>
      <w:r w:rsidRPr="00964B7F">
        <w:t xml:space="preserve"> during 2015/16 (Table B</w:t>
      </w:r>
      <w:r w:rsidR="00964B7F" w:rsidRPr="00964B7F">
        <w:t>2</w:t>
      </w:r>
      <w:r w:rsidRPr="00964B7F">
        <w:t>). Approximately</w:t>
      </w:r>
      <w:r w:rsidRPr="0025624B">
        <w:t xml:space="preserve"> 7,988 ML of Commonwealth </w:t>
      </w:r>
      <w:r>
        <w:t xml:space="preserve">environmental water </w:t>
      </w:r>
      <w:r w:rsidRPr="0025624B">
        <w:t>was delivered</w:t>
      </w:r>
      <w:r w:rsidR="00900D7F">
        <w:t xml:space="preserve"> </w:t>
      </w:r>
      <w:r w:rsidR="00900D7F" w:rsidRPr="00900D7F">
        <w:t>to account for losses during the raising of</w:t>
      </w:r>
      <w:r w:rsidRPr="0025624B">
        <w:t xml:space="preserve"> </w:t>
      </w:r>
      <w:r w:rsidR="00900D7F">
        <w:t>all these</w:t>
      </w:r>
      <w:r w:rsidR="00900D7F" w:rsidRPr="0025624B">
        <w:t xml:space="preserve"> </w:t>
      </w:r>
      <w:r w:rsidRPr="0025624B">
        <w:t>weir pool</w:t>
      </w:r>
      <w:r w:rsidR="004C2ED9">
        <w:t xml:space="preserve"> (source, CEWO)</w:t>
      </w:r>
      <w:r w:rsidRPr="0025624B">
        <w:t>.</w:t>
      </w:r>
      <w:r>
        <w:t xml:space="preserve"> </w:t>
      </w:r>
    </w:p>
    <w:p w14:paraId="2344AB9D" w14:textId="29FA2A2B" w:rsidR="00A22FED" w:rsidRDefault="00A22FED" w:rsidP="00B46038">
      <w:pPr>
        <w:pStyle w:val="Captions"/>
      </w:pPr>
      <w:r w:rsidRPr="00533208">
        <w:t>Table B</w:t>
      </w:r>
      <w:r w:rsidR="00964B7F" w:rsidRPr="00533208">
        <w:t>2</w:t>
      </w:r>
      <w:r w:rsidRPr="00533208">
        <w:t>. Timing</w:t>
      </w:r>
      <w:r>
        <w:t xml:space="preserve"> of water manipulation actions for weir pools upstream of the LMR Selected Area during 2015/16</w:t>
      </w:r>
      <w:r w:rsidR="004C2ED9">
        <w:t xml:space="preserve"> (source, CEWO)</w:t>
      </w:r>
      <w:r>
        <w:t>. NPL = normal pool level.</w:t>
      </w:r>
    </w:p>
    <w:tbl>
      <w:tblPr>
        <w:tblStyle w:val="TableGrid"/>
        <w:tblW w:w="5189" w:type="pct"/>
        <w:tblLook w:val="04A0" w:firstRow="1" w:lastRow="0" w:firstColumn="1" w:lastColumn="0" w:noHBand="0" w:noVBand="1"/>
      </w:tblPr>
      <w:tblGrid>
        <w:gridCol w:w="1135"/>
        <w:gridCol w:w="2121"/>
        <w:gridCol w:w="1984"/>
        <w:gridCol w:w="4111"/>
      </w:tblGrid>
      <w:tr w:rsidR="00A22FED" w:rsidRPr="00555A65" w14:paraId="6AFB45FE" w14:textId="77777777" w:rsidTr="00555A65">
        <w:trPr>
          <w:trHeight w:val="20"/>
        </w:trPr>
        <w:tc>
          <w:tcPr>
            <w:tcW w:w="607" w:type="pct"/>
          </w:tcPr>
          <w:p w14:paraId="1C78790F" w14:textId="77777777" w:rsidR="00A22FED" w:rsidRPr="00555A65" w:rsidRDefault="00A22FED" w:rsidP="00277D3F">
            <w:pPr>
              <w:spacing w:before="40" w:after="40"/>
              <w:rPr>
                <w:b/>
                <w:sz w:val="19"/>
                <w:szCs w:val="19"/>
              </w:rPr>
            </w:pPr>
            <w:r w:rsidRPr="00555A65">
              <w:rPr>
                <w:b/>
                <w:sz w:val="19"/>
                <w:szCs w:val="19"/>
              </w:rPr>
              <w:t>Weir pool</w:t>
            </w:r>
          </w:p>
        </w:tc>
        <w:tc>
          <w:tcPr>
            <w:tcW w:w="1134" w:type="pct"/>
          </w:tcPr>
          <w:p w14:paraId="54C8F1D1" w14:textId="77777777" w:rsidR="00A22FED" w:rsidRPr="00555A65" w:rsidRDefault="00A22FED" w:rsidP="00277D3F">
            <w:pPr>
              <w:spacing w:before="40" w:after="40"/>
              <w:rPr>
                <w:b/>
                <w:sz w:val="19"/>
                <w:szCs w:val="19"/>
              </w:rPr>
            </w:pPr>
            <w:r w:rsidRPr="00555A65">
              <w:rPr>
                <w:b/>
                <w:sz w:val="19"/>
                <w:szCs w:val="19"/>
              </w:rPr>
              <w:t xml:space="preserve">Action </w:t>
            </w:r>
          </w:p>
        </w:tc>
        <w:tc>
          <w:tcPr>
            <w:tcW w:w="1061" w:type="pct"/>
          </w:tcPr>
          <w:p w14:paraId="3BF1AFB3" w14:textId="77777777" w:rsidR="00A22FED" w:rsidRPr="00555A65" w:rsidRDefault="00A22FED" w:rsidP="00277D3F">
            <w:pPr>
              <w:spacing w:before="40" w:after="40"/>
              <w:rPr>
                <w:b/>
                <w:sz w:val="19"/>
                <w:szCs w:val="19"/>
              </w:rPr>
            </w:pPr>
            <w:r w:rsidRPr="00555A65">
              <w:rPr>
                <w:b/>
                <w:sz w:val="19"/>
                <w:szCs w:val="19"/>
              </w:rPr>
              <w:t>Duration</w:t>
            </w:r>
          </w:p>
        </w:tc>
        <w:tc>
          <w:tcPr>
            <w:tcW w:w="2198" w:type="pct"/>
          </w:tcPr>
          <w:p w14:paraId="41EE3886" w14:textId="77777777" w:rsidR="00A22FED" w:rsidRPr="00555A65" w:rsidRDefault="00A22FED" w:rsidP="00277D3F">
            <w:pPr>
              <w:spacing w:before="40" w:after="40"/>
              <w:rPr>
                <w:b/>
                <w:sz w:val="19"/>
                <w:szCs w:val="19"/>
              </w:rPr>
            </w:pPr>
            <w:r w:rsidRPr="00555A65">
              <w:rPr>
                <w:b/>
                <w:sz w:val="19"/>
                <w:szCs w:val="19"/>
              </w:rPr>
              <w:t>Watering information</w:t>
            </w:r>
          </w:p>
        </w:tc>
      </w:tr>
      <w:tr w:rsidR="00A22FED" w:rsidRPr="00555A65" w14:paraId="2BAC65FE" w14:textId="77777777" w:rsidTr="00555A65">
        <w:trPr>
          <w:trHeight w:val="20"/>
        </w:trPr>
        <w:tc>
          <w:tcPr>
            <w:tcW w:w="607" w:type="pct"/>
            <w:vMerge w:val="restart"/>
          </w:tcPr>
          <w:p w14:paraId="44B90EE5" w14:textId="77777777" w:rsidR="00A22FED" w:rsidRPr="00555A65" w:rsidRDefault="00A22FED" w:rsidP="00277D3F">
            <w:pPr>
              <w:spacing w:before="40" w:after="40"/>
              <w:rPr>
                <w:sz w:val="19"/>
                <w:szCs w:val="19"/>
              </w:rPr>
            </w:pPr>
            <w:r w:rsidRPr="00555A65">
              <w:rPr>
                <w:sz w:val="19"/>
                <w:szCs w:val="19"/>
              </w:rPr>
              <w:t>7</w:t>
            </w:r>
          </w:p>
        </w:tc>
        <w:tc>
          <w:tcPr>
            <w:tcW w:w="1134" w:type="pct"/>
          </w:tcPr>
          <w:p w14:paraId="0A7D3725" w14:textId="77777777" w:rsidR="00A22FED" w:rsidRPr="00555A65" w:rsidRDefault="00A22FED" w:rsidP="00277D3F">
            <w:pPr>
              <w:spacing w:before="40" w:after="40"/>
              <w:rPr>
                <w:sz w:val="19"/>
                <w:szCs w:val="19"/>
              </w:rPr>
            </w:pPr>
            <w:r w:rsidRPr="00555A65">
              <w:rPr>
                <w:sz w:val="19"/>
                <w:szCs w:val="19"/>
              </w:rPr>
              <w:t>Raising of weir pool to +0.6 m NPL</w:t>
            </w:r>
          </w:p>
        </w:tc>
        <w:tc>
          <w:tcPr>
            <w:tcW w:w="1061" w:type="pct"/>
          </w:tcPr>
          <w:p w14:paraId="00B932A7" w14:textId="77777777" w:rsidR="00A22FED" w:rsidRPr="00555A65" w:rsidRDefault="00A22FED" w:rsidP="00277D3F">
            <w:pPr>
              <w:spacing w:before="40" w:after="40"/>
              <w:rPr>
                <w:sz w:val="19"/>
                <w:szCs w:val="19"/>
              </w:rPr>
            </w:pPr>
            <w:r w:rsidRPr="00555A65">
              <w:rPr>
                <w:sz w:val="19"/>
                <w:szCs w:val="19"/>
              </w:rPr>
              <w:t>August 2015 to January 2016</w:t>
            </w:r>
          </w:p>
        </w:tc>
        <w:tc>
          <w:tcPr>
            <w:tcW w:w="2198" w:type="pct"/>
          </w:tcPr>
          <w:p w14:paraId="5BD8EA96" w14:textId="77777777" w:rsidR="00A22FED" w:rsidRPr="00555A65" w:rsidRDefault="00A22FED" w:rsidP="00277D3F">
            <w:pPr>
              <w:spacing w:before="40" w:after="40"/>
              <w:rPr>
                <w:sz w:val="19"/>
                <w:szCs w:val="19"/>
              </w:rPr>
            </w:pPr>
            <w:r w:rsidRPr="00555A65">
              <w:rPr>
                <w:sz w:val="19"/>
                <w:szCs w:val="19"/>
              </w:rPr>
              <w:t>Flows to Lindsay River and Mullaroo Creek.</w:t>
            </w:r>
          </w:p>
        </w:tc>
      </w:tr>
      <w:tr w:rsidR="00A22FED" w:rsidRPr="00555A65" w14:paraId="2FB76457" w14:textId="77777777" w:rsidTr="00555A65">
        <w:trPr>
          <w:trHeight w:val="20"/>
        </w:trPr>
        <w:tc>
          <w:tcPr>
            <w:tcW w:w="607" w:type="pct"/>
            <w:vMerge/>
          </w:tcPr>
          <w:p w14:paraId="0FD19CFD" w14:textId="77777777" w:rsidR="00A22FED" w:rsidRPr="00555A65" w:rsidRDefault="00A22FED" w:rsidP="00277D3F">
            <w:pPr>
              <w:spacing w:before="40" w:after="40"/>
              <w:rPr>
                <w:sz w:val="19"/>
                <w:szCs w:val="19"/>
              </w:rPr>
            </w:pPr>
          </w:p>
        </w:tc>
        <w:tc>
          <w:tcPr>
            <w:tcW w:w="1134" w:type="pct"/>
          </w:tcPr>
          <w:p w14:paraId="778055F9" w14:textId="77777777" w:rsidR="00A22FED" w:rsidRPr="00555A65" w:rsidRDefault="00A22FED" w:rsidP="00277D3F">
            <w:pPr>
              <w:spacing w:before="40" w:after="40"/>
              <w:rPr>
                <w:sz w:val="19"/>
                <w:szCs w:val="19"/>
              </w:rPr>
            </w:pPr>
            <w:r w:rsidRPr="00555A65">
              <w:rPr>
                <w:sz w:val="19"/>
                <w:szCs w:val="19"/>
              </w:rPr>
              <w:t>Lowering of weir pool to -0.8 m NPL</w:t>
            </w:r>
          </w:p>
        </w:tc>
        <w:tc>
          <w:tcPr>
            <w:tcW w:w="1061" w:type="pct"/>
          </w:tcPr>
          <w:p w14:paraId="116F16EA" w14:textId="77777777" w:rsidR="00A22FED" w:rsidRPr="00555A65" w:rsidRDefault="00A22FED" w:rsidP="00277D3F">
            <w:pPr>
              <w:spacing w:before="40" w:after="40"/>
              <w:rPr>
                <w:sz w:val="19"/>
                <w:szCs w:val="19"/>
              </w:rPr>
            </w:pPr>
            <w:r w:rsidRPr="00555A65">
              <w:rPr>
                <w:sz w:val="19"/>
                <w:szCs w:val="19"/>
              </w:rPr>
              <w:t>January to May 2016</w:t>
            </w:r>
          </w:p>
        </w:tc>
        <w:tc>
          <w:tcPr>
            <w:tcW w:w="2198" w:type="pct"/>
          </w:tcPr>
          <w:p w14:paraId="6DCEC062" w14:textId="77777777" w:rsidR="00A22FED" w:rsidRPr="00555A65" w:rsidRDefault="00A22FED" w:rsidP="00277D3F">
            <w:pPr>
              <w:spacing w:before="40" w:after="40"/>
              <w:rPr>
                <w:sz w:val="19"/>
                <w:szCs w:val="19"/>
              </w:rPr>
            </w:pPr>
          </w:p>
        </w:tc>
      </w:tr>
      <w:tr w:rsidR="00A22FED" w:rsidRPr="00555A65" w14:paraId="5E481260" w14:textId="77777777" w:rsidTr="00555A65">
        <w:trPr>
          <w:trHeight w:val="20"/>
        </w:trPr>
        <w:tc>
          <w:tcPr>
            <w:tcW w:w="607" w:type="pct"/>
            <w:vMerge w:val="restart"/>
          </w:tcPr>
          <w:p w14:paraId="29913772" w14:textId="77777777" w:rsidR="00A22FED" w:rsidRPr="00555A65" w:rsidRDefault="00A22FED" w:rsidP="00277D3F">
            <w:pPr>
              <w:spacing w:before="40" w:after="40"/>
              <w:rPr>
                <w:sz w:val="19"/>
                <w:szCs w:val="19"/>
              </w:rPr>
            </w:pPr>
            <w:r w:rsidRPr="00555A65">
              <w:rPr>
                <w:sz w:val="19"/>
                <w:szCs w:val="19"/>
              </w:rPr>
              <w:t>8</w:t>
            </w:r>
          </w:p>
        </w:tc>
        <w:tc>
          <w:tcPr>
            <w:tcW w:w="1134" w:type="pct"/>
          </w:tcPr>
          <w:p w14:paraId="4308E216" w14:textId="77777777" w:rsidR="00A22FED" w:rsidRPr="00555A65" w:rsidRDefault="00A22FED" w:rsidP="00277D3F">
            <w:pPr>
              <w:spacing w:before="40" w:after="40"/>
              <w:rPr>
                <w:sz w:val="19"/>
                <w:szCs w:val="19"/>
              </w:rPr>
            </w:pPr>
            <w:r w:rsidRPr="00555A65">
              <w:rPr>
                <w:sz w:val="19"/>
                <w:szCs w:val="19"/>
              </w:rPr>
              <w:t>Raising of weir pool to +0.8 m NPL</w:t>
            </w:r>
          </w:p>
        </w:tc>
        <w:tc>
          <w:tcPr>
            <w:tcW w:w="1061" w:type="pct"/>
          </w:tcPr>
          <w:p w14:paraId="46D63F62" w14:textId="77777777" w:rsidR="00A22FED" w:rsidRPr="00555A65" w:rsidRDefault="00A22FED" w:rsidP="00277D3F">
            <w:pPr>
              <w:spacing w:before="40" w:after="40"/>
              <w:rPr>
                <w:sz w:val="19"/>
                <w:szCs w:val="19"/>
              </w:rPr>
            </w:pPr>
            <w:r w:rsidRPr="00555A65">
              <w:rPr>
                <w:sz w:val="19"/>
                <w:szCs w:val="19"/>
              </w:rPr>
              <w:t>August 2014 to mid-December 2015</w:t>
            </w:r>
          </w:p>
        </w:tc>
        <w:tc>
          <w:tcPr>
            <w:tcW w:w="2198" w:type="pct"/>
          </w:tcPr>
          <w:p w14:paraId="244A60D4" w14:textId="77777777" w:rsidR="00A22FED" w:rsidRPr="00555A65" w:rsidRDefault="00A22FED" w:rsidP="00277D3F">
            <w:pPr>
              <w:spacing w:before="40" w:after="40"/>
              <w:rPr>
                <w:sz w:val="19"/>
                <w:szCs w:val="19"/>
              </w:rPr>
            </w:pPr>
            <w:r w:rsidRPr="00555A65">
              <w:rPr>
                <w:sz w:val="19"/>
                <w:szCs w:val="19"/>
              </w:rPr>
              <w:t>High velocity spring fresh through Potterwalkagee Creek;</w:t>
            </w:r>
          </w:p>
          <w:p w14:paraId="547170C4" w14:textId="77777777" w:rsidR="00A22FED" w:rsidRPr="00555A65" w:rsidRDefault="00A22FED" w:rsidP="00277D3F">
            <w:pPr>
              <w:spacing w:before="40" w:after="40"/>
              <w:rPr>
                <w:sz w:val="19"/>
                <w:szCs w:val="19"/>
              </w:rPr>
            </w:pPr>
            <w:r w:rsidRPr="00555A65">
              <w:rPr>
                <w:sz w:val="19"/>
                <w:szCs w:val="19"/>
              </w:rPr>
              <w:t>Low level inundation of Backwater Lagoon and other unnamed wetland sites, as well areas of river frontage and riparian vegetation;</w:t>
            </w:r>
          </w:p>
          <w:p w14:paraId="1F00018C" w14:textId="77777777" w:rsidR="00A22FED" w:rsidRPr="00555A65" w:rsidRDefault="00A22FED" w:rsidP="00277D3F">
            <w:pPr>
              <w:spacing w:before="40" w:after="40"/>
              <w:rPr>
                <w:sz w:val="19"/>
                <w:szCs w:val="19"/>
              </w:rPr>
            </w:pPr>
            <w:r w:rsidRPr="00555A65">
              <w:rPr>
                <w:sz w:val="19"/>
                <w:szCs w:val="19"/>
              </w:rPr>
              <w:t>Water delivered to Wingillie Wetland.</w:t>
            </w:r>
          </w:p>
        </w:tc>
      </w:tr>
      <w:tr w:rsidR="00A22FED" w:rsidRPr="00555A65" w14:paraId="2E622CD4" w14:textId="77777777" w:rsidTr="00555A65">
        <w:trPr>
          <w:trHeight w:val="20"/>
        </w:trPr>
        <w:tc>
          <w:tcPr>
            <w:tcW w:w="607" w:type="pct"/>
            <w:vMerge/>
          </w:tcPr>
          <w:p w14:paraId="0DF5E7C3" w14:textId="77777777" w:rsidR="00A22FED" w:rsidRPr="00555A65" w:rsidRDefault="00A22FED" w:rsidP="00277D3F">
            <w:pPr>
              <w:spacing w:before="40" w:after="40"/>
              <w:rPr>
                <w:sz w:val="19"/>
                <w:szCs w:val="19"/>
              </w:rPr>
            </w:pPr>
          </w:p>
        </w:tc>
        <w:tc>
          <w:tcPr>
            <w:tcW w:w="1134" w:type="pct"/>
          </w:tcPr>
          <w:p w14:paraId="2DC8D31F" w14:textId="77777777" w:rsidR="00A22FED" w:rsidRPr="00555A65" w:rsidRDefault="00A22FED" w:rsidP="00277D3F">
            <w:pPr>
              <w:spacing w:before="40" w:after="40"/>
              <w:rPr>
                <w:sz w:val="19"/>
                <w:szCs w:val="19"/>
              </w:rPr>
            </w:pPr>
            <w:r w:rsidRPr="00555A65">
              <w:rPr>
                <w:sz w:val="19"/>
                <w:szCs w:val="19"/>
              </w:rPr>
              <w:t>Lowering of weir pool to -0.8 m NPL</w:t>
            </w:r>
          </w:p>
        </w:tc>
        <w:tc>
          <w:tcPr>
            <w:tcW w:w="1061" w:type="pct"/>
          </w:tcPr>
          <w:p w14:paraId="0C581758" w14:textId="77777777" w:rsidR="00A22FED" w:rsidRPr="00555A65" w:rsidRDefault="00A22FED" w:rsidP="00277D3F">
            <w:pPr>
              <w:spacing w:before="40" w:after="40"/>
              <w:rPr>
                <w:sz w:val="19"/>
                <w:szCs w:val="19"/>
              </w:rPr>
            </w:pPr>
            <w:r w:rsidRPr="00555A65">
              <w:rPr>
                <w:sz w:val="19"/>
                <w:szCs w:val="19"/>
              </w:rPr>
              <w:t>December 2015 to May 2016</w:t>
            </w:r>
          </w:p>
        </w:tc>
        <w:tc>
          <w:tcPr>
            <w:tcW w:w="2198" w:type="pct"/>
          </w:tcPr>
          <w:p w14:paraId="2A843E99" w14:textId="77777777" w:rsidR="00A22FED" w:rsidRPr="00555A65" w:rsidRDefault="00A22FED" w:rsidP="00277D3F">
            <w:pPr>
              <w:spacing w:before="40" w:after="40"/>
              <w:rPr>
                <w:sz w:val="19"/>
                <w:szCs w:val="19"/>
              </w:rPr>
            </w:pPr>
          </w:p>
        </w:tc>
      </w:tr>
      <w:tr w:rsidR="00A22FED" w:rsidRPr="00555A65" w14:paraId="04DD41B1" w14:textId="77777777" w:rsidTr="00555A65">
        <w:trPr>
          <w:trHeight w:val="20"/>
        </w:trPr>
        <w:tc>
          <w:tcPr>
            <w:tcW w:w="607" w:type="pct"/>
            <w:vMerge w:val="restart"/>
          </w:tcPr>
          <w:p w14:paraId="075E922B" w14:textId="77777777" w:rsidR="00A22FED" w:rsidRPr="00555A65" w:rsidRDefault="00A22FED" w:rsidP="00277D3F">
            <w:pPr>
              <w:spacing w:before="40" w:after="40"/>
              <w:rPr>
                <w:sz w:val="19"/>
                <w:szCs w:val="19"/>
              </w:rPr>
            </w:pPr>
            <w:r w:rsidRPr="00555A65">
              <w:rPr>
                <w:sz w:val="19"/>
                <w:szCs w:val="19"/>
              </w:rPr>
              <w:t>9</w:t>
            </w:r>
          </w:p>
        </w:tc>
        <w:tc>
          <w:tcPr>
            <w:tcW w:w="1134" w:type="pct"/>
          </w:tcPr>
          <w:p w14:paraId="521A243B" w14:textId="77777777" w:rsidR="00A22FED" w:rsidRPr="00555A65" w:rsidRDefault="00A22FED" w:rsidP="00277D3F">
            <w:pPr>
              <w:spacing w:before="40" w:after="40"/>
              <w:rPr>
                <w:sz w:val="19"/>
                <w:szCs w:val="19"/>
              </w:rPr>
            </w:pPr>
            <w:r w:rsidRPr="00555A65">
              <w:rPr>
                <w:sz w:val="19"/>
                <w:szCs w:val="19"/>
              </w:rPr>
              <w:t>Raising of weir pool to +0.25 m NPL</w:t>
            </w:r>
          </w:p>
        </w:tc>
        <w:tc>
          <w:tcPr>
            <w:tcW w:w="1061" w:type="pct"/>
          </w:tcPr>
          <w:p w14:paraId="4FECD681" w14:textId="77777777" w:rsidR="00A22FED" w:rsidRPr="00555A65" w:rsidRDefault="00A22FED" w:rsidP="00277D3F">
            <w:pPr>
              <w:spacing w:before="40" w:after="40"/>
              <w:rPr>
                <w:sz w:val="19"/>
                <w:szCs w:val="19"/>
              </w:rPr>
            </w:pPr>
            <w:r w:rsidRPr="00555A65">
              <w:rPr>
                <w:sz w:val="19"/>
                <w:szCs w:val="19"/>
              </w:rPr>
              <w:t>July to September 2015</w:t>
            </w:r>
          </w:p>
        </w:tc>
        <w:tc>
          <w:tcPr>
            <w:tcW w:w="2198" w:type="pct"/>
          </w:tcPr>
          <w:p w14:paraId="4BEE025B" w14:textId="77777777" w:rsidR="00A22FED" w:rsidRPr="00555A65" w:rsidRDefault="00A22FED" w:rsidP="00277D3F">
            <w:pPr>
              <w:spacing w:before="40" w:after="40"/>
              <w:rPr>
                <w:sz w:val="19"/>
                <w:szCs w:val="19"/>
              </w:rPr>
            </w:pPr>
          </w:p>
        </w:tc>
      </w:tr>
      <w:tr w:rsidR="00A22FED" w:rsidRPr="00555A65" w14:paraId="42525276" w14:textId="77777777" w:rsidTr="00555A65">
        <w:trPr>
          <w:trHeight w:val="20"/>
        </w:trPr>
        <w:tc>
          <w:tcPr>
            <w:tcW w:w="607" w:type="pct"/>
            <w:vMerge/>
          </w:tcPr>
          <w:p w14:paraId="372DD49B" w14:textId="77777777" w:rsidR="00A22FED" w:rsidRPr="00555A65" w:rsidRDefault="00A22FED" w:rsidP="00277D3F">
            <w:pPr>
              <w:spacing w:before="40" w:after="40"/>
              <w:rPr>
                <w:sz w:val="19"/>
                <w:szCs w:val="19"/>
              </w:rPr>
            </w:pPr>
          </w:p>
        </w:tc>
        <w:tc>
          <w:tcPr>
            <w:tcW w:w="1134" w:type="pct"/>
          </w:tcPr>
          <w:p w14:paraId="744205B6" w14:textId="77777777" w:rsidR="00A22FED" w:rsidRPr="00555A65" w:rsidRDefault="00A22FED" w:rsidP="00277D3F">
            <w:pPr>
              <w:spacing w:before="40" w:after="40"/>
              <w:rPr>
                <w:sz w:val="19"/>
                <w:szCs w:val="19"/>
              </w:rPr>
            </w:pPr>
            <w:r w:rsidRPr="00555A65">
              <w:rPr>
                <w:sz w:val="19"/>
                <w:szCs w:val="19"/>
              </w:rPr>
              <w:t>Lowering of weir pool to -0.1 m NPL (brief period of -0.2 m NPL)</w:t>
            </w:r>
          </w:p>
        </w:tc>
        <w:tc>
          <w:tcPr>
            <w:tcW w:w="1061" w:type="pct"/>
          </w:tcPr>
          <w:p w14:paraId="23E21B4B" w14:textId="77777777" w:rsidR="00A22FED" w:rsidRPr="00555A65" w:rsidRDefault="00A22FED" w:rsidP="00277D3F">
            <w:pPr>
              <w:spacing w:before="40" w:after="40"/>
              <w:rPr>
                <w:sz w:val="19"/>
                <w:szCs w:val="19"/>
              </w:rPr>
            </w:pPr>
            <w:r w:rsidRPr="00555A65">
              <w:rPr>
                <w:sz w:val="19"/>
                <w:szCs w:val="19"/>
              </w:rPr>
              <w:t>October 2015 to February 2016</w:t>
            </w:r>
          </w:p>
        </w:tc>
        <w:tc>
          <w:tcPr>
            <w:tcW w:w="2198" w:type="pct"/>
          </w:tcPr>
          <w:p w14:paraId="343DCF9C" w14:textId="77777777" w:rsidR="00A22FED" w:rsidRPr="00555A65" w:rsidRDefault="00A22FED" w:rsidP="00277D3F">
            <w:pPr>
              <w:spacing w:before="40" w:after="40"/>
              <w:rPr>
                <w:sz w:val="19"/>
                <w:szCs w:val="19"/>
              </w:rPr>
            </w:pPr>
          </w:p>
        </w:tc>
      </w:tr>
      <w:tr w:rsidR="00A22FED" w:rsidRPr="00555A65" w14:paraId="65ED320E" w14:textId="77777777" w:rsidTr="00555A65">
        <w:trPr>
          <w:trHeight w:val="20"/>
        </w:trPr>
        <w:tc>
          <w:tcPr>
            <w:tcW w:w="607" w:type="pct"/>
            <w:vMerge w:val="restart"/>
          </w:tcPr>
          <w:p w14:paraId="6B325AF2" w14:textId="77777777" w:rsidR="00A22FED" w:rsidRPr="00555A65" w:rsidRDefault="00A22FED" w:rsidP="00277D3F">
            <w:pPr>
              <w:spacing w:before="40" w:after="40"/>
              <w:rPr>
                <w:sz w:val="19"/>
                <w:szCs w:val="19"/>
              </w:rPr>
            </w:pPr>
            <w:r w:rsidRPr="00555A65">
              <w:rPr>
                <w:sz w:val="19"/>
                <w:szCs w:val="19"/>
              </w:rPr>
              <w:t>15</w:t>
            </w:r>
          </w:p>
        </w:tc>
        <w:tc>
          <w:tcPr>
            <w:tcW w:w="1134" w:type="pct"/>
          </w:tcPr>
          <w:p w14:paraId="05D7ED34" w14:textId="77777777" w:rsidR="00A22FED" w:rsidRPr="00555A65" w:rsidRDefault="00A22FED" w:rsidP="00277D3F">
            <w:pPr>
              <w:spacing w:before="40" w:after="40"/>
              <w:rPr>
                <w:sz w:val="19"/>
                <w:szCs w:val="19"/>
              </w:rPr>
            </w:pPr>
            <w:r w:rsidRPr="00555A65">
              <w:rPr>
                <w:sz w:val="19"/>
                <w:szCs w:val="19"/>
              </w:rPr>
              <w:t>Raising of weir pool to +0.6 m NPL</w:t>
            </w:r>
          </w:p>
        </w:tc>
        <w:tc>
          <w:tcPr>
            <w:tcW w:w="1061" w:type="pct"/>
          </w:tcPr>
          <w:p w14:paraId="47B39DF6" w14:textId="77777777" w:rsidR="00A22FED" w:rsidRPr="00555A65" w:rsidRDefault="00A22FED" w:rsidP="00277D3F">
            <w:pPr>
              <w:spacing w:before="40" w:after="40"/>
              <w:rPr>
                <w:sz w:val="19"/>
                <w:szCs w:val="19"/>
              </w:rPr>
            </w:pPr>
            <w:r w:rsidRPr="00555A65">
              <w:rPr>
                <w:sz w:val="19"/>
                <w:szCs w:val="19"/>
              </w:rPr>
              <w:t>July to December 2015</w:t>
            </w:r>
          </w:p>
        </w:tc>
        <w:tc>
          <w:tcPr>
            <w:tcW w:w="2198" w:type="pct"/>
          </w:tcPr>
          <w:p w14:paraId="50BFB770" w14:textId="77777777" w:rsidR="00A22FED" w:rsidRPr="00555A65" w:rsidRDefault="00A22FED" w:rsidP="00277D3F">
            <w:pPr>
              <w:spacing w:before="40" w:after="40"/>
              <w:rPr>
                <w:sz w:val="19"/>
                <w:szCs w:val="19"/>
              </w:rPr>
            </w:pPr>
            <w:r w:rsidRPr="00555A65">
              <w:rPr>
                <w:sz w:val="19"/>
                <w:szCs w:val="19"/>
              </w:rPr>
              <w:t>Inundation of Euston Lakes, in particular Lake Caringay.</w:t>
            </w:r>
          </w:p>
        </w:tc>
      </w:tr>
      <w:tr w:rsidR="00A22FED" w:rsidRPr="00555A65" w14:paraId="31C50B5A" w14:textId="77777777" w:rsidTr="00555A65">
        <w:trPr>
          <w:trHeight w:val="20"/>
        </w:trPr>
        <w:tc>
          <w:tcPr>
            <w:tcW w:w="607" w:type="pct"/>
            <w:vMerge/>
          </w:tcPr>
          <w:p w14:paraId="57A63247" w14:textId="77777777" w:rsidR="00A22FED" w:rsidRPr="00555A65" w:rsidRDefault="00A22FED" w:rsidP="00277D3F">
            <w:pPr>
              <w:spacing w:before="40" w:after="40"/>
              <w:rPr>
                <w:sz w:val="19"/>
                <w:szCs w:val="19"/>
              </w:rPr>
            </w:pPr>
          </w:p>
        </w:tc>
        <w:tc>
          <w:tcPr>
            <w:tcW w:w="1134" w:type="pct"/>
          </w:tcPr>
          <w:p w14:paraId="1DE3BCEA" w14:textId="77777777" w:rsidR="00A22FED" w:rsidRPr="00555A65" w:rsidRDefault="00A22FED" w:rsidP="00277D3F">
            <w:pPr>
              <w:spacing w:before="40" w:after="40"/>
              <w:rPr>
                <w:sz w:val="19"/>
                <w:szCs w:val="19"/>
              </w:rPr>
            </w:pPr>
            <w:r w:rsidRPr="00555A65">
              <w:rPr>
                <w:sz w:val="19"/>
                <w:szCs w:val="19"/>
              </w:rPr>
              <w:t>Lowering of weir pool to -0.3m NPL</w:t>
            </w:r>
          </w:p>
        </w:tc>
        <w:tc>
          <w:tcPr>
            <w:tcW w:w="1061" w:type="pct"/>
          </w:tcPr>
          <w:p w14:paraId="44D31ECB" w14:textId="77777777" w:rsidR="00A22FED" w:rsidRPr="00555A65" w:rsidRDefault="00A22FED" w:rsidP="00277D3F">
            <w:pPr>
              <w:spacing w:before="40" w:after="40"/>
              <w:rPr>
                <w:sz w:val="19"/>
                <w:szCs w:val="19"/>
              </w:rPr>
            </w:pPr>
            <w:r w:rsidRPr="00555A65">
              <w:rPr>
                <w:sz w:val="19"/>
                <w:szCs w:val="19"/>
              </w:rPr>
              <w:t>April to June 2016</w:t>
            </w:r>
          </w:p>
        </w:tc>
        <w:tc>
          <w:tcPr>
            <w:tcW w:w="2198" w:type="pct"/>
          </w:tcPr>
          <w:p w14:paraId="72513E04" w14:textId="77777777" w:rsidR="00A22FED" w:rsidRPr="00555A65" w:rsidRDefault="00A22FED" w:rsidP="00277D3F">
            <w:pPr>
              <w:spacing w:before="40" w:after="40"/>
              <w:rPr>
                <w:sz w:val="19"/>
                <w:szCs w:val="19"/>
              </w:rPr>
            </w:pPr>
          </w:p>
        </w:tc>
      </w:tr>
    </w:tbl>
    <w:p w14:paraId="31891964" w14:textId="77777777" w:rsidR="00AF024C" w:rsidRDefault="00A22FED" w:rsidP="00A22FED">
      <w:r>
        <w:t xml:space="preserve"> </w:t>
      </w:r>
    </w:p>
    <w:p w14:paraId="1BC7576A" w14:textId="739FCC5E" w:rsidR="00A22FED" w:rsidRPr="00E40FF5" w:rsidRDefault="006408D0" w:rsidP="00A22FED">
      <w:pPr>
        <w:rPr>
          <w:i/>
          <w:sz w:val="24"/>
          <w:szCs w:val="24"/>
        </w:rPr>
      </w:pPr>
      <w:r>
        <w:rPr>
          <w:b/>
          <w:i/>
          <w:color w:val="1F497D" w:themeColor="text2"/>
          <w:sz w:val="24"/>
          <w:szCs w:val="24"/>
        </w:rPr>
        <w:lastRenderedPageBreak/>
        <w:t>Barmah–Millewa F</w:t>
      </w:r>
      <w:r w:rsidR="00A22FED" w:rsidRPr="00DD3235">
        <w:rPr>
          <w:b/>
          <w:i/>
          <w:color w:val="1F497D" w:themeColor="text2"/>
          <w:sz w:val="24"/>
          <w:szCs w:val="24"/>
        </w:rPr>
        <w:t xml:space="preserve">orest </w:t>
      </w:r>
      <w:r w:rsidR="00A22FED">
        <w:rPr>
          <w:b/>
          <w:i/>
          <w:color w:val="1F497D" w:themeColor="text2"/>
          <w:sz w:val="24"/>
          <w:szCs w:val="24"/>
        </w:rPr>
        <w:t>inundation</w:t>
      </w:r>
      <w:r w:rsidR="00A22FED" w:rsidRPr="00E40FF5">
        <w:rPr>
          <w:b/>
          <w:i/>
          <w:color w:val="1F497D" w:themeColor="text2"/>
          <w:sz w:val="24"/>
          <w:szCs w:val="24"/>
        </w:rPr>
        <w:t xml:space="preserve"> </w:t>
      </w:r>
    </w:p>
    <w:p w14:paraId="49713315" w14:textId="6A7B01C8" w:rsidR="00A22FED" w:rsidRDefault="00A22FED" w:rsidP="00964B7F">
      <w:r>
        <w:t>From July–September 2015, overbank flows (with two small freshes) occurred in the Barmah and Millewa Forests. This was achieved through unregulated flow releases from H</w:t>
      </w:r>
      <w:r w:rsidR="00B52FFE">
        <w:t>ume Dam and Barmah and Millewa F</w:t>
      </w:r>
      <w:r>
        <w:t>loodplain regulator operation. From 11 September to 31 October</w:t>
      </w:r>
      <w:r w:rsidR="00465F87">
        <w:t xml:space="preserve"> 2015</w:t>
      </w:r>
      <w:r>
        <w:t xml:space="preserve">, The Living Murray </w:t>
      </w:r>
      <w:r w:rsidR="00D25B9B">
        <w:t xml:space="preserve">water </w:t>
      </w:r>
      <w:r>
        <w:t xml:space="preserve">and Commonwealth </w:t>
      </w:r>
      <w:r w:rsidR="00D25B9B">
        <w:t xml:space="preserve">environmental water </w:t>
      </w:r>
      <w:r>
        <w:t>was provided to maintain flows of ~</w:t>
      </w:r>
      <w:r w:rsidR="004C2ED9">
        <w:t>12–13,000 </w:t>
      </w:r>
      <w:r>
        <w:t>ML day</w:t>
      </w:r>
      <w:r w:rsidRPr="00964B7F">
        <w:rPr>
          <w:vertAlign w:val="superscript"/>
        </w:rPr>
        <w:t>-1</w:t>
      </w:r>
      <w:r>
        <w:t xml:space="preserve"> to extend the inundation of Millewa Forest</w:t>
      </w:r>
      <w:r w:rsidR="004C2ED9">
        <w:t xml:space="preserve"> (source, CEWO)</w:t>
      </w:r>
      <w:r>
        <w:t xml:space="preserve">. A gradual recession followed shortly after. </w:t>
      </w:r>
    </w:p>
    <w:p w14:paraId="16C1819A" w14:textId="77777777" w:rsidR="00A22FED" w:rsidRPr="00E40FF5" w:rsidRDefault="00A22FED" w:rsidP="00A22FED">
      <w:pPr>
        <w:rPr>
          <w:i/>
          <w:sz w:val="24"/>
          <w:szCs w:val="24"/>
        </w:rPr>
      </w:pPr>
      <w:r w:rsidRPr="00CB142B">
        <w:rPr>
          <w:b/>
          <w:i/>
          <w:color w:val="1F497D" w:themeColor="text2"/>
          <w:sz w:val="24"/>
          <w:szCs w:val="24"/>
        </w:rPr>
        <w:t>Goulburn flow pulse events</w:t>
      </w:r>
      <w:r w:rsidRPr="00E40FF5">
        <w:rPr>
          <w:b/>
          <w:i/>
          <w:color w:val="1F497D" w:themeColor="text2"/>
          <w:sz w:val="24"/>
          <w:szCs w:val="24"/>
        </w:rPr>
        <w:t xml:space="preserve"> </w:t>
      </w:r>
    </w:p>
    <w:p w14:paraId="5465FCCF" w14:textId="2FBBBDD6" w:rsidR="00EC6498" w:rsidRDefault="00277D3F" w:rsidP="00964B7F">
      <w:pPr>
        <w:sectPr w:rsidR="00EC6498" w:rsidSect="00F020E5">
          <w:pgSz w:w="11900" w:h="16840" w:code="9"/>
          <w:pgMar w:top="1440" w:right="1440" w:bottom="1440" w:left="1440" w:header="709" w:footer="709" w:gutter="0"/>
          <w:cols w:space="708"/>
          <w:docGrid w:linePitch="360"/>
        </w:sectPr>
      </w:pPr>
      <w:r>
        <w:t>Commonwealth environmental water and environmental water from The Living Murray</w:t>
      </w:r>
      <w:r w:rsidR="00EC6498">
        <w:t>,</w:t>
      </w:r>
      <w:r>
        <w:t xml:space="preserve"> </w:t>
      </w:r>
      <w:r w:rsidR="00BE40A1">
        <w:t>Victorian Environmental W</w:t>
      </w:r>
      <w:r>
        <w:t xml:space="preserve">ater </w:t>
      </w:r>
      <w:r w:rsidR="00BE40A1">
        <w:t>H</w:t>
      </w:r>
      <w:r>
        <w:t>older</w:t>
      </w:r>
      <w:r w:rsidR="00EC6498">
        <w:t xml:space="preserve"> and Inter Valley Transfer</w:t>
      </w:r>
      <w:r w:rsidR="00A63DB1">
        <w:t xml:space="preserve"> were</w:t>
      </w:r>
      <w:r>
        <w:t xml:space="preserve"> delivered to the </w:t>
      </w:r>
      <w:r w:rsidR="000564B0">
        <w:t xml:space="preserve">lower </w:t>
      </w:r>
      <w:r>
        <w:t xml:space="preserve">Goulburn River </w:t>
      </w:r>
      <w:r w:rsidR="000564B0">
        <w:t xml:space="preserve">channel </w:t>
      </w:r>
      <w:r>
        <w:t xml:space="preserve">during 2015/16. From </w:t>
      </w:r>
      <w:r w:rsidR="00EC6498">
        <w:t>3–29</w:t>
      </w:r>
      <w:r>
        <w:t xml:space="preserve"> October 2015, there was a targeted spring pulse in the hydrograph that peaked at approximately</w:t>
      </w:r>
      <w:r w:rsidR="000564B0">
        <w:t xml:space="preserve"> 6,2</w:t>
      </w:r>
      <w:r w:rsidR="00465F87">
        <w:t>00 ML </w:t>
      </w:r>
      <w:r>
        <w:t>day</w:t>
      </w:r>
      <w:r w:rsidR="00EC6498">
        <w:rPr>
          <w:vertAlign w:val="superscript"/>
        </w:rPr>
        <w:noBreakHyphen/>
      </w:r>
      <w:r w:rsidRPr="00277D3F">
        <w:rPr>
          <w:vertAlign w:val="superscript"/>
        </w:rPr>
        <w:t>1</w:t>
      </w:r>
      <w:r w:rsidR="00CB142B">
        <w:t xml:space="preserve"> (Figure B3).</w:t>
      </w:r>
      <w:r>
        <w:t xml:space="preserve"> This pulse was driven by Commonwealth environmental water, which contributed </w:t>
      </w:r>
      <w:r w:rsidR="00EC6498">
        <w:t>99.1 G</w:t>
      </w:r>
      <w:r w:rsidR="00A63DB1">
        <w:t>L</w:t>
      </w:r>
      <w:r w:rsidR="00EC6498">
        <w:t xml:space="preserve">, but </w:t>
      </w:r>
      <w:r w:rsidR="00465F87">
        <w:t xml:space="preserve">was </w:t>
      </w:r>
      <w:r w:rsidR="00EC6498">
        <w:t>also supporte</w:t>
      </w:r>
      <w:r w:rsidR="0017201E">
        <w:t>d by The Living Murray (4.9 </w:t>
      </w:r>
      <w:r w:rsidR="00EC6498">
        <w:t>GL)</w:t>
      </w:r>
      <w:r w:rsidR="004C2ED9">
        <w:t xml:space="preserve"> (source, CEWO)</w:t>
      </w:r>
      <w:r>
        <w:t xml:space="preserve">. </w:t>
      </w:r>
      <w:r w:rsidR="00BE40A1">
        <w:t>A</w:t>
      </w:r>
      <w:r w:rsidR="000564B0">
        <w:t>n autumn fresh</w:t>
      </w:r>
      <w:r w:rsidR="003070C6">
        <w:t xml:space="preserve"> </w:t>
      </w:r>
      <w:r w:rsidR="00BE40A1">
        <w:t xml:space="preserve">also </w:t>
      </w:r>
      <w:r w:rsidR="000564B0">
        <w:t>occurred in</w:t>
      </w:r>
      <w:r w:rsidR="00A63DB1">
        <w:t xml:space="preserve"> the Goulburn</w:t>
      </w:r>
      <w:r w:rsidR="000564B0">
        <w:t xml:space="preserve"> River</w:t>
      </w:r>
      <w:r w:rsidR="00A63DB1">
        <w:t xml:space="preserve"> between early March and early April 2016</w:t>
      </w:r>
      <w:r w:rsidR="00CB142B">
        <w:t xml:space="preserve"> (Figure B3)</w:t>
      </w:r>
      <w:r w:rsidR="00A63DB1">
        <w:t xml:space="preserve">. </w:t>
      </w:r>
      <w:r w:rsidR="00CB142B">
        <w:t>Autumn f</w:t>
      </w:r>
      <w:r w:rsidR="00A63DB1">
        <w:t>low peaked at approximately 4,000 ML day</w:t>
      </w:r>
      <w:r w:rsidR="00CB142B">
        <w:rPr>
          <w:vertAlign w:val="superscript"/>
        </w:rPr>
        <w:noBreakHyphen/>
      </w:r>
      <w:r w:rsidR="00A63DB1" w:rsidRPr="00A63DB1">
        <w:rPr>
          <w:vertAlign w:val="superscript"/>
        </w:rPr>
        <w:t>1</w:t>
      </w:r>
      <w:r w:rsidR="00A63DB1">
        <w:t xml:space="preserve">, which consisted of a combination of Commonwealth environmental water and </w:t>
      </w:r>
      <w:r w:rsidR="002511BC" w:rsidRPr="002511BC">
        <w:t>water from the Victorian Environmental Water Holder and Inter Valley Transfer</w:t>
      </w:r>
      <w:r w:rsidR="00A63DB1">
        <w:t>.</w:t>
      </w:r>
    </w:p>
    <w:p w14:paraId="39B7F5C7" w14:textId="007B0EF8" w:rsidR="00EC6498" w:rsidRDefault="00EC6498" w:rsidP="00A22FED">
      <w:r>
        <w:rPr>
          <w:noProof/>
          <w:lang w:eastAsia="en-AU"/>
        </w:rPr>
        <w:lastRenderedPageBreak/>
        <w:drawing>
          <wp:inline distT="0" distB="0" distL="0" distR="0" wp14:anchorId="0BF9E855" wp14:editId="70331E64">
            <wp:extent cx="8864600" cy="4624681"/>
            <wp:effectExtent l="0" t="0" r="0" b="508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8864600" cy="4624681"/>
                    </a:xfrm>
                    <a:prstGeom prst="rect">
                      <a:avLst/>
                    </a:prstGeom>
                    <a:noFill/>
                  </pic:spPr>
                </pic:pic>
              </a:graphicData>
            </a:graphic>
          </wp:inline>
        </w:drawing>
      </w:r>
    </w:p>
    <w:p w14:paraId="24362C95" w14:textId="4B4C6EDD" w:rsidR="00EC6498" w:rsidRDefault="00EC6498" w:rsidP="00B46038">
      <w:pPr>
        <w:pStyle w:val="Captions"/>
        <w:sectPr w:rsidR="00EC6498" w:rsidSect="00EC6498">
          <w:pgSz w:w="16840" w:h="11900" w:orient="landscape" w:code="9"/>
          <w:pgMar w:top="1440" w:right="1440" w:bottom="1440" w:left="1440" w:header="709" w:footer="709" w:gutter="0"/>
          <w:cols w:space="708"/>
          <w:docGrid w:linePitch="360"/>
        </w:sectPr>
      </w:pPr>
      <w:r w:rsidRPr="00EC6498">
        <w:t>Figure B3. Hydrograph for the Goulburn River (at McCoys</w:t>
      </w:r>
      <w:r>
        <w:t xml:space="preserve"> Bridge</w:t>
      </w:r>
      <w:r w:rsidRPr="00EC6498">
        <w:t>) from July 2015 to July 2016 (</w:t>
      </w:r>
      <w:r w:rsidR="004C2ED9">
        <w:t>source, CEWO</w:t>
      </w:r>
      <w:r>
        <w:t xml:space="preserve">), showing the </w:t>
      </w:r>
      <w:r w:rsidRPr="00EC6498">
        <w:t>delivery of</w:t>
      </w:r>
      <w:r>
        <w:t xml:space="preserve"> </w:t>
      </w:r>
      <w:r w:rsidR="004C2ED9">
        <w:t xml:space="preserve">environmental </w:t>
      </w:r>
      <w:r>
        <w:t>water from the Commonwealth E</w:t>
      </w:r>
      <w:r w:rsidRPr="00EC6498">
        <w:t>nvironmenta</w:t>
      </w:r>
      <w:r>
        <w:t xml:space="preserve">l Water Office (CEWO), </w:t>
      </w:r>
      <w:r w:rsidR="004C2ED9" w:rsidRPr="004C2ED9">
        <w:t>The Living Murray</w:t>
      </w:r>
      <w:r w:rsidR="004C2ED9">
        <w:t xml:space="preserve"> (TLM)</w:t>
      </w:r>
      <w:r w:rsidR="004C2ED9" w:rsidRPr="004C2ED9">
        <w:t>, Victorian Environmental Water Holder</w:t>
      </w:r>
      <w:r w:rsidR="004C2ED9">
        <w:t xml:space="preserve"> (VEWH)</w:t>
      </w:r>
      <w:r w:rsidR="004C2ED9" w:rsidRPr="004C2ED9">
        <w:t xml:space="preserve"> and Inter Valley Transfer</w:t>
      </w:r>
      <w:r w:rsidR="004C2ED9">
        <w:t xml:space="preserve"> (IVT)</w:t>
      </w:r>
      <w:r>
        <w:t>.</w:t>
      </w:r>
    </w:p>
    <w:p w14:paraId="30C1F948" w14:textId="77777777" w:rsidR="006A14F2" w:rsidRDefault="006A14F2" w:rsidP="007C2425">
      <w:pPr>
        <w:pStyle w:val="Heading1"/>
        <w:numPr>
          <w:ilvl w:val="0"/>
          <w:numId w:val="0"/>
        </w:numPr>
      </w:pPr>
      <w:bookmarkStart w:id="155" w:name="_Toc474147074"/>
      <w:r>
        <w:lastRenderedPageBreak/>
        <w:t xml:space="preserve">Appendix </w:t>
      </w:r>
      <w:r w:rsidR="0047367A">
        <w:t>C</w:t>
      </w:r>
      <w:r>
        <w:t>: Stream Metabolism</w:t>
      </w:r>
      <w:bookmarkEnd w:id="154"/>
      <w:bookmarkEnd w:id="155"/>
    </w:p>
    <w:p w14:paraId="1C851780" w14:textId="77777777" w:rsidR="00467E5E" w:rsidRDefault="00467E5E" w:rsidP="009D249D">
      <w:pPr>
        <w:rPr>
          <w:b/>
          <w:color w:val="1F497D" w:themeColor="text2"/>
          <w:sz w:val="26"/>
          <w:szCs w:val="26"/>
        </w:rPr>
      </w:pPr>
      <w:r>
        <w:rPr>
          <w:b/>
          <w:color w:val="1F497D" w:themeColor="text2"/>
          <w:sz w:val="26"/>
          <w:szCs w:val="26"/>
        </w:rPr>
        <w:t>Background</w:t>
      </w:r>
    </w:p>
    <w:p w14:paraId="1F06990D" w14:textId="346FE016" w:rsidR="008478D7" w:rsidRDefault="008478D7" w:rsidP="008478D7">
      <w:r w:rsidRPr="002D6682">
        <w:t xml:space="preserve">River metabolism measurements estimate </w:t>
      </w:r>
      <w:r>
        <w:t xml:space="preserve">in-stream </w:t>
      </w:r>
      <w:r w:rsidRPr="002D6682">
        <w:t>rates of photosynthesis and respiration</w:t>
      </w:r>
      <w:r w:rsidR="005379F7">
        <w:t>,</w:t>
      </w:r>
      <w:r w:rsidRPr="002D6682">
        <w:t xml:space="preserve"> and provide information on the energy processed through river food webs</w:t>
      </w:r>
      <w:r>
        <w:t xml:space="preserve"> (Odum 1956;</w:t>
      </w:r>
      <w:r w:rsidRPr="00404F2F">
        <w:t xml:space="preserve"> Young and Huryn 1996</w:t>
      </w:r>
      <w:r>
        <w:t>; Oliver and Merrick 2006)</w:t>
      </w:r>
      <w:r w:rsidRPr="002D6682">
        <w:t xml:space="preserve">. Metabolism measurements help identify whether the sources of organic material that provide the food resources have come from within the river </w:t>
      </w:r>
      <w:r>
        <w:t xml:space="preserve">(autochthonous) </w:t>
      </w:r>
      <w:r w:rsidRPr="002D6682">
        <w:t>or the surrounding landscape</w:t>
      </w:r>
      <w:r>
        <w:t xml:space="preserve"> (allochthonous).</w:t>
      </w:r>
      <w:r w:rsidRPr="00B221F1">
        <w:t xml:space="preserve"> </w:t>
      </w:r>
      <w:r>
        <w:t>M</w:t>
      </w:r>
      <w:r w:rsidRPr="002D6682">
        <w:t xml:space="preserve">easurements </w:t>
      </w:r>
      <w:r>
        <w:t xml:space="preserve">of stream metabolism can </w:t>
      </w:r>
      <w:r w:rsidRPr="002D6682">
        <w:t xml:space="preserve">describe the fundamental trophic </w:t>
      </w:r>
      <w:r>
        <w:t xml:space="preserve">energy </w:t>
      </w:r>
      <w:r w:rsidRPr="002D6682">
        <w:t>connections that characterise different food web types (e</w:t>
      </w:r>
      <w:r>
        <w:t>.</w:t>
      </w:r>
      <w:r w:rsidRPr="002D6682">
        <w:t>g. detrital, autotrophic, planktonic). They indicate the size of the food web and its capacity to support higher trophic levels including fish and water birds</w:t>
      </w:r>
      <w:r>
        <w:t xml:space="preserve"> (</w:t>
      </w:r>
      <w:r w:rsidRPr="00404F2F">
        <w:t>Odum</w:t>
      </w:r>
      <w:r>
        <w:t xml:space="preserve"> 1956; Young and Huryn</w:t>
      </w:r>
      <w:r w:rsidRPr="00404F2F">
        <w:t xml:space="preserve"> 1996</w:t>
      </w:r>
      <w:r>
        <w:t>; Oliver and Merrick 2006).</w:t>
      </w:r>
    </w:p>
    <w:p w14:paraId="018A2A48" w14:textId="77777777" w:rsidR="006A14F2" w:rsidRPr="009D249D" w:rsidRDefault="006A14F2" w:rsidP="009D249D">
      <w:pPr>
        <w:rPr>
          <w:b/>
          <w:color w:val="1F497D" w:themeColor="text2"/>
          <w:sz w:val="26"/>
          <w:szCs w:val="26"/>
        </w:rPr>
      </w:pPr>
      <w:r w:rsidRPr="009D249D">
        <w:rPr>
          <w:b/>
          <w:color w:val="1F497D" w:themeColor="text2"/>
          <w:sz w:val="26"/>
          <w:szCs w:val="26"/>
        </w:rPr>
        <w:t>Methods</w:t>
      </w:r>
    </w:p>
    <w:p w14:paraId="32F4DFA7" w14:textId="77777777" w:rsidR="008478D7" w:rsidRPr="00D92663" w:rsidRDefault="008478D7" w:rsidP="008478D7">
      <w:pPr>
        <w:rPr>
          <w:rFonts w:eastAsia="Calibri"/>
        </w:rPr>
      </w:pPr>
      <w:r w:rsidRPr="00D92663">
        <w:rPr>
          <w:rFonts w:eastAsia="Calibri"/>
        </w:rPr>
        <w:t>Stream metabolism is measured by monitoring the rates of change in the dissolved oxygen concentration over day and night cycles. These diel changes are caused by the balance between photosynthetic oxygen production which occurs in the light, and oxygen depletion by respiration which occurs continuously. Monitoring oxygen levels also informs on whether dissolved concentrations are suitable for aquatic organisms and provides a basis for identifying changes that result from environmental flows and the impacts these might have on the biota.</w:t>
      </w:r>
    </w:p>
    <w:p w14:paraId="7734D80A" w14:textId="254BA586" w:rsidR="008478D7" w:rsidRPr="007C2425" w:rsidRDefault="008478D7" w:rsidP="008478D7">
      <w:pPr>
        <w:rPr>
          <w:rFonts w:cs="Calibri"/>
          <w:szCs w:val="22"/>
        </w:rPr>
      </w:pPr>
      <w:r w:rsidRPr="007C2425">
        <w:rPr>
          <w:rFonts w:cs="Calibri"/>
          <w:szCs w:val="22"/>
        </w:rPr>
        <w:t xml:space="preserve">The method </w:t>
      </w:r>
      <w:r>
        <w:rPr>
          <w:rFonts w:cs="Calibri"/>
          <w:szCs w:val="22"/>
        </w:rPr>
        <w:t>is based on</w:t>
      </w:r>
      <w:r w:rsidRPr="007C2425">
        <w:rPr>
          <w:rFonts w:cs="Calibri"/>
          <w:szCs w:val="22"/>
        </w:rPr>
        <w:t xml:space="preserve"> the continuous measurement of oxygen concentrations at single river sites from which river metabolism</w:t>
      </w:r>
      <w:r w:rsidR="003C5520">
        <w:rPr>
          <w:rFonts w:cs="Calibri"/>
          <w:szCs w:val="22"/>
        </w:rPr>
        <w:t xml:space="preserve"> rates</w:t>
      </w:r>
      <w:r w:rsidRPr="007C2425">
        <w:rPr>
          <w:rFonts w:cs="Calibri"/>
          <w:szCs w:val="22"/>
        </w:rPr>
        <w:t xml:space="preserve"> are then calculated (Oliver and Merrick 2006; Oliver and Lorenz 2010; Grace and Imberger 2006). </w:t>
      </w:r>
      <w:r w:rsidRPr="007C2425">
        <w:rPr>
          <w:rFonts w:cs="Calibri"/>
          <w:i/>
          <w:szCs w:val="22"/>
        </w:rPr>
        <w:t>In situ</w:t>
      </w:r>
      <w:r w:rsidRPr="007C2425">
        <w:rPr>
          <w:rFonts w:cs="Calibri"/>
          <w:szCs w:val="22"/>
        </w:rPr>
        <w:t xml:space="preserve"> logging of the dissolved oxygen concentration, water temperature and incident </w:t>
      </w:r>
      <w:r>
        <w:rPr>
          <w:rFonts w:cs="Calibri"/>
          <w:szCs w:val="22"/>
        </w:rPr>
        <w:t xml:space="preserve">solar photosynthetically active radiation (PAR) </w:t>
      </w:r>
      <w:r w:rsidRPr="007C2425">
        <w:rPr>
          <w:rFonts w:cs="Calibri"/>
          <w:szCs w:val="22"/>
        </w:rPr>
        <w:t>required for estimating stream metabolism were undertaken at two sampling sites, one downstream</w:t>
      </w:r>
      <w:r w:rsidR="00430499">
        <w:rPr>
          <w:rFonts w:cs="Calibri"/>
          <w:szCs w:val="22"/>
        </w:rPr>
        <w:t xml:space="preserve"> (below)</w:t>
      </w:r>
      <w:r w:rsidRPr="007C2425">
        <w:rPr>
          <w:rFonts w:cs="Calibri"/>
          <w:szCs w:val="22"/>
        </w:rPr>
        <w:t xml:space="preserve"> of Lock</w:t>
      </w:r>
      <w:r>
        <w:rPr>
          <w:rFonts w:cs="Calibri"/>
          <w:szCs w:val="22"/>
        </w:rPr>
        <w:t xml:space="preserve"> 6 and one </w:t>
      </w:r>
      <w:r w:rsidR="00430499">
        <w:rPr>
          <w:rFonts w:cs="Calibri"/>
          <w:szCs w:val="22"/>
        </w:rPr>
        <w:t>below</w:t>
      </w:r>
      <w:r>
        <w:rPr>
          <w:rFonts w:cs="Calibri"/>
          <w:szCs w:val="22"/>
        </w:rPr>
        <w:t xml:space="preserve"> Lock 1. These</w:t>
      </w:r>
      <w:r w:rsidRPr="007C2425">
        <w:rPr>
          <w:rFonts w:cs="Calibri"/>
          <w:szCs w:val="22"/>
        </w:rPr>
        <w:t xml:space="preserve"> were selected to represent the </w:t>
      </w:r>
      <w:r>
        <w:rPr>
          <w:rFonts w:cs="Calibri"/>
          <w:szCs w:val="22"/>
        </w:rPr>
        <w:t xml:space="preserve">Floodplain and </w:t>
      </w:r>
      <w:r w:rsidRPr="007C2425">
        <w:rPr>
          <w:rFonts w:cs="Calibri"/>
          <w:szCs w:val="22"/>
        </w:rPr>
        <w:t>Gorge geomorphic zones of the LMR Selected Area</w:t>
      </w:r>
      <w:r>
        <w:rPr>
          <w:rFonts w:cs="Calibri"/>
          <w:szCs w:val="22"/>
        </w:rPr>
        <w:t>, respectively</w:t>
      </w:r>
      <w:r w:rsidRPr="007C2425">
        <w:rPr>
          <w:rFonts w:cs="Calibri"/>
          <w:szCs w:val="22"/>
        </w:rPr>
        <w:t xml:space="preserve">. The detailed monitoring and analysis protocol described in Hale </w:t>
      </w:r>
      <w:r w:rsidRPr="005A2B7C">
        <w:rPr>
          <w:rFonts w:cs="Calibri"/>
          <w:i/>
          <w:szCs w:val="22"/>
        </w:rPr>
        <w:t>et al</w:t>
      </w:r>
      <w:r w:rsidR="005A2B7C" w:rsidRPr="005A2B7C">
        <w:rPr>
          <w:rFonts w:cs="Calibri"/>
          <w:i/>
          <w:szCs w:val="22"/>
        </w:rPr>
        <w:t>.</w:t>
      </w:r>
      <w:r w:rsidRPr="007C2425">
        <w:rPr>
          <w:rFonts w:cs="Calibri"/>
          <w:szCs w:val="22"/>
        </w:rPr>
        <w:t xml:space="preserve"> (2014) was consistently followed but with some small modifications. </w:t>
      </w:r>
      <w:r>
        <w:rPr>
          <w:rFonts w:cs="Calibri"/>
          <w:szCs w:val="22"/>
        </w:rPr>
        <w:t>I</w:t>
      </w:r>
      <w:r w:rsidRPr="007C2425">
        <w:rPr>
          <w:rFonts w:cs="Calibri"/>
          <w:szCs w:val="22"/>
        </w:rPr>
        <w:t xml:space="preserve">nstead of measuring barometric pressure independently, data were obtained from two </w:t>
      </w:r>
      <w:r>
        <w:rPr>
          <w:rFonts w:cs="Calibri"/>
          <w:szCs w:val="22"/>
        </w:rPr>
        <w:t xml:space="preserve">nearby </w:t>
      </w:r>
      <w:r w:rsidRPr="007C2425">
        <w:rPr>
          <w:rFonts w:cs="Calibri"/>
          <w:szCs w:val="22"/>
        </w:rPr>
        <w:t xml:space="preserve">meteorological stations operated by the </w:t>
      </w:r>
      <w:r w:rsidRPr="007C2425">
        <w:rPr>
          <w:rFonts w:cs="Calibri"/>
          <w:szCs w:val="22"/>
        </w:rPr>
        <w:lastRenderedPageBreak/>
        <w:t xml:space="preserve">Bureau of Meteorology (BOM), one </w:t>
      </w:r>
      <w:r>
        <w:rPr>
          <w:rFonts w:cs="Calibri"/>
          <w:szCs w:val="22"/>
        </w:rPr>
        <w:t>at Nuriootpa and one at Renmark.</w:t>
      </w:r>
      <w:r w:rsidRPr="007C2425">
        <w:rPr>
          <w:rFonts w:cs="Calibri"/>
          <w:szCs w:val="22"/>
        </w:rPr>
        <w:t xml:space="preserve"> </w:t>
      </w:r>
      <w:r>
        <w:rPr>
          <w:rFonts w:cs="Calibri"/>
          <w:szCs w:val="22"/>
        </w:rPr>
        <w:t>At these sites, b</w:t>
      </w:r>
      <w:r w:rsidRPr="007C2425">
        <w:rPr>
          <w:rFonts w:cs="Calibri"/>
          <w:szCs w:val="22"/>
        </w:rPr>
        <w:t>arometric pressure is measured every 30 minutes</w:t>
      </w:r>
      <w:r>
        <w:rPr>
          <w:rFonts w:cs="Calibri"/>
          <w:szCs w:val="22"/>
        </w:rPr>
        <w:t>, and t</w:t>
      </w:r>
      <w:r w:rsidRPr="007C2425">
        <w:rPr>
          <w:rFonts w:cs="Calibri"/>
          <w:szCs w:val="22"/>
        </w:rPr>
        <w:t>he 10</w:t>
      </w:r>
      <w:r>
        <w:rPr>
          <w:rFonts w:cs="Calibri"/>
          <w:szCs w:val="22"/>
        </w:rPr>
        <w:t>-</w:t>
      </w:r>
      <w:r w:rsidRPr="007C2425">
        <w:rPr>
          <w:rFonts w:cs="Calibri"/>
          <w:szCs w:val="22"/>
        </w:rPr>
        <w:t xml:space="preserve">minute data required for metabolism analyses were determined by interpolation. </w:t>
      </w:r>
    </w:p>
    <w:p w14:paraId="4150F7AF" w14:textId="26AB4FB4" w:rsidR="008478D7" w:rsidRPr="007C2425" w:rsidRDefault="008478D7" w:rsidP="008478D7">
      <w:pPr>
        <w:rPr>
          <w:rFonts w:cstheme="minorHAnsi"/>
          <w:szCs w:val="22"/>
        </w:rPr>
      </w:pPr>
      <w:r>
        <w:rPr>
          <w:rFonts w:cs="Calibri"/>
          <w:szCs w:val="22"/>
        </w:rPr>
        <w:t>H</w:t>
      </w:r>
      <w:r w:rsidRPr="007C2425">
        <w:rPr>
          <w:rFonts w:cs="Calibri"/>
          <w:szCs w:val="22"/>
        </w:rPr>
        <w:t xml:space="preserve">ydrological characteristics at the sampling sites including water level, water velocity and average depth were </w:t>
      </w:r>
      <w:r>
        <w:rPr>
          <w:rFonts w:cs="Calibri"/>
          <w:szCs w:val="22"/>
        </w:rPr>
        <w:t>determined</w:t>
      </w:r>
      <w:r w:rsidRPr="007C2425">
        <w:rPr>
          <w:rFonts w:cs="Calibri"/>
          <w:szCs w:val="22"/>
        </w:rPr>
        <w:t xml:space="preserve"> from established gauging stations and hydrological modelling. Discrete water quality samples were collected approximately every 4 weeks during field trips for oxygen probe maintenance and analysed for chlorophyll-</w:t>
      </w:r>
      <w:r w:rsidRPr="007C2425">
        <w:rPr>
          <w:rFonts w:cs="Calibri"/>
          <w:i/>
          <w:szCs w:val="22"/>
        </w:rPr>
        <w:t>a</w:t>
      </w:r>
      <w:r w:rsidRPr="007C2425">
        <w:rPr>
          <w:rFonts w:cs="Calibri"/>
          <w:szCs w:val="22"/>
        </w:rPr>
        <w:t>, total nitrogen</w:t>
      </w:r>
      <w:r>
        <w:rPr>
          <w:rFonts w:cs="Calibri"/>
          <w:szCs w:val="22"/>
        </w:rPr>
        <w:t xml:space="preserve"> (</w:t>
      </w:r>
      <w:r w:rsidR="00776622">
        <w:rPr>
          <w:rFonts w:cs="Calibri"/>
          <w:szCs w:val="22"/>
        </w:rPr>
        <w:t xml:space="preserve">TN, </w:t>
      </w:r>
      <w:r>
        <w:rPr>
          <w:rFonts w:cs="Calibri"/>
          <w:szCs w:val="22"/>
        </w:rPr>
        <w:t>the sum of all forms of nitrogen)</w:t>
      </w:r>
      <w:r w:rsidRPr="007C2425">
        <w:rPr>
          <w:rFonts w:cs="Calibri"/>
          <w:szCs w:val="22"/>
        </w:rPr>
        <w:t xml:space="preserve">, </w:t>
      </w:r>
      <w:r>
        <w:rPr>
          <w:rFonts w:cs="Calibri"/>
          <w:szCs w:val="22"/>
        </w:rPr>
        <w:t>nitrate and nitrite the oxides of nitrogen (</w:t>
      </w:r>
      <w:r w:rsidRPr="007C2425">
        <w:rPr>
          <w:rFonts w:cs="Calibri"/>
          <w:szCs w:val="22"/>
        </w:rPr>
        <w:t>NO</w:t>
      </w:r>
      <w:r w:rsidRPr="007C2425">
        <w:rPr>
          <w:rFonts w:cs="Calibri"/>
          <w:szCs w:val="22"/>
          <w:vertAlign w:val="subscript"/>
        </w:rPr>
        <w:t>X</w:t>
      </w:r>
      <w:r>
        <w:rPr>
          <w:rFonts w:cs="Calibri"/>
          <w:szCs w:val="22"/>
        </w:rPr>
        <w:t>), ammonium (</w:t>
      </w:r>
      <w:r w:rsidRPr="007C2425">
        <w:rPr>
          <w:rFonts w:cs="Calibri"/>
          <w:szCs w:val="22"/>
        </w:rPr>
        <w:t>NH</w:t>
      </w:r>
      <w:r w:rsidRPr="007C2425">
        <w:rPr>
          <w:rFonts w:cs="Calibri"/>
          <w:szCs w:val="22"/>
          <w:vertAlign w:val="subscript"/>
        </w:rPr>
        <w:t>4</w:t>
      </w:r>
      <w:r>
        <w:rPr>
          <w:rFonts w:cs="Calibri"/>
          <w:szCs w:val="22"/>
        </w:rPr>
        <w:t>)</w:t>
      </w:r>
      <w:r w:rsidRPr="007C2425">
        <w:rPr>
          <w:rFonts w:cs="Calibri"/>
          <w:szCs w:val="22"/>
        </w:rPr>
        <w:t>, total phosphorus</w:t>
      </w:r>
      <w:r>
        <w:rPr>
          <w:rFonts w:cs="Calibri"/>
          <w:szCs w:val="22"/>
        </w:rPr>
        <w:t xml:space="preserve"> (</w:t>
      </w:r>
      <w:r w:rsidR="00776622">
        <w:rPr>
          <w:rFonts w:cs="Calibri"/>
          <w:szCs w:val="22"/>
        </w:rPr>
        <w:t xml:space="preserve">TP, </w:t>
      </w:r>
      <w:r>
        <w:rPr>
          <w:rFonts w:cs="Calibri"/>
          <w:szCs w:val="22"/>
        </w:rPr>
        <w:t>the sum of all forms of phosphorus)</w:t>
      </w:r>
      <w:r w:rsidRPr="007C2425">
        <w:rPr>
          <w:rFonts w:cs="Calibri"/>
          <w:szCs w:val="22"/>
        </w:rPr>
        <w:t xml:space="preserve">, </w:t>
      </w:r>
      <w:r>
        <w:rPr>
          <w:rFonts w:cs="Calibri"/>
          <w:szCs w:val="22"/>
        </w:rPr>
        <w:t>dissolved forms of phosphorus (</w:t>
      </w:r>
      <w:r w:rsidRPr="007C2425">
        <w:rPr>
          <w:rFonts w:cs="Calibri"/>
          <w:szCs w:val="22"/>
        </w:rPr>
        <w:t>PO</w:t>
      </w:r>
      <w:r w:rsidRPr="007C2425">
        <w:rPr>
          <w:rFonts w:cs="Calibri"/>
          <w:szCs w:val="22"/>
          <w:vertAlign w:val="subscript"/>
        </w:rPr>
        <w:t>4</w:t>
      </w:r>
      <w:r>
        <w:rPr>
          <w:rFonts w:cs="Calibri"/>
          <w:szCs w:val="22"/>
        </w:rPr>
        <w:t>)</w:t>
      </w:r>
      <w:r w:rsidRPr="007C2425">
        <w:rPr>
          <w:rFonts w:cs="Calibri"/>
          <w:szCs w:val="22"/>
        </w:rPr>
        <w:t xml:space="preserve">, and dissolved organic carbon </w:t>
      </w:r>
      <w:r>
        <w:rPr>
          <w:rFonts w:cs="Calibri"/>
          <w:szCs w:val="22"/>
        </w:rPr>
        <w:t xml:space="preserve">(DOC), </w:t>
      </w:r>
      <w:r w:rsidRPr="007C2425">
        <w:rPr>
          <w:rFonts w:cs="Calibri"/>
          <w:szCs w:val="22"/>
        </w:rPr>
        <w:t>by the</w:t>
      </w:r>
      <w:r>
        <w:rPr>
          <w:rFonts w:cs="Calibri"/>
          <w:szCs w:val="22"/>
        </w:rPr>
        <w:t xml:space="preserve"> </w:t>
      </w:r>
      <w:r w:rsidRPr="007C2425">
        <w:rPr>
          <w:rFonts w:cstheme="minorHAnsi"/>
          <w:szCs w:val="22"/>
        </w:rPr>
        <w:t>A</w:t>
      </w:r>
      <w:r>
        <w:rPr>
          <w:rFonts w:cstheme="minorHAnsi"/>
          <w:szCs w:val="22"/>
        </w:rPr>
        <w:t xml:space="preserve">ustralian </w:t>
      </w:r>
      <w:r w:rsidRPr="007C2425">
        <w:rPr>
          <w:rFonts w:cstheme="minorHAnsi"/>
          <w:szCs w:val="22"/>
        </w:rPr>
        <w:t>W</w:t>
      </w:r>
      <w:r>
        <w:rPr>
          <w:rFonts w:cstheme="minorHAnsi"/>
          <w:szCs w:val="22"/>
        </w:rPr>
        <w:t xml:space="preserve">ater </w:t>
      </w:r>
      <w:r w:rsidRPr="007C2425">
        <w:rPr>
          <w:rFonts w:cstheme="minorHAnsi"/>
          <w:szCs w:val="22"/>
        </w:rPr>
        <w:t>Q</w:t>
      </w:r>
      <w:r>
        <w:rPr>
          <w:rFonts w:cstheme="minorHAnsi"/>
          <w:szCs w:val="22"/>
        </w:rPr>
        <w:t xml:space="preserve">uality </w:t>
      </w:r>
      <w:r w:rsidRPr="007C2425">
        <w:rPr>
          <w:rFonts w:cstheme="minorHAnsi"/>
          <w:szCs w:val="22"/>
        </w:rPr>
        <w:t>C</w:t>
      </w:r>
      <w:r>
        <w:rPr>
          <w:rFonts w:cstheme="minorHAnsi"/>
          <w:szCs w:val="22"/>
        </w:rPr>
        <w:t>entre</w:t>
      </w:r>
      <w:r>
        <w:rPr>
          <w:rFonts w:cs="Calibri"/>
          <w:szCs w:val="22"/>
        </w:rPr>
        <w:t>, a registered laboratory with the National Association of Testing Authorities</w:t>
      </w:r>
      <w:r w:rsidRPr="007C2425">
        <w:rPr>
          <w:rFonts w:cs="Calibri"/>
          <w:szCs w:val="22"/>
        </w:rPr>
        <w:t xml:space="preserve"> </w:t>
      </w:r>
      <w:r>
        <w:rPr>
          <w:rFonts w:cs="Calibri"/>
          <w:szCs w:val="22"/>
        </w:rPr>
        <w:t>(</w:t>
      </w:r>
      <w:r w:rsidRPr="007C2425">
        <w:rPr>
          <w:rFonts w:cstheme="minorHAnsi"/>
          <w:szCs w:val="22"/>
        </w:rPr>
        <w:t>NATA</w:t>
      </w:r>
      <w:r>
        <w:rPr>
          <w:rFonts w:cstheme="minorHAnsi"/>
          <w:szCs w:val="22"/>
        </w:rPr>
        <w:t>)</w:t>
      </w:r>
      <w:r w:rsidR="00081D85">
        <w:rPr>
          <w:rFonts w:cstheme="minorHAnsi"/>
          <w:szCs w:val="22"/>
        </w:rPr>
        <w:t>.</w:t>
      </w:r>
      <w:r w:rsidRPr="007C2425">
        <w:rPr>
          <w:rFonts w:cstheme="minorHAnsi"/>
          <w:szCs w:val="22"/>
        </w:rPr>
        <w:t xml:space="preserve"> </w:t>
      </w:r>
    </w:p>
    <w:p w14:paraId="5A3ADEBF" w14:textId="3E1280A9" w:rsidR="008478D7" w:rsidRPr="007C2425" w:rsidRDefault="008478D7" w:rsidP="008478D7">
      <w:pPr>
        <w:rPr>
          <w:rFonts w:cstheme="minorHAnsi"/>
          <w:szCs w:val="22"/>
        </w:rPr>
      </w:pPr>
      <w:r w:rsidRPr="007C2425">
        <w:rPr>
          <w:rFonts w:cstheme="minorHAnsi"/>
          <w:szCs w:val="22"/>
        </w:rPr>
        <w:t xml:space="preserve">Oxygen concentration measurements </w:t>
      </w:r>
      <w:r>
        <w:rPr>
          <w:rFonts w:cstheme="minorHAnsi"/>
          <w:szCs w:val="22"/>
        </w:rPr>
        <w:t xml:space="preserve">were made continuously from 23 September 2015 to </w:t>
      </w:r>
      <w:r w:rsidRPr="007C2425">
        <w:rPr>
          <w:rFonts w:cstheme="minorHAnsi"/>
          <w:szCs w:val="22"/>
        </w:rPr>
        <w:t>2</w:t>
      </w:r>
      <w:r>
        <w:rPr>
          <w:rFonts w:cstheme="minorHAnsi"/>
          <w:szCs w:val="22"/>
        </w:rPr>
        <w:t xml:space="preserve"> March </w:t>
      </w:r>
      <w:r w:rsidRPr="007C2425">
        <w:rPr>
          <w:rFonts w:cstheme="minorHAnsi"/>
          <w:szCs w:val="22"/>
        </w:rPr>
        <w:t>201</w:t>
      </w:r>
      <w:r>
        <w:rPr>
          <w:rFonts w:cstheme="minorHAnsi"/>
          <w:szCs w:val="22"/>
        </w:rPr>
        <w:t xml:space="preserve">6. A complete data set was collected for the site </w:t>
      </w:r>
      <w:r w:rsidR="00430499">
        <w:rPr>
          <w:rFonts w:cstheme="minorHAnsi"/>
          <w:szCs w:val="22"/>
        </w:rPr>
        <w:t>below</w:t>
      </w:r>
      <w:r>
        <w:rPr>
          <w:rFonts w:cstheme="minorHAnsi"/>
          <w:szCs w:val="22"/>
        </w:rPr>
        <w:t xml:space="preserve"> Lock 1</w:t>
      </w:r>
      <w:r w:rsidRPr="007C2425">
        <w:rPr>
          <w:rFonts w:cstheme="minorHAnsi"/>
          <w:szCs w:val="22"/>
        </w:rPr>
        <w:t xml:space="preserve"> with only a few missing days due to probe maintenance and battery depletion. </w:t>
      </w:r>
      <w:r>
        <w:rPr>
          <w:rFonts w:cstheme="minorHAnsi"/>
          <w:szCs w:val="22"/>
        </w:rPr>
        <w:t xml:space="preserve">However, the data set collected from the site </w:t>
      </w:r>
      <w:r w:rsidR="00430499">
        <w:rPr>
          <w:rFonts w:cstheme="minorHAnsi"/>
          <w:szCs w:val="22"/>
        </w:rPr>
        <w:t>below</w:t>
      </w:r>
      <w:r>
        <w:rPr>
          <w:rFonts w:cstheme="minorHAnsi"/>
          <w:szCs w:val="22"/>
        </w:rPr>
        <w:t xml:space="preserve"> Lock 6 was incomplete due to a probe failure from 27 December 2015 to 20 January 2016. </w:t>
      </w:r>
    </w:p>
    <w:p w14:paraId="1F802DFD" w14:textId="68F79ABF" w:rsidR="008478D7" w:rsidRPr="00D92663" w:rsidRDefault="008478D7" w:rsidP="008478D7">
      <w:pPr>
        <w:rPr>
          <w:rFonts w:cstheme="minorHAnsi"/>
        </w:rPr>
      </w:pPr>
      <w:r w:rsidRPr="00D92663">
        <w:rPr>
          <w:rFonts w:cstheme="minorHAnsi"/>
        </w:rPr>
        <w:t xml:space="preserve">Refer to the LMR Selected </w:t>
      </w:r>
      <w:r w:rsidR="001474B1">
        <w:rPr>
          <w:rFonts w:cstheme="minorHAnsi"/>
        </w:rPr>
        <w:t>Area SOP for Category 1 Stream M</w:t>
      </w:r>
      <w:r w:rsidRPr="00D92663">
        <w:rPr>
          <w:rFonts w:cstheme="minorHAnsi"/>
        </w:rPr>
        <w:t xml:space="preserve">etabolism </w:t>
      </w:r>
      <w:r w:rsidR="00313978">
        <w:rPr>
          <w:rFonts w:cstheme="minorHAnsi"/>
        </w:rPr>
        <w:t xml:space="preserve">in the LMR LTIM M&amp;E Plan </w:t>
      </w:r>
      <w:r w:rsidRPr="00D92663">
        <w:rPr>
          <w:rFonts w:cstheme="minorHAnsi"/>
        </w:rPr>
        <w:t xml:space="preserve">for more information on the sampling protocol including sites, timing and equipment, and on data analysis and evaluation, data management and quality assurance/quality control measures. Refer to Section 5 </w:t>
      </w:r>
      <w:r>
        <w:rPr>
          <w:rFonts w:cstheme="minorHAnsi"/>
        </w:rPr>
        <w:t xml:space="preserve">in the Plan </w:t>
      </w:r>
      <w:r w:rsidRPr="00D92663">
        <w:rPr>
          <w:rFonts w:cstheme="minorHAnsi"/>
        </w:rPr>
        <w:t>for timing of monitoring activities and more information on sampling sites and zones.</w:t>
      </w:r>
    </w:p>
    <w:p w14:paraId="46A0FCE9" w14:textId="77777777" w:rsidR="003671A3" w:rsidRPr="009D249D" w:rsidRDefault="003671A3" w:rsidP="009D249D">
      <w:pPr>
        <w:rPr>
          <w:b/>
          <w:color w:val="1F497D" w:themeColor="text2"/>
          <w:sz w:val="26"/>
          <w:szCs w:val="26"/>
        </w:rPr>
      </w:pPr>
      <w:r w:rsidRPr="009D249D">
        <w:rPr>
          <w:b/>
          <w:color w:val="1F497D" w:themeColor="text2"/>
          <w:sz w:val="26"/>
          <w:szCs w:val="26"/>
        </w:rPr>
        <w:t>Results</w:t>
      </w:r>
    </w:p>
    <w:p w14:paraId="291342EC" w14:textId="77777777" w:rsidR="003671A3" w:rsidRPr="009D249D" w:rsidRDefault="003671A3" w:rsidP="009D249D">
      <w:pPr>
        <w:rPr>
          <w:b/>
          <w:i/>
          <w:color w:val="1F497D" w:themeColor="text2"/>
          <w:sz w:val="24"/>
          <w:szCs w:val="24"/>
        </w:rPr>
      </w:pPr>
      <w:r w:rsidRPr="009D249D">
        <w:rPr>
          <w:b/>
          <w:i/>
          <w:color w:val="1F497D" w:themeColor="text2"/>
          <w:sz w:val="24"/>
          <w:szCs w:val="24"/>
        </w:rPr>
        <w:t>Oxygen concentration time series</w:t>
      </w:r>
    </w:p>
    <w:p w14:paraId="795E9094" w14:textId="33595287" w:rsidR="008478D7" w:rsidRDefault="008478D7" w:rsidP="008478D7">
      <w:pPr>
        <w:rPr>
          <w:rFonts w:cstheme="minorHAnsi"/>
        </w:rPr>
      </w:pPr>
      <w:r>
        <w:rPr>
          <w:rFonts w:cstheme="minorHAnsi"/>
        </w:rPr>
        <w:t xml:space="preserve">Time series of </w:t>
      </w:r>
      <w:r w:rsidR="00AA47AD">
        <w:rPr>
          <w:rFonts w:cstheme="minorHAnsi"/>
        </w:rPr>
        <w:t xml:space="preserve">dissolved </w:t>
      </w:r>
      <w:r>
        <w:rPr>
          <w:rFonts w:cstheme="minorHAnsi"/>
        </w:rPr>
        <w:t>oxygen concentrations showed that the concentration</w:t>
      </w:r>
      <w:r w:rsidR="00AA47AD">
        <w:rPr>
          <w:rFonts w:cstheme="minorHAnsi"/>
        </w:rPr>
        <w:t>s</w:t>
      </w:r>
      <w:r>
        <w:rPr>
          <w:rFonts w:cstheme="minorHAnsi"/>
        </w:rPr>
        <w:t xml:space="preserve"> at both sites generally ranged between 7 and 10.6 mg L</w:t>
      </w:r>
      <w:r w:rsidRPr="007C2425">
        <w:rPr>
          <w:rFonts w:cstheme="minorHAnsi"/>
          <w:vertAlign w:val="superscript"/>
        </w:rPr>
        <w:t>-1</w:t>
      </w:r>
      <w:r>
        <w:rPr>
          <w:rFonts w:cstheme="minorHAnsi"/>
        </w:rPr>
        <w:t xml:space="preserve"> over the monitoring period, with seasonal declines in oxygen concentration corresponding to increasing spring and summer temperatures</w:t>
      </w:r>
      <w:r w:rsidR="00AA47AD">
        <w:rPr>
          <w:rFonts w:cstheme="minorHAnsi"/>
        </w:rPr>
        <w:t xml:space="preserve"> (Figure C1)</w:t>
      </w:r>
      <w:r>
        <w:rPr>
          <w:rFonts w:cstheme="minorHAnsi"/>
        </w:rPr>
        <w:t xml:space="preserve">. Exceptions occurred at the site </w:t>
      </w:r>
      <w:r w:rsidR="00430499">
        <w:rPr>
          <w:rFonts w:cstheme="minorHAnsi"/>
        </w:rPr>
        <w:t>below</w:t>
      </w:r>
      <w:r>
        <w:rPr>
          <w:rFonts w:cstheme="minorHAnsi"/>
        </w:rPr>
        <w:t xml:space="preserve"> Lock 1 where dissolved oxygen concentrations fell to values between 5.3 and 6 on three occasions (Figure C1). These periods of reduced oxygen concentration were </w:t>
      </w:r>
      <w:r w:rsidR="00A5162A">
        <w:rPr>
          <w:rFonts w:cstheme="minorHAnsi"/>
        </w:rPr>
        <w:t xml:space="preserve">not found to be </w:t>
      </w:r>
      <w:r>
        <w:rPr>
          <w:rFonts w:cstheme="minorHAnsi"/>
        </w:rPr>
        <w:t xml:space="preserve">associated with </w:t>
      </w:r>
      <w:r w:rsidR="00A5162A">
        <w:rPr>
          <w:rFonts w:cstheme="minorHAnsi"/>
        </w:rPr>
        <w:t xml:space="preserve">likely environmental influences such as </w:t>
      </w:r>
      <w:r>
        <w:rPr>
          <w:rFonts w:cstheme="minorHAnsi"/>
        </w:rPr>
        <w:t xml:space="preserve">reductions in solar </w:t>
      </w:r>
      <w:r>
        <w:rPr>
          <w:rFonts w:cstheme="minorHAnsi"/>
        </w:rPr>
        <w:lastRenderedPageBreak/>
        <w:t>irradiance</w:t>
      </w:r>
      <w:r w:rsidR="00A5162A">
        <w:rPr>
          <w:rFonts w:cstheme="minorHAnsi"/>
        </w:rPr>
        <w:t xml:space="preserve"> or changes in water quality, water depth or flow. </w:t>
      </w:r>
      <w:r>
        <w:rPr>
          <w:rFonts w:cstheme="minorHAnsi"/>
        </w:rPr>
        <w:t xml:space="preserve"> </w:t>
      </w:r>
      <w:r w:rsidR="00A5162A">
        <w:rPr>
          <w:rFonts w:cstheme="minorHAnsi"/>
        </w:rPr>
        <w:t xml:space="preserve"> </w:t>
      </w:r>
      <w:r w:rsidR="00A5162A">
        <w:rPr>
          <w:rFonts w:cstheme="minorHAnsi"/>
          <w:color w:val="auto"/>
        </w:rPr>
        <w:t>It is suspected that these low oxygen concentrations resulted from biofouling of the oxygen sonde</w:t>
      </w:r>
      <w:r w:rsidR="00A5162A" w:rsidRPr="006D4E95">
        <w:rPr>
          <w:rFonts w:cstheme="minorHAnsi"/>
          <w:color w:val="auto"/>
        </w:rPr>
        <w:t xml:space="preserve"> </w:t>
      </w:r>
      <w:r w:rsidR="00A5162A">
        <w:rPr>
          <w:rFonts w:cstheme="minorHAnsi"/>
          <w:color w:val="auto"/>
        </w:rPr>
        <w:t>housing. The probes themselves were protected with a copper mesh resulting in minimal direct biofouling, but field observations indicated that the battery housing to which the probes are attached became heavily coated in biofilms and filamentous algae. It seems likely that these influenced the oxygen concentrations in the surrounding water.</w:t>
      </w:r>
    </w:p>
    <w:p w14:paraId="6FD0A68A" w14:textId="77777777" w:rsidR="008478D7" w:rsidRDefault="008478D7" w:rsidP="008478D7">
      <w:r>
        <w:rPr>
          <w:noProof/>
          <w:lang w:eastAsia="en-AU"/>
        </w:rPr>
        <w:drawing>
          <wp:inline distT="0" distB="0" distL="0" distR="0" wp14:anchorId="29A7C08D" wp14:editId="2B80307B">
            <wp:extent cx="5727700" cy="4155676"/>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727700" cy="4155676"/>
                    </a:xfrm>
                    <a:prstGeom prst="rect">
                      <a:avLst/>
                    </a:prstGeom>
                    <a:noFill/>
                  </pic:spPr>
                </pic:pic>
              </a:graphicData>
            </a:graphic>
          </wp:inline>
        </w:drawing>
      </w:r>
    </w:p>
    <w:p w14:paraId="0BADF953" w14:textId="6F12671B" w:rsidR="003671A3" w:rsidRDefault="003671A3" w:rsidP="00B46038">
      <w:pPr>
        <w:pStyle w:val="Captions"/>
      </w:pPr>
      <w:r>
        <w:t xml:space="preserve">Figure </w:t>
      </w:r>
      <w:r w:rsidR="00B9142C">
        <w:t>C</w:t>
      </w:r>
      <w:r>
        <w:t xml:space="preserve">1. </w:t>
      </w:r>
      <w:r w:rsidR="008478D7" w:rsidRPr="00DB7CA2">
        <w:t>Time series of 10</w:t>
      </w:r>
      <w:r w:rsidR="008478D7">
        <w:t>-</w:t>
      </w:r>
      <w:r w:rsidR="008478D7" w:rsidRPr="00DB7CA2">
        <w:t>minute interval oxygen concentrations at site</w:t>
      </w:r>
      <w:r w:rsidR="008478D7">
        <w:t>s</w:t>
      </w:r>
      <w:r w:rsidR="008478D7" w:rsidRPr="00DB7CA2">
        <w:t xml:space="preserve"> </w:t>
      </w:r>
      <w:r w:rsidR="00430499">
        <w:t>below</w:t>
      </w:r>
      <w:r w:rsidR="008478D7" w:rsidRPr="00DB7CA2">
        <w:t xml:space="preserve"> Lock 6</w:t>
      </w:r>
      <w:r w:rsidR="008478D7">
        <w:t xml:space="preserve"> and </w:t>
      </w:r>
      <w:r w:rsidR="00430499">
        <w:t>below</w:t>
      </w:r>
      <w:r w:rsidR="008478D7">
        <w:t xml:space="preserve"> Lock 1, and the daily solar light dose of photosynthetically active radiation (PAR) at Lock 1</w:t>
      </w:r>
      <w:r w:rsidR="00DB7CA2" w:rsidRPr="00DB7CA2">
        <w:t>.</w:t>
      </w:r>
    </w:p>
    <w:p w14:paraId="54868913" w14:textId="77777777" w:rsidR="003671A3" w:rsidRPr="009D249D" w:rsidRDefault="003671A3" w:rsidP="009D249D">
      <w:pPr>
        <w:rPr>
          <w:b/>
          <w:i/>
          <w:color w:val="1F497D" w:themeColor="text2"/>
          <w:sz w:val="24"/>
          <w:szCs w:val="24"/>
        </w:rPr>
      </w:pPr>
      <w:r w:rsidRPr="009D249D">
        <w:rPr>
          <w:b/>
          <w:i/>
          <w:color w:val="1F497D" w:themeColor="text2"/>
          <w:sz w:val="24"/>
          <w:szCs w:val="24"/>
        </w:rPr>
        <w:t>Metabolism</w:t>
      </w:r>
    </w:p>
    <w:p w14:paraId="468A3E80" w14:textId="34F72786" w:rsidR="008478D7" w:rsidRDefault="008478D7" w:rsidP="008478D7">
      <w:pPr>
        <w:rPr>
          <w:rFonts w:cstheme="minorHAnsi"/>
        </w:rPr>
      </w:pPr>
      <w:r>
        <w:rPr>
          <w:rFonts w:cstheme="minorHAnsi"/>
        </w:rPr>
        <w:t>At both sampling sites</w:t>
      </w:r>
      <w:r w:rsidR="00E405E0">
        <w:rPr>
          <w:rFonts w:cstheme="minorHAnsi"/>
        </w:rPr>
        <w:t>,</w:t>
      </w:r>
      <w:r>
        <w:rPr>
          <w:rFonts w:cstheme="minorHAnsi"/>
        </w:rPr>
        <w:t xml:space="preserve"> metabolic activity gradually increased over the sampling period,</w:t>
      </w:r>
      <w:r w:rsidRPr="00612816">
        <w:rPr>
          <w:rFonts w:cstheme="minorHAnsi"/>
        </w:rPr>
        <w:t xml:space="preserve"> </w:t>
      </w:r>
      <w:r>
        <w:rPr>
          <w:rFonts w:cstheme="minorHAnsi"/>
        </w:rPr>
        <w:t xml:space="preserve">although there were </w:t>
      </w:r>
      <w:r w:rsidR="00776622">
        <w:rPr>
          <w:rFonts w:cstheme="minorHAnsi"/>
        </w:rPr>
        <w:t xml:space="preserve">clear </w:t>
      </w:r>
      <w:r>
        <w:rPr>
          <w:rFonts w:cstheme="minorHAnsi"/>
        </w:rPr>
        <w:t>differences in the specific patterns of metabolic activity between the two sites (Figures C2</w:t>
      </w:r>
      <w:r w:rsidR="00C70795">
        <w:rPr>
          <w:rFonts w:cstheme="minorHAnsi"/>
        </w:rPr>
        <w:t>,</w:t>
      </w:r>
      <w:r>
        <w:rPr>
          <w:rFonts w:cstheme="minorHAnsi"/>
        </w:rPr>
        <w:t xml:space="preserve"> C3</w:t>
      </w:r>
      <w:r w:rsidR="00C70795">
        <w:rPr>
          <w:rFonts w:cstheme="minorHAnsi"/>
        </w:rPr>
        <w:t xml:space="preserve"> and C6</w:t>
      </w:r>
      <w:r>
        <w:rPr>
          <w:rFonts w:cstheme="minorHAnsi"/>
        </w:rPr>
        <w:t xml:space="preserve">). </w:t>
      </w:r>
    </w:p>
    <w:p w14:paraId="28CAC3D1" w14:textId="77777777" w:rsidR="00C04BD6" w:rsidRDefault="00C04BD6" w:rsidP="008478D7">
      <w:pPr>
        <w:rPr>
          <w:rFonts w:cstheme="minorHAnsi"/>
          <w:i/>
          <w:sz w:val="24"/>
          <w:u w:val="single"/>
        </w:rPr>
      </w:pPr>
    </w:p>
    <w:p w14:paraId="05C6E313" w14:textId="77777777" w:rsidR="00C04BD6" w:rsidRDefault="00C04BD6" w:rsidP="008478D7">
      <w:pPr>
        <w:rPr>
          <w:rFonts w:cstheme="minorHAnsi"/>
          <w:i/>
          <w:sz w:val="24"/>
          <w:u w:val="single"/>
        </w:rPr>
      </w:pPr>
    </w:p>
    <w:p w14:paraId="6D758C3E" w14:textId="51920B27" w:rsidR="00E71927" w:rsidRPr="00FB062A" w:rsidRDefault="00E71927" w:rsidP="008478D7">
      <w:pPr>
        <w:rPr>
          <w:rFonts w:cstheme="minorHAnsi"/>
          <w:i/>
          <w:sz w:val="24"/>
          <w:u w:val="single"/>
        </w:rPr>
      </w:pPr>
      <w:r w:rsidRPr="00FB062A">
        <w:rPr>
          <w:rFonts w:cstheme="minorHAnsi"/>
          <w:i/>
          <w:sz w:val="24"/>
          <w:u w:val="single"/>
        </w:rPr>
        <w:lastRenderedPageBreak/>
        <w:t>Lock 6</w:t>
      </w:r>
    </w:p>
    <w:p w14:paraId="408C8293" w14:textId="505D8452" w:rsidR="008478D7" w:rsidRDefault="00430499" w:rsidP="008478D7">
      <w:pPr>
        <w:rPr>
          <w:rFonts w:cstheme="minorHAnsi"/>
        </w:rPr>
      </w:pPr>
      <w:r>
        <w:rPr>
          <w:rFonts w:cstheme="minorHAnsi"/>
        </w:rPr>
        <w:t>Below</w:t>
      </w:r>
      <w:r w:rsidR="008478D7">
        <w:rPr>
          <w:rFonts w:cstheme="minorHAnsi"/>
        </w:rPr>
        <w:t xml:space="preserve"> Lock 6, GPP initially remained relatively stable averaging about 1</w:t>
      </w:r>
      <w:r w:rsidR="00E405E0">
        <w:rPr>
          <w:rFonts w:cstheme="minorHAnsi"/>
        </w:rPr>
        <w:t> </w:t>
      </w:r>
      <w:r w:rsidR="007C6D50" w:rsidRPr="007C6D50">
        <w:rPr>
          <w:rFonts w:cstheme="minorHAnsi"/>
        </w:rPr>
        <w:t>mgO</w:t>
      </w:r>
      <w:r w:rsidR="007C6D50" w:rsidRPr="007C6D50">
        <w:rPr>
          <w:rFonts w:cstheme="minorHAnsi"/>
          <w:vertAlign w:val="subscript"/>
        </w:rPr>
        <w:t>2</w:t>
      </w:r>
      <w:r w:rsidR="007C6D50">
        <w:rPr>
          <w:rFonts w:cstheme="minorHAnsi"/>
          <w:vertAlign w:val="subscript"/>
        </w:rPr>
        <w:t> </w:t>
      </w:r>
      <w:r w:rsidR="007C6D50" w:rsidRPr="007C6D50">
        <w:rPr>
          <w:rFonts w:cstheme="minorHAnsi"/>
        </w:rPr>
        <w:t>m</w:t>
      </w:r>
      <w:r w:rsidR="007C6D50">
        <w:rPr>
          <w:rFonts w:cstheme="minorHAnsi"/>
          <w:vertAlign w:val="superscript"/>
        </w:rPr>
        <w:noBreakHyphen/>
      </w:r>
      <w:r w:rsidR="007C6D50" w:rsidRPr="007C6D50">
        <w:rPr>
          <w:rFonts w:cstheme="minorHAnsi"/>
          <w:vertAlign w:val="superscript"/>
        </w:rPr>
        <w:t>2</w:t>
      </w:r>
      <w:r w:rsidR="007C6D50">
        <w:rPr>
          <w:rFonts w:cstheme="minorHAnsi"/>
          <w:vertAlign w:val="subscript"/>
        </w:rPr>
        <w:t> </w:t>
      </w:r>
      <w:r w:rsidR="007C6D50" w:rsidRPr="007C6D50">
        <w:rPr>
          <w:rFonts w:cstheme="minorHAnsi"/>
        </w:rPr>
        <w:t>day</w:t>
      </w:r>
      <w:r w:rsidR="007C6D50">
        <w:rPr>
          <w:rFonts w:cstheme="minorHAnsi"/>
          <w:vertAlign w:val="superscript"/>
        </w:rPr>
        <w:noBreakHyphen/>
      </w:r>
      <w:r w:rsidR="007C6D50" w:rsidRPr="007C6D50">
        <w:rPr>
          <w:rFonts w:cstheme="minorHAnsi"/>
          <w:vertAlign w:val="superscript"/>
        </w:rPr>
        <w:t>1</w:t>
      </w:r>
      <w:r w:rsidR="008478D7">
        <w:rPr>
          <w:rFonts w:cstheme="minorHAnsi"/>
        </w:rPr>
        <w:t xml:space="preserve"> then slowly increased, with large oscillations, up to 2 </w:t>
      </w:r>
      <w:r w:rsidR="007C6D50" w:rsidRPr="007C6D50">
        <w:rPr>
          <w:rFonts w:cstheme="minorHAnsi"/>
        </w:rPr>
        <w:t>mgO</w:t>
      </w:r>
      <w:r w:rsidR="007C6D50" w:rsidRPr="007C6D50">
        <w:rPr>
          <w:rFonts w:cstheme="minorHAnsi"/>
          <w:vertAlign w:val="subscript"/>
        </w:rPr>
        <w:t>2</w:t>
      </w:r>
      <w:r w:rsidR="007C6D50">
        <w:rPr>
          <w:rFonts w:cstheme="minorHAnsi"/>
          <w:vertAlign w:val="subscript"/>
        </w:rPr>
        <w:t> </w:t>
      </w:r>
      <w:r w:rsidR="007C6D50" w:rsidRPr="007C6D50">
        <w:rPr>
          <w:rFonts w:cstheme="minorHAnsi"/>
        </w:rPr>
        <w:t>m</w:t>
      </w:r>
      <w:r w:rsidR="007C6D50">
        <w:rPr>
          <w:rFonts w:cstheme="minorHAnsi"/>
          <w:vertAlign w:val="superscript"/>
        </w:rPr>
        <w:noBreakHyphen/>
      </w:r>
      <w:r w:rsidR="007C6D50" w:rsidRPr="007C6D50">
        <w:rPr>
          <w:rFonts w:cstheme="minorHAnsi"/>
          <w:vertAlign w:val="superscript"/>
        </w:rPr>
        <w:t>2</w:t>
      </w:r>
      <w:r w:rsidR="007C6D50">
        <w:rPr>
          <w:rFonts w:cstheme="minorHAnsi"/>
          <w:vertAlign w:val="subscript"/>
        </w:rPr>
        <w:t> </w:t>
      </w:r>
      <w:r w:rsidR="007C6D50" w:rsidRPr="007C6D50">
        <w:rPr>
          <w:rFonts w:cstheme="minorHAnsi"/>
        </w:rPr>
        <w:t>day</w:t>
      </w:r>
      <w:r w:rsidR="007C6D50">
        <w:rPr>
          <w:rFonts w:cstheme="minorHAnsi"/>
          <w:vertAlign w:val="superscript"/>
        </w:rPr>
        <w:noBreakHyphen/>
      </w:r>
      <w:r w:rsidR="007C6D50" w:rsidRPr="007C6D50">
        <w:rPr>
          <w:rFonts w:cstheme="minorHAnsi"/>
          <w:vertAlign w:val="superscript"/>
        </w:rPr>
        <w:t>1</w:t>
      </w:r>
      <w:r w:rsidR="008478D7">
        <w:rPr>
          <w:rFonts w:cstheme="minorHAnsi"/>
        </w:rPr>
        <w:t xml:space="preserve"> by early November (Figure C2). There was then a steep decline in GPP to mid-November before it increased again to a peak of 2.5 </w:t>
      </w:r>
      <w:r w:rsidR="007C6D50" w:rsidRPr="007C6D50">
        <w:rPr>
          <w:rFonts w:cstheme="minorHAnsi"/>
        </w:rPr>
        <w:t>mgO</w:t>
      </w:r>
      <w:r w:rsidR="007C6D50" w:rsidRPr="007C6D50">
        <w:rPr>
          <w:rFonts w:cstheme="minorHAnsi"/>
          <w:vertAlign w:val="subscript"/>
        </w:rPr>
        <w:t>2</w:t>
      </w:r>
      <w:r w:rsidR="007C6D50">
        <w:rPr>
          <w:rFonts w:cstheme="minorHAnsi"/>
          <w:vertAlign w:val="subscript"/>
        </w:rPr>
        <w:t> </w:t>
      </w:r>
      <w:r w:rsidR="007C6D50" w:rsidRPr="007C6D50">
        <w:rPr>
          <w:rFonts w:cstheme="minorHAnsi"/>
        </w:rPr>
        <w:t>m</w:t>
      </w:r>
      <w:r w:rsidR="007C6D50">
        <w:rPr>
          <w:rFonts w:cstheme="minorHAnsi"/>
          <w:vertAlign w:val="superscript"/>
        </w:rPr>
        <w:noBreakHyphen/>
      </w:r>
      <w:r w:rsidR="007C6D50" w:rsidRPr="007C6D50">
        <w:rPr>
          <w:rFonts w:cstheme="minorHAnsi"/>
          <w:vertAlign w:val="superscript"/>
        </w:rPr>
        <w:t>2</w:t>
      </w:r>
      <w:r w:rsidR="007C6D50">
        <w:rPr>
          <w:rFonts w:cstheme="minorHAnsi"/>
          <w:vertAlign w:val="subscript"/>
        </w:rPr>
        <w:t> </w:t>
      </w:r>
      <w:r w:rsidR="007C6D50" w:rsidRPr="007C6D50">
        <w:rPr>
          <w:rFonts w:cstheme="minorHAnsi"/>
        </w:rPr>
        <w:t>day</w:t>
      </w:r>
      <w:r w:rsidR="007C6D50">
        <w:rPr>
          <w:rFonts w:cstheme="minorHAnsi"/>
          <w:vertAlign w:val="superscript"/>
        </w:rPr>
        <w:noBreakHyphen/>
      </w:r>
      <w:r w:rsidR="007C6D50" w:rsidRPr="007C6D50">
        <w:rPr>
          <w:rFonts w:cstheme="minorHAnsi"/>
          <w:vertAlign w:val="superscript"/>
        </w:rPr>
        <w:t>1</w:t>
      </w:r>
      <w:r w:rsidR="008478D7">
        <w:rPr>
          <w:rFonts w:cstheme="minorHAnsi"/>
        </w:rPr>
        <w:t xml:space="preserve"> by late November followed by a further precipitous fall in GPP at the end of November. </w:t>
      </w:r>
    </w:p>
    <w:p w14:paraId="0ABD3D73" w14:textId="77777777" w:rsidR="008478D7" w:rsidRDefault="008478D7" w:rsidP="008478D7">
      <w:r>
        <w:rPr>
          <w:noProof/>
          <w:lang w:eastAsia="en-AU"/>
        </w:rPr>
        <w:drawing>
          <wp:inline distT="0" distB="0" distL="0" distR="0" wp14:anchorId="0D4DB074" wp14:editId="78771067">
            <wp:extent cx="5611795" cy="4073236"/>
            <wp:effectExtent l="0" t="0" r="825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622148" cy="4080751"/>
                    </a:xfrm>
                    <a:prstGeom prst="rect">
                      <a:avLst/>
                    </a:prstGeom>
                    <a:noFill/>
                  </pic:spPr>
                </pic:pic>
              </a:graphicData>
            </a:graphic>
          </wp:inline>
        </w:drawing>
      </w:r>
    </w:p>
    <w:p w14:paraId="20647160" w14:textId="51BBE604" w:rsidR="003671A3" w:rsidRDefault="003671A3" w:rsidP="00B46038">
      <w:pPr>
        <w:pStyle w:val="Captions"/>
      </w:pPr>
      <w:r>
        <w:t xml:space="preserve">Figure </w:t>
      </w:r>
      <w:r w:rsidR="00B9142C">
        <w:t>C</w:t>
      </w:r>
      <w:r w:rsidR="008478D7">
        <w:t>2</w:t>
      </w:r>
      <w:r>
        <w:t xml:space="preserve">. Time series of rates of gross primary production, ecosystem respiration and ecosystem net production </w:t>
      </w:r>
      <w:r w:rsidR="00776622">
        <w:t xml:space="preserve">with river flows including or excluding elements of environmental flows </w:t>
      </w:r>
      <w:r>
        <w:t xml:space="preserve">at the site </w:t>
      </w:r>
      <w:r w:rsidR="00430499">
        <w:t>below</w:t>
      </w:r>
      <w:r>
        <w:t xml:space="preserve"> Lock 6</w:t>
      </w:r>
      <w:r w:rsidR="00731846">
        <w:t>.</w:t>
      </w:r>
    </w:p>
    <w:p w14:paraId="2988F76A" w14:textId="4E95AA72" w:rsidR="00FB062A" w:rsidRDefault="00FB062A" w:rsidP="00FB062A">
      <w:pPr>
        <w:rPr>
          <w:rFonts w:cstheme="minorHAnsi"/>
        </w:rPr>
      </w:pPr>
      <w:r>
        <w:rPr>
          <w:rFonts w:cstheme="minorHAnsi"/>
        </w:rPr>
        <w:t>During this period, respiration rates were initially particularly low resulting in positive ENP, but then ER increased at a greater rate than GPP so that ENP declined until early November (Figure C2). Following this ER mirrored the changes in GPP, declining to mid-November, increasing again, then declining to the end of November. Consequently, ENP oscillated around zero, apart from a large, but short lived increase in respiration on 25 and 26 November</w:t>
      </w:r>
      <w:r w:rsidRPr="00234190">
        <w:rPr>
          <w:rFonts w:cstheme="minorHAnsi"/>
        </w:rPr>
        <w:t xml:space="preserve"> </w:t>
      </w:r>
      <w:r>
        <w:rPr>
          <w:rFonts w:cstheme="minorHAnsi"/>
        </w:rPr>
        <w:t xml:space="preserve">to 4.84 </w:t>
      </w:r>
      <w:r w:rsidR="007C6D50" w:rsidRPr="007C6D50">
        <w:rPr>
          <w:rFonts w:cstheme="minorHAnsi"/>
        </w:rPr>
        <w:t>mgO</w:t>
      </w:r>
      <w:r w:rsidR="007C6D50" w:rsidRPr="007C6D50">
        <w:rPr>
          <w:rFonts w:cstheme="minorHAnsi"/>
          <w:vertAlign w:val="subscript"/>
        </w:rPr>
        <w:t>2</w:t>
      </w:r>
      <w:r w:rsidR="007C6D50">
        <w:rPr>
          <w:rFonts w:cstheme="minorHAnsi"/>
          <w:vertAlign w:val="subscript"/>
        </w:rPr>
        <w:t> </w:t>
      </w:r>
      <w:r w:rsidR="007C6D50" w:rsidRPr="007C6D50">
        <w:rPr>
          <w:rFonts w:cstheme="minorHAnsi"/>
        </w:rPr>
        <w:t>m</w:t>
      </w:r>
      <w:r w:rsidR="007C6D50">
        <w:rPr>
          <w:rFonts w:cstheme="minorHAnsi"/>
          <w:vertAlign w:val="superscript"/>
        </w:rPr>
        <w:noBreakHyphen/>
      </w:r>
      <w:r w:rsidR="007C6D50" w:rsidRPr="007C6D50">
        <w:rPr>
          <w:rFonts w:cstheme="minorHAnsi"/>
          <w:vertAlign w:val="superscript"/>
        </w:rPr>
        <w:t>2</w:t>
      </w:r>
      <w:r w:rsidR="007C6D50">
        <w:rPr>
          <w:rFonts w:cstheme="minorHAnsi"/>
          <w:vertAlign w:val="subscript"/>
        </w:rPr>
        <w:t> </w:t>
      </w:r>
      <w:r w:rsidR="007C6D50" w:rsidRPr="007C6D50">
        <w:rPr>
          <w:rFonts w:cstheme="minorHAnsi"/>
        </w:rPr>
        <w:t>day</w:t>
      </w:r>
      <w:r w:rsidR="007C6D50">
        <w:rPr>
          <w:rFonts w:cstheme="minorHAnsi"/>
          <w:vertAlign w:val="superscript"/>
        </w:rPr>
        <w:noBreakHyphen/>
      </w:r>
      <w:r w:rsidR="007C6D50" w:rsidRPr="007C6D50">
        <w:rPr>
          <w:rFonts w:cstheme="minorHAnsi"/>
          <w:vertAlign w:val="superscript"/>
        </w:rPr>
        <w:t>1</w:t>
      </w:r>
      <w:r>
        <w:rPr>
          <w:rFonts w:cstheme="minorHAnsi"/>
        </w:rPr>
        <w:t xml:space="preserve"> that generated a negative ENP. </w:t>
      </w:r>
    </w:p>
    <w:p w14:paraId="0688637F" w14:textId="3964568C" w:rsidR="00FB062A" w:rsidRDefault="00FB062A" w:rsidP="00FB062A">
      <w:pPr>
        <w:rPr>
          <w:rFonts w:cstheme="minorHAnsi"/>
        </w:rPr>
      </w:pPr>
      <w:r>
        <w:rPr>
          <w:rFonts w:cstheme="minorHAnsi"/>
        </w:rPr>
        <w:lastRenderedPageBreak/>
        <w:t>This period of rapidly changing metabolism correspo</w:t>
      </w:r>
      <w:r w:rsidR="0017201E">
        <w:rPr>
          <w:rFonts w:cstheme="minorHAnsi"/>
        </w:rPr>
        <w:t>nded to a period when Weir Pool </w:t>
      </w:r>
      <w:r>
        <w:rPr>
          <w:rFonts w:cstheme="minorHAnsi"/>
        </w:rPr>
        <w:t>5 was being raised using supplies of C</w:t>
      </w:r>
      <w:r w:rsidR="0034001F">
        <w:rPr>
          <w:rFonts w:cstheme="minorHAnsi"/>
        </w:rPr>
        <w:t>ommonwealth environmental water</w:t>
      </w:r>
      <w:r>
        <w:rPr>
          <w:rFonts w:cstheme="minorHAnsi"/>
        </w:rPr>
        <w:t xml:space="preserve"> to vary the water level for environmental purposes (Figure C3</w:t>
      </w:r>
      <w:r w:rsidR="00583A16">
        <w:rPr>
          <w:rFonts w:cstheme="minorHAnsi"/>
        </w:rPr>
        <w:t>a</w:t>
      </w:r>
      <w:r>
        <w:rPr>
          <w:rFonts w:cstheme="minorHAnsi"/>
        </w:rPr>
        <w:t>). The metabolism monitoring commenced just after the weir level had been raised 0.1 m, and then recorded the changes associated with the following 0.35 m rise and fall. The water level rise peaked around 16 October and remained at the maximum level until 8 November before being lowered back to the starting level by 23 November. It is noteworthy that the continuous increase in respiration rate observed at the site during this time continued up until 8 November, aligning with the increased connection between the floodplain and the river. Then as water level declined there was a decrease in respiration rate, but as the rate of decline slowed and stopped the respiration rate began to increase again with a peak occurring on 25 and 26 November aligned with the cessation of water level decline.</w:t>
      </w:r>
      <w:r w:rsidR="00A23E38">
        <w:rPr>
          <w:rFonts w:cstheme="minorHAnsi"/>
        </w:rPr>
        <w:t xml:space="preserve"> </w:t>
      </w:r>
      <w:r w:rsidR="00D51E9E">
        <w:rPr>
          <w:rFonts w:cstheme="minorHAnsi"/>
        </w:rPr>
        <w:t>The increased respiration rates after the water level returned to pool level aligned with the period that water was released from the Chowilla Regulator</w:t>
      </w:r>
      <w:r w:rsidR="00583A16">
        <w:rPr>
          <w:rFonts w:cstheme="minorHAnsi"/>
        </w:rPr>
        <w:t xml:space="preserve"> (Figure C3b)</w:t>
      </w:r>
      <w:r w:rsidR="00D51E9E">
        <w:rPr>
          <w:rFonts w:cstheme="minorHAnsi"/>
        </w:rPr>
        <w:t>. The return of water from the Chowilla Anabranch following an in-channel flow rise was also associated with an increase in GPP</w:t>
      </w:r>
      <w:r w:rsidR="00D51E9E" w:rsidRPr="0075516A">
        <w:rPr>
          <w:rFonts w:cstheme="minorHAnsi"/>
        </w:rPr>
        <w:t xml:space="preserve"> </w:t>
      </w:r>
      <w:r w:rsidR="00D51E9E">
        <w:rPr>
          <w:rFonts w:cstheme="minorHAnsi"/>
        </w:rPr>
        <w:t xml:space="preserve">and so may be contributing to the general increased metabolism. </w:t>
      </w:r>
      <w:r w:rsidR="0075516A">
        <w:rPr>
          <w:rFonts w:cstheme="minorHAnsi"/>
        </w:rPr>
        <w:t xml:space="preserve">Further detailed analyses are required but await improved flow </w:t>
      </w:r>
      <w:r w:rsidR="005C5935">
        <w:rPr>
          <w:rFonts w:cstheme="minorHAnsi"/>
        </w:rPr>
        <w:t xml:space="preserve">data </w:t>
      </w:r>
      <w:r w:rsidR="0075516A">
        <w:rPr>
          <w:rFonts w:cstheme="minorHAnsi"/>
        </w:rPr>
        <w:t xml:space="preserve">and </w:t>
      </w:r>
      <w:r w:rsidR="001837C9">
        <w:rPr>
          <w:rFonts w:cstheme="minorHAnsi"/>
        </w:rPr>
        <w:t xml:space="preserve">further </w:t>
      </w:r>
      <w:r w:rsidR="0075516A">
        <w:rPr>
          <w:rFonts w:cstheme="minorHAnsi"/>
        </w:rPr>
        <w:t>confirm</w:t>
      </w:r>
      <w:r w:rsidR="005C5935">
        <w:rPr>
          <w:rFonts w:cstheme="minorHAnsi"/>
        </w:rPr>
        <w:t>ation of the</w:t>
      </w:r>
      <w:r w:rsidR="0075516A">
        <w:rPr>
          <w:rFonts w:cstheme="minorHAnsi"/>
        </w:rPr>
        <w:t xml:space="preserve"> metabolism </w:t>
      </w:r>
      <w:r w:rsidR="005C5935">
        <w:rPr>
          <w:rFonts w:cstheme="minorHAnsi"/>
        </w:rPr>
        <w:t>results</w:t>
      </w:r>
      <w:r w:rsidR="0075516A">
        <w:rPr>
          <w:rFonts w:cstheme="minorHAnsi"/>
        </w:rPr>
        <w:t xml:space="preserve">. </w:t>
      </w:r>
      <w:r w:rsidR="00725466">
        <w:rPr>
          <w:rFonts w:cstheme="minorHAnsi"/>
        </w:rPr>
        <w:t xml:space="preserve">The continuing collection of data through the LTIM </w:t>
      </w:r>
      <w:r w:rsidR="006936DD">
        <w:rPr>
          <w:rFonts w:cstheme="minorHAnsi"/>
        </w:rPr>
        <w:t>project</w:t>
      </w:r>
      <w:r w:rsidR="00725466">
        <w:rPr>
          <w:rFonts w:cstheme="minorHAnsi"/>
        </w:rPr>
        <w:t xml:space="preserve"> should help to better understand these processes.</w:t>
      </w:r>
    </w:p>
    <w:p w14:paraId="4881BF53" w14:textId="0F33FFE4" w:rsidR="008478D7" w:rsidRDefault="00A279B9" w:rsidP="00A96DC2">
      <w:pPr>
        <w:jc w:val="center"/>
        <w:rPr>
          <w:rFonts w:cstheme="minorHAnsi"/>
        </w:rPr>
      </w:pPr>
      <w:r>
        <w:rPr>
          <w:noProof/>
          <w:lang w:eastAsia="en-AU"/>
        </w:rPr>
        <w:lastRenderedPageBreak/>
        <w:drawing>
          <wp:inline distT="0" distB="0" distL="0" distR="0" wp14:anchorId="169A49B8" wp14:editId="4548D37E">
            <wp:extent cx="5664530" cy="4240903"/>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5675027" cy="4248762"/>
                    </a:xfrm>
                    <a:prstGeom prst="rect">
                      <a:avLst/>
                    </a:prstGeom>
                    <a:noFill/>
                    <a:ln>
                      <a:noFill/>
                    </a:ln>
                    <a:extLst>
                      <a:ext uri="{53640926-AAD7-44D8-BBD7-CCE9431645EC}">
                        <a14:shadowObscured xmlns:a14="http://schemas.microsoft.com/office/drawing/2010/main"/>
                      </a:ext>
                    </a:extLst>
                  </pic:spPr>
                </pic:pic>
              </a:graphicData>
            </a:graphic>
          </wp:inline>
        </w:drawing>
      </w:r>
    </w:p>
    <w:p w14:paraId="3495AB32" w14:textId="31339D21" w:rsidR="008478D7" w:rsidRDefault="008478D7" w:rsidP="00B46038">
      <w:pPr>
        <w:pStyle w:val="Captions"/>
      </w:pPr>
      <w:r>
        <w:t xml:space="preserve">Figure C3. Comparison of time series of rates of gross primary production, ecosystem respiration and ecosystem net production </w:t>
      </w:r>
      <w:r w:rsidR="00643C4A">
        <w:t xml:space="preserve">at the site below Lock 6 and in Weir Pool 5 </w:t>
      </w:r>
      <w:r>
        <w:t xml:space="preserve">with </w:t>
      </w:r>
      <w:r w:rsidR="00643C4A">
        <w:t>(a</w:t>
      </w:r>
      <w:r w:rsidR="00AF024C">
        <w:t xml:space="preserve"> - top</w:t>
      </w:r>
      <w:r w:rsidR="00643C4A">
        <w:t xml:space="preserve">) </w:t>
      </w:r>
      <w:r>
        <w:t>water levels</w:t>
      </w:r>
      <w:r w:rsidR="00643C4A">
        <w:t xml:space="preserve"> upstream of Lock 5</w:t>
      </w:r>
      <w:r>
        <w:t xml:space="preserve"> </w:t>
      </w:r>
      <w:r w:rsidR="00643C4A">
        <w:t>and (b</w:t>
      </w:r>
      <w:r w:rsidR="00AF024C">
        <w:t xml:space="preserve"> - bottom</w:t>
      </w:r>
      <w:r w:rsidR="00643C4A">
        <w:t>) flow in Chowilla Creek</w:t>
      </w:r>
      <w:r>
        <w:t>.</w:t>
      </w:r>
    </w:p>
    <w:p w14:paraId="1E3ABEFE" w14:textId="4A15245A" w:rsidR="00FB062A" w:rsidRDefault="00FB062A" w:rsidP="00FB062A">
      <w:pPr>
        <w:rPr>
          <w:rFonts w:cstheme="minorHAnsi"/>
        </w:rPr>
      </w:pPr>
      <w:r>
        <w:rPr>
          <w:rFonts w:cstheme="minorHAnsi"/>
        </w:rPr>
        <w:t>Following the period of water level manipulation in the weir, GPP and ER both increased. Due to the loss of data between mid-December and mid-January it cannot be determined whether metabolism rates increased consistently during this tim</w:t>
      </w:r>
      <w:r w:rsidR="00776622">
        <w:rPr>
          <w:rFonts w:cstheme="minorHAnsi"/>
        </w:rPr>
        <w:t>e or if there were step changes. However,</w:t>
      </w:r>
      <w:r>
        <w:rPr>
          <w:rFonts w:cstheme="minorHAnsi"/>
        </w:rPr>
        <w:t xml:space="preserve"> when measurements recommenced following replacement of the faulty probe, GPP had increased by 50% and continued to slowly rise</w:t>
      </w:r>
      <w:r w:rsidRPr="005121AB">
        <w:rPr>
          <w:rFonts w:cstheme="minorHAnsi"/>
        </w:rPr>
        <w:t xml:space="preserve"> </w:t>
      </w:r>
      <w:r>
        <w:rPr>
          <w:rFonts w:cstheme="minorHAnsi"/>
        </w:rPr>
        <w:t xml:space="preserve">to about </w:t>
      </w:r>
      <w:r w:rsidR="00B52FFE">
        <w:rPr>
          <w:rFonts w:cstheme="minorHAnsi"/>
        </w:rPr>
        <w:t xml:space="preserve">4 </w:t>
      </w:r>
      <w:r w:rsidR="007C6D50" w:rsidRPr="007C6D50">
        <w:rPr>
          <w:rFonts w:cstheme="minorHAnsi"/>
        </w:rPr>
        <w:t>mgO</w:t>
      </w:r>
      <w:r w:rsidR="007C6D50" w:rsidRPr="007C6D50">
        <w:rPr>
          <w:rFonts w:cstheme="minorHAnsi"/>
          <w:vertAlign w:val="subscript"/>
        </w:rPr>
        <w:t xml:space="preserve">2 </w:t>
      </w:r>
      <w:r w:rsidR="007C6D50" w:rsidRPr="007C6D50">
        <w:rPr>
          <w:rFonts w:cstheme="minorHAnsi"/>
        </w:rPr>
        <w:t>m</w:t>
      </w:r>
      <w:r w:rsidR="007C6D50" w:rsidRPr="007C6D50">
        <w:rPr>
          <w:rFonts w:cstheme="minorHAnsi"/>
          <w:vertAlign w:val="superscript"/>
        </w:rPr>
        <w:t>-2</w:t>
      </w:r>
      <w:r w:rsidR="007C6D50" w:rsidRPr="007C6D50">
        <w:rPr>
          <w:rFonts w:cstheme="minorHAnsi"/>
          <w:vertAlign w:val="subscript"/>
        </w:rPr>
        <w:t xml:space="preserve"> </w:t>
      </w:r>
      <w:r w:rsidR="007C6D50" w:rsidRPr="007C6D50">
        <w:rPr>
          <w:rFonts w:cstheme="minorHAnsi"/>
        </w:rPr>
        <w:t>day</w:t>
      </w:r>
      <w:r w:rsidR="007C6D50" w:rsidRPr="007C6D50">
        <w:rPr>
          <w:rFonts w:cstheme="minorHAnsi"/>
          <w:vertAlign w:val="superscript"/>
        </w:rPr>
        <w:t>-1</w:t>
      </w:r>
      <w:r w:rsidR="007C6D50">
        <w:rPr>
          <w:rFonts w:cstheme="minorHAnsi"/>
          <w:vertAlign w:val="superscript"/>
        </w:rPr>
        <w:t xml:space="preserve"> </w:t>
      </w:r>
      <w:r>
        <w:rPr>
          <w:rFonts w:cstheme="minorHAnsi"/>
        </w:rPr>
        <w:t>in mid-February. It is suspected that the increase in metabolism just prior to and following the data loss was due to improving light conditions resulting from a continuous fall in turbidity that enhanced the extent of light penetration. ER changes mirrored those of GPP so that ENP remained close to zero, apart from a prolonged period of positive net production that occurred in the latter half of February associated with an increase in ch</w:t>
      </w:r>
      <w:r w:rsidR="0017201E">
        <w:rPr>
          <w:rFonts w:cstheme="minorHAnsi"/>
        </w:rPr>
        <w:t>lorophyll concentration (Figure </w:t>
      </w:r>
      <w:r>
        <w:rPr>
          <w:rFonts w:cstheme="minorHAnsi"/>
        </w:rPr>
        <w:t>C4).</w:t>
      </w:r>
    </w:p>
    <w:p w14:paraId="67F86FBF" w14:textId="77777777" w:rsidR="00FB062A" w:rsidRDefault="00FB062A" w:rsidP="00FB062A">
      <w:pPr>
        <w:rPr>
          <w:rFonts w:cstheme="minorHAnsi"/>
        </w:rPr>
      </w:pPr>
      <w:r>
        <w:rPr>
          <w:rFonts w:cstheme="minorHAnsi"/>
          <w:noProof/>
          <w:lang w:eastAsia="en-AU"/>
        </w:rPr>
        <w:lastRenderedPageBreak/>
        <w:drawing>
          <wp:inline distT="0" distB="0" distL="0" distR="0" wp14:anchorId="02A7EA80" wp14:editId="7EDBD43D">
            <wp:extent cx="5727700" cy="4157589"/>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727700" cy="4157589"/>
                    </a:xfrm>
                    <a:prstGeom prst="rect">
                      <a:avLst/>
                    </a:prstGeom>
                    <a:noFill/>
                  </pic:spPr>
                </pic:pic>
              </a:graphicData>
            </a:graphic>
          </wp:inline>
        </w:drawing>
      </w:r>
    </w:p>
    <w:p w14:paraId="40E3EA7F" w14:textId="7071D82B" w:rsidR="00FB062A" w:rsidRPr="00DB7CA2" w:rsidRDefault="00FB062A" w:rsidP="00B46038">
      <w:pPr>
        <w:pStyle w:val="Captions"/>
      </w:pPr>
      <w:r>
        <w:t>Figure C4. Time series of Chlorophyll-a (Chla), Dissolved organic carbon (DOC), Total Nitrogen (TN) and Total Phosphorus (TP) concentrations measured as part of the CEW</w:t>
      </w:r>
      <w:r w:rsidR="005F70A2">
        <w:t>O</w:t>
      </w:r>
      <w:r>
        <w:t xml:space="preserve"> LTIM project at the site </w:t>
      </w:r>
      <w:r w:rsidR="00430499">
        <w:t>below</w:t>
      </w:r>
      <w:r>
        <w:t xml:space="preserve"> Lock 6.</w:t>
      </w:r>
      <w:r w:rsidRPr="00DB7CA2" w:rsidDel="00DB7CA2">
        <w:t xml:space="preserve"> </w:t>
      </w:r>
    </w:p>
    <w:p w14:paraId="4EBDC627" w14:textId="7488846E" w:rsidR="00FB062A" w:rsidRDefault="00FB062A" w:rsidP="00FB062A">
      <w:pPr>
        <w:rPr>
          <w:rFonts w:cstheme="minorHAnsi"/>
        </w:rPr>
      </w:pPr>
      <w:r>
        <w:rPr>
          <w:rFonts w:cstheme="minorHAnsi"/>
          <w:noProof/>
          <w:lang w:eastAsia="en-AU"/>
        </w:rPr>
        <w:t xml:space="preserve">The alignment of changes in metabolism with the weir pool water level manipulations is suggestive of a causative link, but this could not </w:t>
      </w:r>
      <w:r w:rsidR="00776622">
        <w:rPr>
          <w:rFonts w:cstheme="minorHAnsi"/>
          <w:noProof/>
          <w:lang w:eastAsia="en-AU"/>
        </w:rPr>
        <w:t>be confirmed from the data set collected</w:t>
      </w:r>
      <w:r>
        <w:rPr>
          <w:rFonts w:cstheme="minorHAnsi"/>
          <w:noProof/>
          <w:lang w:eastAsia="en-AU"/>
        </w:rPr>
        <w:t xml:space="preserve"> as part of this project as there were no comparative measurements from nearby reaches of the system not undergoing water level changes. However the findings of Wallace and Cummings (2016</w:t>
      </w:r>
      <w:r w:rsidR="008F1A86">
        <w:rPr>
          <w:rFonts w:cstheme="minorHAnsi"/>
          <w:noProof/>
          <w:lang w:eastAsia="en-AU"/>
        </w:rPr>
        <w:t>a</w:t>
      </w:r>
      <w:r>
        <w:rPr>
          <w:rFonts w:cstheme="minorHAnsi"/>
          <w:noProof/>
          <w:lang w:eastAsia="en-AU"/>
        </w:rPr>
        <w:t xml:space="preserve">), from a project specifically investigating the changes in metabolism associated with the water level manipulations in the weir pool, suggest that these links are likely to be causal. </w:t>
      </w:r>
      <w:r>
        <w:rPr>
          <w:rFonts w:cstheme="minorHAnsi"/>
        </w:rPr>
        <w:t>The enhanced rates of ER suggest</w:t>
      </w:r>
      <w:r w:rsidR="00776622">
        <w:rPr>
          <w:rFonts w:cstheme="minorHAnsi"/>
        </w:rPr>
        <w:t>ed</w:t>
      </w:r>
      <w:r>
        <w:rPr>
          <w:rFonts w:cstheme="minorHAnsi"/>
        </w:rPr>
        <w:t xml:space="preserve"> delivery of metabolisable organic material due to the increases of weir pool height and the </w:t>
      </w:r>
      <w:r w:rsidR="00776622">
        <w:rPr>
          <w:rFonts w:cstheme="minorHAnsi"/>
        </w:rPr>
        <w:t>resulting improved</w:t>
      </w:r>
      <w:r>
        <w:rPr>
          <w:rFonts w:cstheme="minorHAnsi"/>
        </w:rPr>
        <w:t xml:space="preserve"> connections with the floodplain.</w:t>
      </w:r>
      <w:r>
        <w:rPr>
          <w:rFonts w:cstheme="minorHAnsi"/>
          <w:noProof/>
          <w:lang w:eastAsia="en-AU"/>
        </w:rPr>
        <w:t xml:space="preserve"> Direct links with flow were not obvious because flow and water level are not directly related in the weir pool, but C</w:t>
      </w:r>
      <w:r w:rsidR="005F70A2">
        <w:rPr>
          <w:rFonts w:cstheme="minorHAnsi"/>
          <w:noProof/>
          <w:lang w:eastAsia="en-AU"/>
        </w:rPr>
        <w:t xml:space="preserve">ommonwealth environmental </w:t>
      </w:r>
      <w:r>
        <w:rPr>
          <w:rFonts w:cstheme="minorHAnsi"/>
          <w:noProof/>
          <w:lang w:eastAsia="en-AU"/>
        </w:rPr>
        <w:t>water was used to enable the weir pool raising</w:t>
      </w:r>
      <w:r w:rsidR="001E29E0">
        <w:rPr>
          <w:rFonts w:cstheme="minorHAnsi"/>
          <w:noProof/>
          <w:lang w:eastAsia="en-AU"/>
        </w:rPr>
        <w:t xml:space="preserve"> (WPR)</w:t>
      </w:r>
      <w:r>
        <w:rPr>
          <w:rFonts w:cstheme="minorHAnsi"/>
          <w:noProof/>
          <w:lang w:eastAsia="en-AU"/>
        </w:rPr>
        <w:t xml:space="preserve"> and this enhanced metabolic activity.</w:t>
      </w:r>
      <w:r w:rsidRPr="00661766">
        <w:rPr>
          <w:rFonts w:cstheme="minorHAnsi"/>
        </w:rPr>
        <w:t xml:space="preserve"> </w:t>
      </w:r>
      <w:r w:rsidR="00467C77">
        <w:rPr>
          <w:rFonts w:cstheme="minorHAnsi"/>
        </w:rPr>
        <w:t xml:space="preserve">It is also possible that increased rates of metabolism following </w:t>
      </w:r>
      <w:r w:rsidR="007A558D">
        <w:rPr>
          <w:rFonts w:cstheme="minorHAnsi"/>
        </w:rPr>
        <w:t>WPR</w:t>
      </w:r>
      <w:r w:rsidR="00467C77">
        <w:rPr>
          <w:rFonts w:cstheme="minorHAnsi"/>
        </w:rPr>
        <w:t xml:space="preserve"> were associated with </w:t>
      </w:r>
      <w:r w:rsidR="0009623B">
        <w:rPr>
          <w:rFonts w:cstheme="minorHAnsi"/>
        </w:rPr>
        <w:t xml:space="preserve">waters </w:t>
      </w:r>
      <w:r w:rsidR="00467C77">
        <w:rPr>
          <w:rFonts w:cstheme="minorHAnsi"/>
        </w:rPr>
        <w:t>return</w:t>
      </w:r>
      <w:r w:rsidR="0009623B">
        <w:rPr>
          <w:rFonts w:cstheme="minorHAnsi"/>
        </w:rPr>
        <w:t>ing</w:t>
      </w:r>
      <w:r w:rsidR="00467C77">
        <w:rPr>
          <w:rFonts w:cstheme="minorHAnsi"/>
        </w:rPr>
        <w:t xml:space="preserve"> </w:t>
      </w:r>
      <w:r w:rsidR="0009623B">
        <w:rPr>
          <w:rFonts w:cstheme="minorHAnsi"/>
        </w:rPr>
        <w:t>f</w:t>
      </w:r>
      <w:r w:rsidR="00467C77">
        <w:rPr>
          <w:rFonts w:cstheme="minorHAnsi"/>
        </w:rPr>
        <w:t xml:space="preserve">rom Chowilla </w:t>
      </w:r>
      <w:r w:rsidR="0009623B">
        <w:rPr>
          <w:rFonts w:cstheme="minorHAnsi"/>
        </w:rPr>
        <w:t>Creek as the</w:t>
      </w:r>
      <w:r w:rsidR="007A558D">
        <w:rPr>
          <w:rFonts w:cstheme="minorHAnsi"/>
        </w:rPr>
        <w:t xml:space="preserve"> water level at the</w:t>
      </w:r>
      <w:r w:rsidR="006936DD">
        <w:rPr>
          <w:rFonts w:cstheme="minorHAnsi"/>
        </w:rPr>
        <w:t xml:space="preserve"> Chowilla R</w:t>
      </w:r>
      <w:r w:rsidR="0009623B">
        <w:rPr>
          <w:rFonts w:cstheme="minorHAnsi"/>
        </w:rPr>
        <w:t xml:space="preserve">egulator </w:t>
      </w:r>
      <w:r w:rsidR="007A558D">
        <w:rPr>
          <w:rFonts w:cstheme="minorHAnsi"/>
        </w:rPr>
        <w:t xml:space="preserve">fell towards pool </w:t>
      </w:r>
      <w:r w:rsidR="007A558D">
        <w:rPr>
          <w:rFonts w:cstheme="minorHAnsi"/>
        </w:rPr>
        <w:lastRenderedPageBreak/>
        <w:t>level</w:t>
      </w:r>
      <w:r w:rsidR="0009623B">
        <w:rPr>
          <w:rFonts w:cstheme="minorHAnsi"/>
        </w:rPr>
        <w:t>, but this linkage is more difficult to isolate from the data</w:t>
      </w:r>
      <w:r w:rsidR="00467C77">
        <w:rPr>
          <w:rFonts w:cstheme="minorHAnsi"/>
        </w:rPr>
        <w:t xml:space="preserve">. </w:t>
      </w:r>
      <w:r w:rsidR="0009623B">
        <w:rPr>
          <w:rFonts w:cstheme="minorHAnsi"/>
        </w:rPr>
        <w:t xml:space="preserve">These </w:t>
      </w:r>
      <w:r>
        <w:rPr>
          <w:rFonts w:cstheme="minorHAnsi"/>
        </w:rPr>
        <w:t>response</w:t>
      </w:r>
      <w:r w:rsidR="0009623B">
        <w:rPr>
          <w:rFonts w:cstheme="minorHAnsi"/>
        </w:rPr>
        <w:t>s</w:t>
      </w:r>
      <w:r>
        <w:rPr>
          <w:rFonts w:cstheme="minorHAnsi"/>
        </w:rPr>
        <w:t xml:space="preserve"> </w:t>
      </w:r>
      <w:r w:rsidR="0009623B">
        <w:rPr>
          <w:rFonts w:cstheme="minorHAnsi"/>
        </w:rPr>
        <w:t xml:space="preserve">are </w:t>
      </w:r>
      <w:r>
        <w:rPr>
          <w:rFonts w:cstheme="minorHAnsi"/>
        </w:rPr>
        <w:t>important as intermittent periods of increased supplies of organic material are</w:t>
      </w:r>
      <w:r w:rsidR="00776622">
        <w:rPr>
          <w:rFonts w:cstheme="minorHAnsi"/>
        </w:rPr>
        <w:t xml:space="preserve"> considered</w:t>
      </w:r>
      <w:r>
        <w:rPr>
          <w:rFonts w:cstheme="minorHAnsi"/>
        </w:rPr>
        <w:t xml:space="preserve"> critical to the food webs of the Murray River</w:t>
      </w:r>
      <w:r w:rsidR="002B546F">
        <w:rPr>
          <w:rFonts w:cstheme="minorHAnsi"/>
        </w:rPr>
        <w:t>.</w:t>
      </w:r>
      <w:r>
        <w:rPr>
          <w:rFonts w:cstheme="minorHAnsi"/>
        </w:rPr>
        <w:t xml:space="preserve"> </w:t>
      </w:r>
      <w:r w:rsidR="002B546F">
        <w:rPr>
          <w:rFonts w:cstheme="minorHAnsi"/>
        </w:rPr>
        <w:t>T</w:t>
      </w:r>
      <w:r>
        <w:rPr>
          <w:rFonts w:cstheme="minorHAnsi"/>
        </w:rPr>
        <w:t>heir decline in frequency, duration and extent has been proposed as a major cause of reductions of aquatic biota</w:t>
      </w:r>
      <w:r w:rsidR="002B546F">
        <w:rPr>
          <w:rFonts w:cstheme="minorHAnsi"/>
        </w:rPr>
        <w:t>, through</w:t>
      </w:r>
      <w:r>
        <w:rPr>
          <w:rFonts w:cstheme="minorHAnsi"/>
        </w:rPr>
        <w:t xml:space="preserve"> </w:t>
      </w:r>
      <w:r w:rsidR="00776622">
        <w:rPr>
          <w:rFonts w:cstheme="minorHAnsi"/>
        </w:rPr>
        <w:t>decreas</w:t>
      </w:r>
      <w:r>
        <w:rPr>
          <w:rFonts w:cstheme="minorHAnsi"/>
        </w:rPr>
        <w:t>e</w:t>
      </w:r>
      <w:r w:rsidR="00643BE1">
        <w:rPr>
          <w:rFonts w:cstheme="minorHAnsi"/>
        </w:rPr>
        <w:t>s</w:t>
      </w:r>
      <w:r>
        <w:rPr>
          <w:rFonts w:cstheme="minorHAnsi"/>
        </w:rPr>
        <w:t xml:space="preserve"> in food supplies (</w:t>
      </w:r>
      <w:r w:rsidRPr="001B29DE">
        <w:t>Oliver and Merrick 2006; Oliver and Lorenz 2010</w:t>
      </w:r>
      <w:r>
        <w:rPr>
          <w:rFonts w:cstheme="minorHAnsi"/>
        </w:rPr>
        <w:t xml:space="preserve">). </w:t>
      </w:r>
    </w:p>
    <w:p w14:paraId="485E2693" w14:textId="7AEC8005" w:rsidR="003671A3" w:rsidRDefault="008478D7" w:rsidP="003671A3">
      <w:pPr>
        <w:rPr>
          <w:rFonts w:cstheme="minorHAnsi"/>
        </w:rPr>
      </w:pPr>
      <w:r>
        <w:rPr>
          <w:rFonts w:cstheme="minorHAnsi"/>
        </w:rPr>
        <w:t xml:space="preserve">Integrating metabolism over the </w:t>
      </w:r>
      <w:r w:rsidR="00776622">
        <w:rPr>
          <w:rFonts w:cstheme="minorHAnsi"/>
        </w:rPr>
        <w:t xml:space="preserve">duration of the </w:t>
      </w:r>
      <w:r>
        <w:rPr>
          <w:rFonts w:cstheme="minorHAnsi"/>
        </w:rPr>
        <w:t>monitoring period showed that</w:t>
      </w:r>
      <w:r w:rsidR="00EE2B60">
        <w:rPr>
          <w:rFonts w:cstheme="minorHAnsi"/>
        </w:rPr>
        <w:t>,</w:t>
      </w:r>
      <w:r>
        <w:rPr>
          <w:rFonts w:cstheme="minorHAnsi"/>
        </w:rPr>
        <w:t xml:space="preserve"> at the site </w:t>
      </w:r>
      <w:r w:rsidR="00430499">
        <w:rPr>
          <w:rFonts w:cstheme="minorHAnsi"/>
        </w:rPr>
        <w:t>below</w:t>
      </w:r>
      <w:r>
        <w:rPr>
          <w:rFonts w:cstheme="minorHAnsi"/>
        </w:rPr>
        <w:t xml:space="preserve"> Lock 6 (Figure C</w:t>
      </w:r>
      <w:r w:rsidR="00FB062A">
        <w:rPr>
          <w:rFonts w:cstheme="minorHAnsi"/>
        </w:rPr>
        <w:t>5</w:t>
      </w:r>
      <w:r>
        <w:rPr>
          <w:rFonts w:cstheme="minorHAnsi"/>
        </w:rPr>
        <w:t>), GPP and ER were cl</w:t>
      </w:r>
      <w:r w:rsidR="00A20450">
        <w:rPr>
          <w:rFonts w:cstheme="minorHAnsi"/>
        </w:rPr>
        <w:t xml:space="preserve">osely balanced and ENP was not </w:t>
      </w:r>
      <w:r>
        <w:rPr>
          <w:rFonts w:cstheme="minorHAnsi"/>
        </w:rPr>
        <w:t>different from zero</w:t>
      </w:r>
      <w:r w:rsidR="00643BE1">
        <w:rPr>
          <w:rFonts w:cstheme="minorHAnsi"/>
        </w:rPr>
        <w:t>. This</w:t>
      </w:r>
      <w:r>
        <w:rPr>
          <w:rFonts w:cstheme="minorHAnsi"/>
        </w:rPr>
        <w:t xml:space="preserve"> suggest</w:t>
      </w:r>
      <w:r w:rsidR="00643BE1">
        <w:rPr>
          <w:rFonts w:cstheme="minorHAnsi"/>
        </w:rPr>
        <w:t>s</w:t>
      </w:r>
      <w:r>
        <w:rPr>
          <w:rFonts w:cstheme="minorHAnsi"/>
        </w:rPr>
        <w:t xml:space="preserve"> that the organic material enhancing respiration during the </w:t>
      </w:r>
      <w:r w:rsidR="001E29E0">
        <w:rPr>
          <w:rFonts w:cstheme="minorHAnsi"/>
        </w:rPr>
        <w:t>WPR</w:t>
      </w:r>
      <w:r>
        <w:rPr>
          <w:rFonts w:cstheme="minorHAnsi"/>
        </w:rPr>
        <w:t xml:space="preserve"> was due to aquatic photoautotrophs </w:t>
      </w:r>
      <w:r w:rsidR="006936DD">
        <w:rPr>
          <w:rFonts w:cstheme="minorHAnsi"/>
        </w:rPr>
        <w:t>(</w:t>
      </w:r>
      <w:r w:rsidR="00B636D6">
        <w:rPr>
          <w:rFonts w:cstheme="minorHAnsi"/>
        </w:rPr>
        <w:t>plants growing in the water</w:t>
      </w:r>
      <w:r w:rsidR="006936DD">
        <w:rPr>
          <w:rFonts w:cstheme="minorHAnsi"/>
        </w:rPr>
        <w:t>)</w:t>
      </w:r>
      <w:r w:rsidR="00B636D6">
        <w:rPr>
          <w:rFonts w:cstheme="minorHAnsi"/>
        </w:rPr>
        <w:t xml:space="preserve">, </w:t>
      </w:r>
      <w:r>
        <w:rPr>
          <w:rFonts w:cstheme="minorHAnsi"/>
        </w:rPr>
        <w:t>rather than external supplies of detrital organic material. Flooding of low lying areas can result in large expanses of shallow, warm and well illuminated waters that may enhance primary production outside of the river channel. The metabolic response then seen in the river will depend in part on the extent and timing of any exchange of water between the channel and the floodplain.</w:t>
      </w:r>
    </w:p>
    <w:p w14:paraId="488FD36F" w14:textId="77777777" w:rsidR="00FB062A" w:rsidRDefault="00FB062A" w:rsidP="00FB062A">
      <w:pPr>
        <w:rPr>
          <w:rFonts w:cstheme="minorHAnsi"/>
        </w:rPr>
      </w:pPr>
      <w:r>
        <w:rPr>
          <w:rFonts w:cstheme="minorHAnsi"/>
          <w:noProof/>
          <w:lang w:eastAsia="en-AU"/>
        </w:rPr>
        <w:drawing>
          <wp:inline distT="0" distB="0" distL="0" distR="0" wp14:anchorId="67ABAD89" wp14:editId="402D4480">
            <wp:extent cx="5497269" cy="3990109"/>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510293" cy="3999562"/>
                    </a:xfrm>
                    <a:prstGeom prst="rect">
                      <a:avLst/>
                    </a:prstGeom>
                    <a:noFill/>
                  </pic:spPr>
                </pic:pic>
              </a:graphicData>
            </a:graphic>
          </wp:inline>
        </w:drawing>
      </w:r>
    </w:p>
    <w:p w14:paraId="50AF1454" w14:textId="163530C5" w:rsidR="00FB062A" w:rsidRDefault="00FB062A" w:rsidP="00B46038">
      <w:pPr>
        <w:pStyle w:val="Captions"/>
      </w:pPr>
      <w:r>
        <w:t xml:space="preserve">Figure C5. Total integrated gross primary production (GPP), ecosystem respiration (ER) and ecosystem net production (ENP) at the sites </w:t>
      </w:r>
      <w:r w:rsidR="00430499">
        <w:t>below</w:t>
      </w:r>
      <w:r>
        <w:t xml:space="preserve"> Lock 6 and Lock 1 over the monitoring period</w:t>
      </w:r>
      <w:r w:rsidR="00E33DE0">
        <w:t xml:space="preserve"> between September 2015 and March 2016</w:t>
      </w:r>
      <w:r>
        <w:t>.</w:t>
      </w:r>
    </w:p>
    <w:p w14:paraId="2EA4CD1B" w14:textId="77777777" w:rsidR="00FB062A" w:rsidRPr="00FB062A" w:rsidRDefault="00FB062A" w:rsidP="00FB062A">
      <w:pPr>
        <w:rPr>
          <w:rFonts w:cstheme="minorHAnsi"/>
          <w:i/>
          <w:noProof/>
          <w:sz w:val="24"/>
          <w:szCs w:val="24"/>
          <w:u w:val="single"/>
          <w:lang w:eastAsia="en-AU"/>
        </w:rPr>
      </w:pPr>
      <w:r w:rsidRPr="00FB062A">
        <w:rPr>
          <w:rFonts w:cstheme="minorHAnsi"/>
          <w:i/>
          <w:noProof/>
          <w:sz w:val="24"/>
          <w:szCs w:val="24"/>
          <w:u w:val="single"/>
          <w:lang w:eastAsia="en-AU"/>
        </w:rPr>
        <w:lastRenderedPageBreak/>
        <w:t>Lock 1</w:t>
      </w:r>
    </w:p>
    <w:p w14:paraId="035D427B" w14:textId="04730C0B" w:rsidR="00FB062A" w:rsidRDefault="00430499" w:rsidP="00FB062A">
      <w:pPr>
        <w:rPr>
          <w:rFonts w:cstheme="minorHAnsi"/>
          <w:noProof/>
          <w:lang w:eastAsia="en-AU"/>
        </w:rPr>
      </w:pPr>
      <w:r>
        <w:rPr>
          <w:rFonts w:cstheme="minorHAnsi"/>
          <w:noProof/>
          <w:lang w:eastAsia="en-AU"/>
        </w:rPr>
        <w:t>Below</w:t>
      </w:r>
      <w:r w:rsidR="00FB062A">
        <w:rPr>
          <w:rFonts w:cstheme="minorHAnsi"/>
          <w:noProof/>
          <w:lang w:eastAsia="en-AU"/>
        </w:rPr>
        <w:t xml:space="preserve"> Lock 1, the rates of metabolism were initially similar to those at the site </w:t>
      </w:r>
      <w:r>
        <w:rPr>
          <w:rFonts w:cstheme="minorHAnsi"/>
          <w:noProof/>
          <w:lang w:eastAsia="en-AU"/>
        </w:rPr>
        <w:t>below</w:t>
      </w:r>
      <w:r w:rsidR="00FB062A">
        <w:rPr>
          <w:rFonts w:cstheme="minorHAnsi"/>
          <w:noProof/>
          <w:lang w:eastAsia="en-AU"/>
        </w:rPr>
        <w:t xml:space="preserve"> Lock 6 (Figure C6). Average GPP remained </w:t>
      </w:r>
      <w:r w:rsidR="007C6D50">
        <w:rPr>
          <w:rFonts w:cstheme="minorHAnsi"/>
          <w:noProof/>
          <w:lang w:eastAsia="en-AU"/>
        </w:rPr>
        <w:t>relatively stable at around 1.5 </w:t>
      </w:r>
      <w:r w:rsidR="007C6D50" w:rsidRPr="007C6D50">
        <w:rPr>
          <w:rFonts w:cstheme="minorHAnsi"/>
        </w:rPr>
        <w:t>mgO</w:t>
      </w:r>
      <w:r w:rsidR="007C6D50" w:rsidRPr="007C6D50">
        <w:rPr>
          <w:rFonts w:cstheme="minorHAnsi"/>
          <w:vertAlign w:val="subscript"/>
        </w:rPr>
        <w:t>2</w:t>
      </w:r>
      <w:r w:rsidR="007C6D50">
        <w:rPr>
          <w:rFonts w:cstheme="minorHAnsi"/>
          <w:vertAlign w:val="subscript"/>
        </w:rPr>
        <w:t> </w:t>
      </w:r>
      <w:r w:rsidR="007C6D50" w:rsidRPr="007C6D50">
        <w:rPr>
          <w:rFonts w:cstheme="minorHAnsi"/>
        </w:rPr>
        <w:t>m</w:t>
      </w:r>
      <w:r w:rsidR="007C6D50">
        <w:rPr>
          <w:rFonts w:cstheme="minorHAnsi"/>
          <w:vertAlign w:val="superscript"/>
        </w:rPr>
        <w:noBreakHyphen/>
      </w:r>
      <w:r w:rsidR="007C6D50" w:rsidRPr="007C6D50">
        <w:rPr>
          <w:rFonts w:cstheme="minorHAnsi"/>
          <w:vertAlign w:val="superscript"/>
        </w:rPr>
        <w:t>2</w:t>
      </w:r>
      <w:r w:rsidR="007C6D50">
        <w:rPr>
          <w:rFonts w:cstheme="minorHAnsi"/>
          <w:vertAlign w:val="subscript"/>
        </w:rPr>
        <w:t> </w:t>
      </w:r>
      <w:r w:rsidR="007C6D50" w:rsidRPr="007C6D50">
        <w:rPr>
          <w:rFonts w:cstheme="minorHAnsi"/>
        </w:rPr>
        <w:t>day</w:t>
      </w:r>
      <w:r w:rsidR="007C6D50" w:rsidRPr="007C6D50">
        <w:rPr>
          <w:rFonts w:cstheme="minorHAnsi"/>
          <w:vertAlign w:val="superscript"/>
        </w:rPr>
        <w:t>-1</w:t>
      </w:r>
      <w:r w:rsidR="00FB062A">
        <w:rPr>
          <w:rFonts w:cstheme="minorHAnsi"/>
          <w:noProof/>
          <w:lang w:eastAsia="en-AU"/>
        </w:rPr>
        <w:t xml:space="preserve"> until 26 November an</w:t>
      </w:r>
      <w:r w:rsidR="007C6D50">
        <w:rPr>
          <w:rFonts w:cstheme="minorHAnsi"/>
          <w:noProof/>
          <w:lang w:eastAsia="en-AU"/>
        </w:rPr>
        <w:t>d then stepped up to around 2.7 </w:t>
      </w:r>
      <w:r w:rsidR="007C6D50" w:rsidRPr="007C6D50">
        <w:rPr>
          <w:rFonts w:cstheme="minorHAnsi"/>
        </w:rPr>
        <w:t>mgO</w:t>
      </w:r>
      <w:r w:rsidR="007C6D50" w:rsidRPr="007C6D50">
        <w:rPr>
          <w:rFonts w:cstheme="minorHAnsi"/>
          <w:vertAlign w:val="subscript"/>
        </w:rPr>
        <w:t>2</w:t>
      </w:r>
      <w:r w:rsidR="007C6D50">
        <w:rPr>
          <w:rFonts w:cstheme="minorHAnsi"/>
          <w:vertAlign w:val="subscript"/>
        </w:rPr>
        <w:t> </w:t>
      </w:r>
      <w:r w:rsidR="007C6D50" w:rsidRPr="007C6D50">
        <w:rPr>
          <w:rFonts w:cstheme="minorHAnsi"/>
        </w:rPr>
        <w:t>m</w:t>
      </w:r>
      <w:r w:rsidR="007C6D50">
        <w:rPr>
          <w:rFonts w:cstheme="minorHAnsi"/>
          <w:vertAlign w:val="superscript"/>
        </w:rPr>
        <w:noBreakHyphen/>
      </w:r>
      <w:r w:rsidR="007C6D50" w:rsidRPr="007C6D50">
        <w:rPr>
          <w:rFonts w:cstheme="minorHAnsi"/>
          <w:vertAlign w:val="superscript"/>
        </w:rPr>
        <w:t>2</w:t>
      </w:r>
      <w:r w:rsidR="007C6D50">
        <w:rPr>
          <w:rFonts w:cstheme="minorHAnsi"/>
          <w:vertAlign w:val="subscript"/>
        </w:rPr>
        <w:t> </w:t>
      </w:r>
      <w:r w:rsidR="007C6D50" w:rsidRPr="007C6D50">
        <w:rPr>
          <w:rFonts w:cstheme="minorHAnsi"/>
        </w:rPr>
        <w:t>day</w:t>
      </w:r>
      <w:r w:rsidR="007C6D50" w:rsidRPr="007C6D50">
        <w:rPr>
          <w:rFonts w:cstheme="minorHAnsi"/>
          <w:vertAlign w:val="superscript"/>
        </w:rPr>
        <w:t>-1</w:t>
      </w:r>
      <w:r w:rsidR="00FB062A">
        <w:rPr>
          <w:rFonts w:cstheme="minorHAnsi"/>
          <w:noProof/>
          <w:lang w:eastAsia="en-AU"/>
        </w:rPr>
        <w:t xml:space="preserve"> before falling back in mid-December</w:t>
      </w:r>
      <w:r w:rsidR="00F04B9D">
        <w:rPr>
          <w:rFonts w:cstheme="minorHAnsi"/>
          <w:noProof/>
          <w:lang w:eastAsia="en-AU"/>
        </w:rPr>
        <w:t xml:space="preserve"> when the replacement probe was deployed</w:t>
      </w:r>
      <w:r w:rsidR="00FB062A">
        <w:rPr>
          <w:rFonts w:cstheme="minorHAnsi"/>
          <w:noProof/>
          <w:lang w:eastAsia="en-AU"/>
        </w:rPr>
        <w:t xml:space="preserve">.  </w:t>
      </w:r>
    </w:p>
    <w:p w14:paraId="0CE73288" w14:textId="77777777" w:rsidR="008478D7" w:rsidRDefault="008478D7" w:rsidP="008478D7">
      <w:r>
        <w:rPr>
          <w:noProof/>
          <w:lang w:eastAsia="en-AU"/>
        </w:rPr>
        <w:drawing>
          <wp:inline distT="0" distB="0" distL="0" distR="0" wp14:anchorId="38FBD949" wp14:editId="30CB9385">
            <wp:extent cx="5584197" cy="40532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598413" cy="4063523"/>
                    </a:xfrm>
                    <a:prstGeom prst="rect">
                      <a:avLst/>
                    </a:prstGeom>
                    <a:noFill/>
                  </pic:spPr>
                </pic:pic>
              </a:graphicData>
            </a:graphic>
          </wp:inline>
        </w:drawing>
      </w:r>
    </w:p>
    <w:p w14:paraId="5EFA9FCE" w14:textId="73EA7784" w:rsidR="003671A3" w:rsidRDefault="003671A3" w:rsidP="00B46038">
      <w:pPr>
        <w:pStyle w:val="Captions"/>
      </w:pPr>
      <w:r>
        <w:t xml:space="preserve">Figure </w:t>
      </w:r>
      <w:r w:rsidR="00B9142C">
        <w:t>C</w:t>
      </w:r>
      <w:r w:rsidR="00FB062A">
        <w:t>6</w:t>
      </w:r>
      <w:r>
        <w:t xml:space="preserve">. </w:t>
      </w:r>
      <w:r w:rsidR="008478D7">
        <w:t xml:space="preserve">Comparison of time series of rates of gross primary production, ecosystem respiration and ecosystem net production with river flows including or excluding elements of environmental flows at the site </w:t>
      </w:r>
      <w:r w:rsidR="00430499">
        <w:t>below</w:t>
      </w:r>
      <w:r w:rsidR="008478D7">
        <w:t xml:space="preserve"> Lock 1</w:t>
      </w:r>
      <w:r w:rsidR="00731846">
        <w:t>.</w:t>
      </w:r>
    </w:p>
    <w:p w14:paraId="74149C73" w14:textId="74510264" w:rsidR="00F04B9D" w:rsidRDefault="00F04B9D" w:rsidP="008478D7">
      <w:pPr>
        <w:rPr>
          <w:rFonts w:cstheme="minorHAnsi"/>
          <w:noProof/>
          <w:lang w:eastAsia="en-AU"/>
        </w:rPr>
      </w:pPr>
      <w:r>
        <w:rPr>
          <w:rFonts w:cstheme="minorHAnsi"/>
          <w:noProof/>
          <w:lang w:eastAsia="en-AU"/>
        </w:rPr>
        <w:t>Similarly, a</w:t>
      </w:r>
      <w:r w:rsidR="006A3B5F">
        <w:rPr>
          <w:rFonts w:cstheme="minorHAnsi"/>
          <w:noProof/>
          <w:lang w:eastAsia="en-AU"/>
        </w:rPr>
        <w:t xml:space="preserve">fter mid-December </w:t>
      </w:r>
      <w:r w:rsidR="008478D7">
        <w:rPr>
          <w:rFonts w:cstheme="minorHAnsi"/>
          <w:noProof/>
          <w:lang w:eastAsia="en-AU"/>
        </w:rPr>
        <w:t xml:space="preserve">both GPP and ER slowly increased until mid-January, mirroring each other so that ENP was close to zero. Then both GPP and ER rapidly increased, but ER increased more rapidly to a maximum of 34 </w:t>
      </w:r>
      <w:r w:rsidR="007C6D50" w:rsidRPr="007C6D50">
        <w:rPr>
          <w:rFonts w:cstheme="minorHAnsi"/>
        </w:rPr>
        <w:t>mgO</w:t>
      </w:r>
      <w:r w:rsidR="007C6D50" w:rsidRPr="007C6D50">
        <w:rPr>
          <w:rFonts w:cstheme="minorHAnsi"/>
          <w:vertAlign w:val="subscript"/>
        </w:rPr>
        <w:t>2</w:t>
      </w:r>
      <w:r w:rsidR="007C6D50">
        <w:rPr>
          <w:rFonts w:cstheme="minorHAnsi"/>
          <w:vertAlign w:val="subscript"/>
        </w:rPr>
        <w:t> </w:t>
      </w:r>
      <w:r w:rsidR="007C6D50" w:rsidRPr="007C6D50">
        <w:rPr>
          <w:rFonts w:cstheme="minorHAnsi"/>
        </w:rPr>
        <w:t>m</w:t>
      </w:r>
      <w:r w:rsidR="007C6D50">
        <w:rPr>
          <w:rFonts w:cstheme="minorHAnsi"/>
          <w:vertAlign w:val="superscript"/>
        </w:rPr>
        <w:noBreakHyphen/>
      </w:r>
      <w:r w:rsidR="007C6D50" w:rsidRPr="007C6D50">
        <w:rPr>
          <w:rFonts w:cstheme="minorHAnsi"/>
          <w:vertAlign w:val="superscript"/>
        </w:rPr>
        <w:t>2</w:t>
      </w:r>
      <w:r w:rsidR="007C6D50">
        <w:rPr>
          <w:rFonts w:cstheme="minorHAnsi"/>
          <w:vertAlign w:val="subscript"/>
        </w:rPr>
        <w:t> </w:t>
      </w:r>
      <w:r w:rsidR="007C6D50" w:rsidRPr="007C6D50">
        <w:rPr>
          <w:rFonts w:cstheme="minorHAnsi"/>
        </w:rPr>
        <w:t>day</w:t>
      </w:r>
      <w:r w:rsidR="007C6D50" w:rsidRPr="007C6D50">
        <w:rPr>
          <w:rFonts w:cstheme="minorHAnsi"/>
          <w:vertAlign w:val="superscript"/>
        </w:rPr>
        <w:t>-1</w:t>
      </w:r>
      <w:r w:rsidR="008478D7">
        <w:rPr>
          <w:rFonts w:cstheme="minorHAnsi"/>
        </w:rPr>
        <w:t xml:space="preserve">, </w:t>
      </w:r>
      <w:r w:rsidR="008478D7">
        <w:rPr>
          <w:rFonts w:cstheme="minorHAnsi"/>
          <w:noProof/>
          <w:lang w:eastAsia="en-AU"/>
        </w:rPr>
        <w:t>driving ENP increasingly negative. This was followed by a precipit</w:t>
      </w:r>
      <w:r w:rsidR="003615D3">
        <w:rPr>
          <w:rFonts w:cstheme="minorHAnsi"/>
          <w:noProof/>
          <w:lang w:eastAsia="en-AU"/>
        </w:rPr>
        <w:t>ous</w:t>
      </w:r>
      <w:r w:rsidR="008478D7">
        <w:rPr>
          <w:rFonts w:cstheme="minorHAnsi"/>
          <w:noProof/>
          <w:lang w:eastAsia="en-AU"/>
        </w:rPr>
        <w:t xml:space="preserve"> decline in both GPP and ER between 20 and 22 January </w:t>
      </w:r>
      <w:r>
        <w:rPr>
          <w:rFonts w:cstheme="minorHAnsi"/>
          <w:noProof/>
          <w:lang w:eastAsia="en-AU"/>
        </w:rPr>
        <w:t xml:space="preserve">when the replacement probe was deployed. </w:t>
      </w:r>
      <w:r>
        <w:rPr>
          <w:rFonts w:cstheme="minorHAnsi"/>
          <w:color w:val="auto"/>
        </w:rPr>
        <w:t>These patterns suggest</w:t>
      </w:r>
      <w:r w:rsidR="00F94965">
        <w:rPr>
          <w:rFonts w:cstheme="minorHAnsi"/>
          <w:color w:val="auto"/>
        </w:rPr>
        <w:t>ed</w:t>
      </w:r>
      <w:r>
        <w:rPr>
          <w:rFonts w:cstheme="minorHAnsi"/>
          <w:color w:val="auto"/>
        </w:rPr>
        <w:t xml:space="preserve"> that </w:t>
      </w:r>
      <w:r w:rsidR="00F94965">
        <w:rPr>
          <w:rFonts w:cstheme="minorHAnsi"/>
          <w:color w:val="auto"/>
        </w:rPr>
        <w:t xml:space="preserve">increasing biofouling influenced </w:t>
      </w:r>
      <w:r>
        <w:rPr>
          <w:rFonts w:cstheme="minorHAnsi"/>
          <w:color w:val="auto"/>
        </w:rPr>
        <w:t xml:space="preserve">the oxygen probes during their deployment. The probes themselves were protected with a copper mesh resulting in minimal direct biofouling, </w:t>
      </w:r>
      <w:r w:rsidR="00F94965">
        <w:rPr>
          <w:rFonts w:cstheme="minorHAnsi"/>
          <w:color w:val="auto"/>
        </w:rPr>
        <w:t xml:space="preserve">and previous experience had indicated that this </w:t>
      </w:r>
      <w:r w:rsidR="00F94965">
        <w:rPr>
          <w:rFonts w:cstheme="minorHAnsi"/>
          <w:color w:val="auto"/>
        </w:rPr>
        <w:lastRenderedPageBreak/>
        <w:t xml:space="preserve">was sufficient to safeguard the probes. For example, biofouling was not observed at the site </w:t>
      </w:r>
      <w:r w:rsidR="00F56AD8">
        <w:rPr>
          <w:rFonts w:cstheme="minorHAnsi"/>
          <w:color w:val="auto"/>
        </w:rPr>
        <w:t>below</w:t>
      </w:r>
      <w:r w:rsidR="00F94965">
        <w:rPr>
          <w:rFonts w:cstheme="minorHAnsi"/>
          <w:color w:val="auto"/>
        </w:rPr>
        <w:t xml:space="preserve"> Lock 6 over this same period. However, </w:t>
      </w:r>
      <w:r>
        <w:rPr>
          <w:rFonts w:cstheme="minorHAnsi"/>
          <w:color w:val="auto"/>
        </w:rPr>
        <w:t>field observations indicated that the battery housing to which the probes are attached became heavily coated in biofilms and filamentous algae</w:t>
      </w:r>
      <w:r w:rsidR="00F94965">
        <w:rPr>
          <w:rFonts w:cstheme="minorHAnsi"/>
          <w:color w:val="auto"/>
        </w:rPr>
        <w:t xml:space="preserve"> at the site </w:t>
      </w:r>
      <w:r w:rsidR="00F56AD8">
        <w:rPr>
          <w:rFonts w:cstheme="minorHAnsi"/>
          <w:color w:val="auto"/>
        </w:rPr>
        <w:t>below</w:t>
      </w:r>
      <w:r w:rsidR="00F94965">
        <w:rPr>
          <w:rFonts w:cstheme="minorHAnsi"/>
          <w:color w:val="auto"/>
        </w:rPr>
        <w:t xml:space="preserve"> Lock 1</w:t>
      </w:r>
      <w:r>
        <w:rPr>
          <w:rFonts w:cstheme="minorHAnsi"/>
          <w:color w:val="auto"/>
        </w:rPr>
        <w:t xml:space="preserve">. </w:t>
      </w:r>
      <w:r w:rsidR="00F94965">
        <w:rPr>
          <w:rFonts w:cstheme="minorHAnsi"/>
          <w:color w:val="auto"/>
        </w:rPr>
        <w:t xml:space="preserve">The sudden changes in apparent oxygen concentrations and metabolic activity on the deployment of replacement probes strongly supports the suggestion that biofouling </w:t>
      </w:r>
      <w:r>
        <w:rPr>
          <w:rFonts w:cstheme="minorHAnsi"/>
          <w:color w:val="auto"/>
        </w:rPr>
        <w:t xml:space="preserve">influenced the oxygen concentrations </w:t>
      </w:r>
      <w:r w:rsidR="00F94965">
        <w:rPr>
          <w:rFonts w:cstheme="minorHAnsi"/>
          <w:color w:val="auto"/>
        </w:rPr>
        <w:t xml:space="preserve">and metabolic measurements at this site </w:t>
      </w:r>
      <w:r>
        <w:rPr>
          <w:rFonts w:cstheme="minorHAnsi"/>
          <w:color w:val="auto"/>
        </w:rPr>
        <w:t>and further analysis of th</w:t>
      </w:r>
      <w:r w:rsidR="00F94965">
        <w:rPr>
          <w:rFonts w:cstheme="minorHAnsi"/>
          <w:color w:val="auto"/>
        </w:rPr>
        <w:t>e</w:t>
      </w:r>
      <w:r>
        <w:rPr>
          <w:rFonts w:cstheme="minorHAnsi"/>
          <w:color w:val="auto"/>
        </w:rPr>
        <w:t xml:space="preserve"> data is restricted to general trends. </w:t>
      </w:r>
    </w:p>
    <w:p w14:paraId="5DB06BAB" w14:textId="71ACE3A8" w:rsidR="00C04BD6" w:rsidRDefault="003A7858" w:rsidP="008478D7">
      <w:pPr>
        <w:rPr>
          <w:rFonts w:cstheme="minorHAnsi"/>
          <w:noProof/>
          <w:lang w:eastAsia="en-AU"/>
        </w:rPr>
      </w:pPr>
      <w:r>
        <w:rPr>
          <w:rFonts w:cstheme="minorHAnsi"/>
          <w:noProof/>
          <w:lang w:eastAsia="en-AU"/>
        </w:rPr>
        <w:t>To further support the suggestion of biofouling, d</w:t>
      </w:r>
      <w:r w:rsidR="008478D7">
        <w:rPr>
          <w:rFonts w:cstheme="minorHAnsi"/>
          <w:noProof/>
          <w:lang w:eastAsia="en-AU"/>
        </w:rPr>
        <w:t xml:space="preserve">ata </w:t>
      </w:r>
      <w:r>
        <w:rPr>
          <w:rFonts w:cstheme="minorHAnsi"/>
          <w:noProof/>
          <w:lang w:eastAsia="en-AU"/>
        </w:rPr>
        <w:t>on</w:t>
      </w:r>
      <w:r w:rsidR="008478D7">
        <w:rPr>
          <w:rFonts w:cstheme="minorHAnsi"/>
          <w:noProof/>
          <w:lang w:eastAsia="en-AU"/>
        </w:rPr>
        <w:t xml:space="preserve"> flow, light availability, water quality, plankton concentrations, meteorological conditions </w:t>
      </w:r>
      <w:r w:rsidR="007A558D">
        <w:rPr>
          <w:rFonts w:cstheme="minorHAnsi"/>
          <w:noProof/>
          <w:lang w:eastAsia="en-AU"/>
        </w:rPr>
        <w:t>and physico-chemical attributes</w:t>
      </w:r>
      <w:r w:rsidR="008478D7">
        <w:rPr>
          <w:rFonts w:cstheme="minorHAnsi"/>
          <w:noProof/>
          <w:lang w:eastAsia="en-AU"/>
        </w:rPr>
        <w:t xml:space="preserve"> </w:t>
      </w:r>
      <w:r>
        <w:rPr>
          <w:rFonts w:cstheme="minorHAnsi"/>
          <w:noProof/>
          <w:lang w:eastAsia="en-AU"/>
        </w:rPr>
        <w:t>were all investigated</w:t>
      </w:r>
      <w:r w:rsidR="007A558D">
        <w:rPr>
          <w:rFonts w:cstheme="minorHAnsi"/>
          <w:noProof/>
          <w:lang w:eastAsia="en-AU"/>
        </w:rPr>
        <w:t>,</w:t>
      </w:r>
      <w:r>
        <w:rPr>
          <w:rFonts w:cstheme="minorHAnsi"/>
          <w:noProof/>
          <w:lang w:eastAsia="en-AU"/>
        </w:rPr>
        <w:t xml:space="preserve"> </w:t>
      </w:r>
      <w:r w:rsidR="008478D7">
        <w:rPr>
          <w:rFonts w:cstheme="minorHAnsi"/>
          <w:noProof/>
          <w:lang w:eastAsia="en-AU"/>
        </w:rPr>
        <w:t>but none show</w:t>
      </w:r>
      <w:r>
        <w:rPr>
          <w:rFonts w:cstheme="minorHAnsi"/>
          <w:noProof/>
          <w:lang w:eastAsia="en-AU"/>
        </w:rPr>
        <w:t>ed</w:t>
      </w:r>
      <w:r w:rsidR="008478D7">
        <w:rPr>
          <w:rFonts w:cstheme="minorHAnsi"/>
          <w:noProof/>
          <w:lang w:eastAsia="en-AU"/>
        </w:rPr>
        <w:t xml:space="preserve"> simple changes that might be responsible for the fluctuations in metabolism (Figure C</w:t>
      </w:r>
      <w:r w:rsidR="00FB062A">
        <w:rPr>
          <w:rFonts w:cstheme="minorHAnsi"/>
          <w:noProof/>
          <w:lang w:eastAsia="en-AU"/>
        </w:rPr>
        <w:t>7</w:t>
      </w:r>
      <w:r w:rsidR="008478D7">
        <w:rPr>
          <w:rFonts w:cstheme="minorHAnsi"/>
          <w:noProof/>
          <w:lang w:eastAsia="en-AU"/>
        </w:rPr>
        <w:t xml:space="preserve">). </w:t>
      </w:r>
      <w:r>
        <w:rPr>
          <w:rFonts w:cstheme="minorHAnsi"/>
          <w:noProof/>
          <w:lang w:eastAsia="en-AU"/>
        </w:rPr>
        <w:t>Similarly, n</w:t>
      </w:r>
      <w:r w:rsidR="008478D7">
        <w:rPr>
          <w:rFonts w:cstheme="minorHAnsi"/>
          <w:noProof/>
          <w:lang w:eastAsia="en-AU"/>
        </w:rPr>
        <w:t>either chlorophyll concentrations</w:t>
      </w:r>
      <w:r w:rsidR="00D4077F">
        <w:rPr>
          <w:rFonts w:cstheme="minorHAnsi"/>
          <w:noProof/>
          <w:lang w:eastAsia="en-AU"/>
        </w:rPr>
        <w:t>,</w:t>
      </w:r>
      <w:r w:rsidR="008478D7">
        <w:rPr>
          <w:rFonts w:cstheme="minorHAnsi"/>
          <w:noProof/>
          <w:lang w:eastAsia="en-AU"/>
        </w:rPr>
        <w:t xml:space="preserve"> that indicate phytoplankton biomass, or zooplankton numbers show</w:t>
      </w:r>
      <w:r>
        <w:rPr>
          <w:rFonts w:cstheme="minorHAnsi"/>
          <w:noProof/>
          <w:lang w:eastAsia="en-AU"/>
        </w:rPr>
        <w:t>ed</w:t>
      </w:r>
      <w:r w:rsidR="008478D7">
        <w:rPr>
          <w:rFonts w:cstheme="minorHAnsi"/>
          <w:noProof/>
          <w:lang w:eastAsia="en-AU"/>
        </w:rPr>
        <w:t xml:space="preserve"> changes</w:t>
      </w:r>
      <w:r>
        <w:rPr>
          <w:rFonts w:cstheme="minorHAnsi"/>
          <w:noProof/>
          <w:lang w:eastAsia="en-AU"/>
        </w:rPr>
        <w:t xml:space="preserve"> that might </w:t>
      </w:r>
      <w:r w:rsidR="007A558D">
        <w:rPr>
          <w:rFonts w:cstheme="minorHAnsi"/>
          <w:noProof/>
          <w:lang w:eastAsia="en-AU"/>
        </w:rPr>
        <w:t xml:space="preserve">have </w:t>
      </w:r>
      <w:r>
        <w:rPr>
          <w:rFonts w:cstheme="minorHAnsi"/>
          <w:noProof/>
          <w:lang w:eastAsia="en-AU"/>
        </w:rPr>
        <w:t>aligned with increase metabolic rates</w:t>
      </w:r>
      <w:r w:rsidR="008478D7">
        <w:rPr>
          <w:rFonts w:cstheme="minorHAnsi"/>
          <w:noProof/>
          <w:lang w:eastAsia="en-AU"/>
        </w:rPr>
        <w:t>. Basic water quality attributes collected as part of LTIM are shown in Figures C</w:t>
      </w:r>
      <w:r w:rsidR="00FB062A">
        <w:rPr>
          <w:rFonts w:cstheme="minorHAnsi"/>
          <w:noProof/>
          <w:lang w:eastAsia="en-AU"/>
        </w:rPr>
        <w:t>4</w:t>
      </w:r>
      <w:r w:rsidR="008478D7">
        <w:rPr>
          <w:rFonts w:cstheme="minorHAnsi"/>
          <w:noProof/>
          <w:lang w:eastAsia="en-AU"/>
        </w:rPr>
        <w:t xml:space="preserve"> and C</w:t>
      </w:r>
      <w:r w:rsidR="00FB062A">
        <w:rPr>
          <w:rFonts w:cstheme="minorHAnsi"/>
          <w:noProof/>
          <w:lang w:eastAsia="en-AU"/>
        </w:rPr>
        <w:t>7</w:t>
      </w:r>
      <w:r w:rsidR="008478D7">
        <w:rPr>
          <w:rFonts w:cstheme="minorHAnsi"/>
          <w:noProof/>
          <w:lang w:eastAsia="en-AU"/>
        </w:rPr>
        <w:t xml:space="preserve">, </w:t>
      </w:r>
      <w:r w:rsidR="00B204A1">
        <w:rPr>
          <w:rFonts w:cstheme="minorHAnsi"/>
          <w:noProof/>
          <w:lang w:eastAsia="en-AU"/>
        </w:rPr>
        <w:t xml:space="preserve">and </w:t>
      </w:r>
      <w:r w:rsidR="008478D7">
        <w:rPr>
          <w:rFonts w:cstheme="minorHAnsi"/>
          <w:noProof/>
          <w:lang w:eastAsia="en-AU"/>
        </w:rPr>
        <w:t>a broader array of water quality data collected more regularl</w:t>
      </w:r>
      <w:r w:rsidR="006A3B5F">
        <w:rPr>
          <w:rFonts w:cstheme="minorHAnsi"/>
          <w:noProof/>
          <w:lang w:eastAsia="en-AU"/>
        </w:rPr>
        <w:t>y by SA Water from nearby sites</w:t>
      </w:r>
      <w:r w:rsidR="008478D7">
        <w:rPr>
          <w:rFonts w:cstheme="minorHAnsi"/>
          <w:noProof/>
          <w:lang w:eastAsia="en-AU"/>
        </w:rPr>
        <w:t xml:space="preserve"> showed similar patterns.</w:t>
      </w:r>
    </w:p>
    <w:p w14:paraId="10A68FB5" w14:textId="77777777" w:rsidR="00C04BD6" w:rsidRDefault="00C04BD6">
      <w:pPr>
        <w:spacing w:before="0" w:after="200" w:line="276" w:lineRule="auto"/>
        <w:jc w:val="left"/>
        <w:rPr>
          <w:rFonts w:cstheme="minorHAnsi"/>
          <w:noProof/>
          <w:lang w:eastAsia="en-AU"/>
        </w:rPr>
      </w:pPr>
      <w:r>
        <w:rPr>
          <w:rFonts w:cstheme="minorHAnsi"/>
          <w:noProof/>
          <w:lang w:eastAsia="en-AU"/>
        </w:rPr>
        <w:br w:type="page"/>
      </w:r>
    </w:p>
    <w:p w14:paraId="08E7CBEC" w14:textId="77777777" w:rsidR="007821F8" w:rsidRDefault="007821F8" w:rsidP="007821F8">
      <w:r>
        <w:rPr>
          <w:noProof/>
          <w:lang w:eastAsia="en-AU"/>
        </w:rPr>
        <w:lastRenderedPageBreak/>
        <w:drawing>
          <wp:inline distT="0" distB="0" distL="0" distR="0" wp14:anchorId="31E2F9CF" wp14:editId="6B963DB5">
            <wp:extent cx="5727700" cy="415671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727700" cy="4156710"/>
                    </a:xfrm>
                    <a:prstGeom prst="rect">
                      <a:avLst/>
                    </a:prstGeom>
                    <a:noFill/>
                  </pic:spPr>
                </pic:pic>
              </a:graphicData>
            </a:graphic>
          </wp:inline>
        </w:drawing>
      </w:r>
    </w:p>
    <w:p w14:paraId="3F86CFE9" w14:textId="1E006085" w:rsidR="007821F8" w:rsidRDefault="007821F8" w:rsidP="00B46038">
      <w:pPr>
        <w:pStyle w:val="Captions"/>
      </w:pPr>
      <w:r>
        <w:t>Figure C7. Time series of Chlorophyll-a (Chla), Dissolved organic carbon (DOC), Total Nitrogen (TN) and Total Phosphorus (TP) concentrations measured as part of the CEW</w:t>
      </w:r>
      <w:r w:rsidR="005F70A2">
        <w:t>O</w:t>
      </w:r>
      <w:r>
        <w:t xml:space="preserve"> LTIM project at the site </w:t>
      </w:r>
      <w:r w:rsidR="00F56AD8">
        <w:t>below</w:t>
      </w:r>
      <w:r>
        <w:t xml:space="preserve"> Lock 1.</w:t>
      </w:r>
    </w:p>
    <w:p w14:paraId="2CA617FA" w14:textId="5E737F9D" w:rsidR="00025E5E" w:rsidRDefault="008478D7" w:rsidP="008478D7">
      <w:pPr>
        <w:rPr>
          <w:rFonts w:cstheme="minorHAnsi"/>
          <w:noProof/>
          <w:lang w:eastAsia="en-AU"/>
        </w:rPr>
      </w:pPr>
      <w:r>
        <w:rPr>
          <w:rFonts w:cstheme="minorHAnsi"/>
          <w:noProof/>
          <w:lang w:eastAsia="en-AU"/>
        </w:rPr>
        <w:t xml:space="preserve">The two sampling sites are a </w:t>
      </w:r>
      <w:r w:rsidR="00A20450">
        <w:rPr>
          <w:rFonts w:cstheme="minorHAnsi"/>
          <w:noProof/>
          <w:lang w:eastAsia="en-AU"/>
        </w:rPr>
        <w:t>considerable</w:t>
      </w:r>
      <w:r>
        <w:rPr>
          <w:rFonts w:cstheme="minorHAnsi"/>
          <w:noProof/>
          <w:lang w:eastAsia="en-AU"/>
        </w:rPr>
        <w:t xml:space="preserve"> distance apart with several weirs inbetween and metabolic activity appeared to occur independently in each. The largest rates of GPP </w:t>
      </w:r>
      <w:r w:rsidR="00F56AD8">
        <w:rPr>
          <w:rFonts w:cstheme="minorHAnsi"/>
          <w:noProof/>
          <w:lang w:eastAsia="en-AU"/>
        </w:rPr>
        <w:t>below</w:t>
      </w:r>
      <w:r>
        <w:rPr>
          <w:rFonts w:cstheme="minorHAnsi"/>
          <w:noProof/>
          <w:lang w:eastAsia="en-AU"/>
        </w:rPr>
        <w:t xml:space="preserve"> Lock 1 were observed in mid-January 2016 reaching 9.4</w:t>
      </w:r>
      <w:r w:rsidR="007821F8">
        <w:rPr>
          <w:rFonts w:cstheme="minorHAnsi"/>
          <w:noProof/>
          <w:lang w:eastAsia="en-AU"/>
        </w:rPr>
        <w:t> </w:t>
      </w:r>
      <w:r w:rsidR="007C6D50" w:rsidRPr="007C6D50">
        <w:rPr>
          <w:rFonts w:cstheme="minorHAnsi"/>
        </w:rPr>
        <w:t>mgO</w:t>
      </w:r>
      <w:r w:rsidR="007C6D50" w:rsidRPr="007C6D50">
        <w:rPr>
          <w:rFonts w:cstheme="minorHAnsi"/>
          <w:vertAlign w:val="subscript"/>
        </w:rPr>
        <w:t>2</w:t>
      </w:r>
      <w:r w:rsidR="007C6D50">
        <w:rPr>
          <w:rFonts w:cstheme="minorHAnsi"/>
          <w:vertAlign w:val="subscript"/>
        </w:rPr>
        <w:t> </w:t>
      </w:r>
      <w:r w:rsidR="007C6D50" w:rsidRPr="007C6D50">
        <w:rPr>
          <w:rFonts w:cstheme="minorHAnsi"/>
        </w:rPr>
        <w:t>m</w:t>
      </w:r>
      <w:r w:rsidR="007C6D50">
        <w:rPr>
          <w:rFonts w:cstheme="minorHAnsi"/>
          <w:vertAlign w:val="superscript"/>
        </w:rPr>
        <w:noBreakHyphen/>
      </w:r>
      <w:r w:rsidR="007C6D50" w:rsidRPr="007C6D50">
        <w:rPr>
          <w:rFonts w:cstheme="minorHAnsi"/>
          <w:vertAlign w:val="superscript"/>
        </w:rPr>
        <w:t>2</w:t>
      </w:r>
      <w:r w:rsidR="007C6D50">
        <w:rPr>
          <w:rFonts w:cstheme="minorHAnsi"/>
          <w:vertAlign w:val="subscript"/>
        </w:rPr>
        <w:t> </w:t>
      </w:r>
      <w:r w:rsidR="007C6D50" w:rsidRPr="007C6D50">
        <w:rPr>
          <w:rFonts w:cstheme="minorHAnsi"/>
        </w:rPr>
        <w:t>day</w:t>
      </w:r>
      <w:r w:rsidR="007C6D50">
        <w:rPr>
          <w:rFonts w:cstheme="minorHAnsi"/>
          <w:vertAlign w:val="superscript"/>
        </w:rPr>
        <w:noBreakHyphen/>
      </w:r>
      <w:r w:rsidR="007C6D50" w:rsidRPr="007C6D50">
        <w:rPr>
          <w:rFonts w:cstheme="minorHAnsi"/>
          <w:vertAlign w:val="superscript"/>
        </w:rPr>
        <w:t>1</w:t>
      </w:r>
      <w:r>
        <w:rPr>
          <w:rFonts w:cstheme="minorHAnsi"/>
        </w:rPr>
        <w:t xml:space="preserve">, but this was the period when data was not available for the site </w:t>
      </w:r>
      <w:r w:rsidR="00F56AD8">
        <w:rPr>
          <w:rFonts w:cstheme="minorHAnsi"/>
        </w:rPr>
        <w:t>below</w:t>
      </w:r>
      <w:r>
        <w:rPr>
          <w:rFonts w:cstheme="minorHAnsi"/>
        </w:rPr>
        <w:t xml:space="preserve"> Lock 6 and so direct comparisons could not be made. A second peak in GPP on the 26 February </w:t>
      </w:r>
      <w:r w:rsidR="00F56AD8">
        <w:rPr>
          <w:rFonts w:cstheme="minorHAnsi"/>
        </w:rPr>
        <w:t>below</w:t>
      </w:r>
      <w:r>
        <w:rPr>
          <w:rFonts w:cstheme="minorHAnsi"/>
        </w:rPr>
        <w:t xml:space="preserve"> Lock 1 was not associated with increases of GPP </w:t>
      </w:r>
      <w:r w:rsidR="00F56AD8">
        <w:rPr>
          <w:rFonts w:cstheme="minorHAnsi"/>
        </w:rPr>
        <w:t>below</w:t>
      </w:r>
      <w:r>
        <w:rPr>
          <w:rFonts w:cstheme="minorHAnsi"/>
        </w:rPr>
        <w:t xml:space="preserve"> Lock 6, suggesting that different processes were at play at the two sites </w:t>
      </w:r>
      <w:r w:rsidR="00F66E44">
        <w:rPr>
          <w:rFonts w:cstheme="minorHAnsi"/>
          <w:noProof/>
          <w:lang w:eastAsia="en-AU"/>
        </w:rPr>
        <w:t xml:space="preserve">in the flooplain and gorge </w:t>
      </w:r>
      <w:r w:rsidR="00EE1F48">
        <w:rPr>
          <w:rFonts w:cstheme="minorHAnsi"/>
          <w:noProof/>
          <w:lang w:eastAsia="en-AU"/>
        </w:rPr>
        <w:t xml:space="preserve">geomorphic </w:t>
      </w:r>
      <w:r w:rsidR="00F66E44">
        <w:rPr>
          <w:rFonts w:cstheme="minorHAnsi"/>
          <w:noProof/>
          <w:lang w:eastAsia="en-AU"/>
        </w:rPr>
        <w:t>zones</w:t>
      </w:r>
      <w:r w:rsidR="00EE1F48">
        <w:rPr>
          <w:rFonts w:cstheme="minorHAnsi"/>
          <w:noProof/>
          <w:lang w:eastAsia="en-AU"/>
        </w:rPr>
        <w:t xml:space="preserve"> of the LMR Selected Area</w:t>
      </w:r>
      <w:r>
        <w:rPr>
          <w:rFonts w:cstheme="minorHAnsi"/>
          <w:noProof/>
          <w:lang w:eastAsia="en-AU"/>
        </w:rPr>
        <w:t>.</w:t>
      </w:r>
    </w:p>
    <w:p w14:paraId="3E2495E8" w14:textId="77777777" w:rsidR="003671A3" w:rsidRPr="009D249D" w:rsidRDefault="003671A3" w:rsidP="009D249D">
      <w:pPr>
        <w:rPr>
          <w:b/>
          <w:color w:val="1F497D" w:themeColor="text2"/>
          <w:sz w:val="26"/>
          <w:szCs w:val="26"/>
        </w:rPr>
      </w:pPr>
      <w:r w:rsidRPr="009D249D">
        <w:rPr>
          <w:b/>
          <w:color w:val="1F497D" w:themeColor="text2"/>
          <w:sz w:val="26"/>
          <w:szCs w:val="26"/>
        </w:rPr>
        <w:t>Conclusions</w:t>
      </w:r>
    </w:p>
    <w:p w14:paraId="2EB3EE8E" w14:textId="7937A10A" w:rsidR="008478D7" w:rsidRDefault="008478D7" w:rsidP="008478D7">
      <w:pPr>
        <w:rPr>
          <w:rFonts w:cstheme="minorHAnsi"/>
        </w:rPr>
      </w:pPr>
      <w:r>
        <w:rPr>
          <w:rFonts w:cstheme="minorHAnsi"/>
        </w:rPr>
        <w:t xml:space="preserve">Oxygen concentrations were generally maintained at acceptable levels </w:t>
      </w:r>
      <w:r w:rsidR="00B20812">
        <w:rPr>
          <w:rFonts w:cstheme="minorHAnsi"/>
        </w:rPr>
        <w:t xml:space="preserve">(&gt;50% saturation) </w:t>
      </w:r>
      <w:r>
        <w:rPr>
          <w:rFonts w:cstheme="minorHAnsi"/>
        </w:rPr>
        <w:t xml:space="preserve">during the 2015/16 monitoring period. However, at the site </w:t>
      </w:r>
      <w:r w:rsidR="00F56AD8">
        <w:rPr>
          <w:rFonts w:cstheme="minorHAnsi"/>
        </w:rPr>
        <w:t>below</w:t>
      </w:r>
      <w:r>
        <w:rPr>
          <w:rFonts w:cstheme="minorHAnsi"/>
        </w:rPr>
        <w:t xml:space="preserve"> Lock 1, three periods of reduced oxygen concentration were </w:t>
      </w:r>
      <w:r w:rsidR="006936DD">
        <w:rPr>
          <w:rFonts w:cstheme="minorHAnsi"/>
        </w:rPr>
        <w:t>recorded</w:t>
      </w:r>
      <w:r>
        <w:rPr>
          <w:rFonts w:cstheme="minorHAnsi"/>
        </w:rPr>
        <w:t xml:space="preserve"> reaching minimum </w:t>
      </w:r>
      <w:r>
        <w:rPr>
          <w:rFonts w:cstheme="minorHAnsi"/>
        </w:rPr>
        <w:lastRenderedPageBreak/>
        <w:t>values of 5 mg</w:t>
      </w:r>
      <w:r w:rsidR="00486F46">
        <w:rPr>
          <w:rFonts w:cstheme="minorHAnsi"/>
        </w:rPr>
        <w:t xml:space="preserve"> </w:t>
      </w:r>
      <w:r>
        <w:rPr>
          <w:rFonts w:cstheme="minorHAnsi"/>
        </w:rPr>
        <w:t>L</w:t>
      </w:r>
      <w:r w:rsidR="00486F46" w:rsidRPr="00486F46">
        <w:rPr>
          <w:rFonts w:cstheme="minorHAnsi"/>
          <w:vertAlign w:val="superscript"/>
        </w:rPr>
        <w:t>-1</w:t>
      </w:r>
      <w:r>
        <w:rPr>
          <w:rFonts w:cstheme="minorHAnsi"/>
        </w:rPr>
        <w:t xml:space="preserve">. </w:t>
      </w:r>
      <w:r w:rsidR="0081348E">
        <w:rPr>
          <w:rFonts w:cstheme="minorHAnsi"/>
        </w:rPr>
        <w:t>These responses were attributed to biofouling of the oxygen sondes</w:t>
      </w:r>
      <w:r w:rsidR="00645991">
        <w:rPr>
          <w:rFonts w:cstheme="minorHAnsi"/>
        </w:rPr>
        <w:t xml:space="preserve"> at this site</w:t>
      </w:r>
      <w:r w:rsidR="0081348E">
        <w:rPr>
          <w:rFonts w:cstheme="minorHAnsi"/>
        </w:rPr>
        <w:t>.</w:t>
      </w:r>
    </w:p>
    <w:p w14:paraId="47D394CD" w14:textId="324EF2EA" w:rsidR="008478D7" w:rsidRDefault="008478D7" w:rsidP="008478D7">
      <w:pPr>
        <w:rPr>
          <w:rFonts w:cstheme="minorHAnsi"/>
        </w:rPr>
      </w:pPr>
      <w:r>
        <w:rPr>
          <w:rFonts w:cstheme="minorHAnsi"/>
        </w:rPr>
        <w:t xml:space="preserve">Metabolic activity was enhanced at the site </w:t>
      </w:r>
      <w:r w:rsidR="00F56AD8">
        <w:rPr>
          <w:rFonts w:cstheme="minorHAnsi"/>
        </w:rPr>
        <w:t>below</w:t>
      </w:r>
      <w:r>
        <w:rPr>
          <w:rFonts w:cstheme="minorHAnsi"/>
        </w:rPr>
        <w:t xml:space="preserve"> Lock 6 at the time that the weir pool was being raised </w:t>
      </w:r>
      <w:r w:rsidR="008B1D11">
        <w:rPr>
          <w:rFonts w:cstheme="minorHAnsi"/>
        </w:rPr>
        <w:t xml:space="preserve">facilitated by </w:t>
      </w:r>
      <w:r>
        <w:rPr>
          <w:rFonts w:cstheme="minorHAnsi"/>
        </w:rPr>
        <w:t>C</w:t>
      </w:r>
      <w:r w:rsidR="008B6D70">
        <w:rPr>
          <w:rFonts w:cstheme="minorHAnsi"/>
        </w:rPr>
        <w:t>ommonwealth environmental water</w:t>
      </w:r>
      <w:r>
        <w:rPr>
          <w:rFonts w:cstheme="minorHAnsi"/>
        </w:rPr>
        <w:t>. It is suggested that the changes in metabolism reflect the increased connection between the river and th</w:t>
      </w:r>
      <w:r w:rsidR="001E29E0">
        <w:rPr>
          <w:rFonts w:cstheme="minorHAnsi"/>
        </w:rPr>
        <w:t>e floodplain resulting from WPR</w:t>
      </w:r>
      <w:r>
        <w:rPr>
          <w:rFonts w:cstheme="minorHAnsi"/>
        </w:rPr>
        <w:t xml:space="preserve">. </w:t>
      </w:r>
      <w:r w:rsidR="006936DD">
        <w:rPr>
          <w:rFonts w:cstheme="minorHAnsi"/>
        </w:rPr>
        <w:t xml:space="preserve">This was possibly augmented by the return of water down Chowilla Creek as the Chowilla Regulator was lowered following a within anabranch flow rise supported by The Living Murray and Commonwealth environmental water. </w:t>
      </w:r>
      <w:r>
        <w:rPr>
          <w:rFonts w:cstheme="minorHAnsi"/>
        </w:rPr>
        <w:t xml:space="preserve">Integrating the metabolic responses over the </w:t>
      </w:r>
      <w:r w:rsidR="00B20812">
        <w:rPr>
          <w:rFonts w:cstheme="minorHAnsi"/>
        </w:rPr>
        <w:t>duration of the</w:t>
      </w:r>
      <w:r>
        <w:rPr>
          <w:rFonts w:cstheme="minorHAnsi"/>
        </w:rPr>
        <w:t xml:space="preserve"> monitoring period produced an ENP close to zero suggesting that the flooded area was enhancing aquatic phototrophic production, and that this was largely returned to the river. This response is important as intermittent periods of increased supplies of organic material are critical to the food webs of the Murray River and their decline in frequency, duration and extent has been proposed as a major cause of reductions of aquatic biota due to the decline in food supplies (</w:t>
      </w:r>
      <w:r w:rsidRPr="001B29DE">
        <w:t>Oliver and Merrick 2006; Oliver and Lorenz 2010</w:t>
      </w:r>
      <w:r>
        <w:rPr>
          <w:rFonts w:cstheme="minorHAnsi"/>
        </w:rPr>
        <w:t xml:space="preserve">). </w:t>
      </w:r>
      <w:r w:rsidR="006936DD">
        <w:rPr>
          <w:rFonts w:cstheme="minorHAnsi"/>
        </w:rPr>
        <w:t>Application of management techniques that enhance river and floodplain connectivity (e.g. WPR) to</w:t>
      </w:r>
      <w:r>
        <w:rPr>
          <w:rFonts w:cstheme="minorHAnsi"/>
        </w:rPr>
        <w:t xml:space="preserve"> a wider range of sites more frequently might broadly enhance metabolic activity with expected benefits to food webs, although further investigations are required to identify the beneficiaries and the food web links.</w:t>
      </w:r>
      <w:r w:rsidR="009C333C" w:rsidRPr="009C333C">
        <w:rPr>
          <w:rFonts w:cstheme="minorHAnsi"/>
        </w:rPr>
        <w:t xml:space="preserve"> </w:t>
      </w:r>
      <w:r w:rsidR="009C333C">
        <w:rPr>
          <w:rFonts w:cstheme="minorHAnsi"/>
        </w:rPr>
        <w:t>The continuing collection of data through the LTIM program should help to better understand these events.</w:t>
      </w:r>
    </w:p>
    <w:p w14:paraId="1759057A" w14:textId="77777777" w:rsidR="00844B2F" w:rsidRDefault="00844B2F" w:rsidP="007C2425"/>
    <w:p w14:paraId="5B40F1DF" w14:textId="77777777" w:rsidR="00844B2F" w:rsidRDefault="00844B2F">
      <w:pPr>
        <w:spacing w:before="0" w:after="200" w:line="276" w:lineRule="auto"/>
        <w:jc w:val="left"/>
      </w:pPr>
      <w:r>
        <w:br w:type="page"/>
      </w:r>
    </w:p>
    <w:p w14:paraId="26A1FD67" w14:textId="7E84A558" w:rsidR="00844B2F" w:rsidRDefault="001474B1" w:rsidP="00844B2F">
      <w:pPr>
        <w:pStyle w:val="Heading1"/>
        <w:numPr>
          <w:ilvl w:val="0"/>
          <w:numId w:val="0"/>
        </w:numPr>
      </w:pPr>
      <w:bookmarkStart w:id="156" w:name="_Toc441838750"/>
      <w:bookmarkStart w:id="157" w:name="_Toc474147075"/>
      <w:r>
        <w:lastRenderedPageBreak/>
        <w:t>Appendix D: Fish (c</w:t>
      </w:r>
      <w:r w:rsidR="00844B2F">
        <w:t>hannel)</w:t>
      </w:r>
      <w:bookmarkEnd w:id="156"/>
      <w:bookmarkEnd w:id="157"/>
    </w:p>
    <w:p w14:paraId="2A54FFAC" w14:textId="77777777" w:rsidR="00844B2F" w:rsidRPr="006C1814" w:rsidRDefault="00844B2F" w:rsidP="00844B2F">
      <w:pPr>
        <w:rPr>
          <w:color w:val="1F497D" w:themeColor="text2"/>
          <w:sz w:val="26"/>
          <w:szCs w:val="26"/>
        </w:rPr>
      </w:pPr>
      <w:r w:rsidRPr="006C1814">
        <w:rPr>
          <w:b/>
          <w:color w:val="1F497D" w:themeColor="text2"/>
          <w:sz w:val="26"/>
          <w:szCs w:val="26"/>
        </w:rPr>
        <w:t>Background and aims</w:t>
      </w:r>
    </w:p>
    <w:p w14:paraId="405B064B" w14:textId="230A2142" w:rsidR="00C33117" w:rsidRDefault="00C33117" w:rsidP="00C33117">
      <w:pPr>
        <w:rPr>
          <w:lang w:val="en-US"/>
        </w:rPr>
      </w:pPr>
      <w:r w:rsidRPr="003C4AE8">
        <w:rPr>
          <w:lang w:val="en-US"/>
        </w:rPr>
        <w:t xml:space="preserve">The </w:t>
      </w:r>
      <w:r>
        <w:rPr>
          <w:lang w:val="en-US"/>
        </w:rPr>
        <w:t>main channel of the LMR</w:t>
      </w:r>
      <w:r w:rsidRPr="003C4AE8">
        <w:rPr>
          <w:lang w:val="en-US"/>
        </w:rPr>
        <w:t xml:space="preserve"> supports a diverse fish assemblage, which is comprised of small- and large-bodied species that have </w:t>
      </w:r>
      <w:r>
        <w:rPr>
          <w:lang w:val="en-US"/>
        </w:rPr>
        <w:t>various</w:t>
      </w:r>
      <w:r w:rsidRPr="003C4AE8">
        <w:rPr>
          <w:lang w:val="en-US"/>
        </w:rPr>
        <w:t xml:space="preserve"> life history requirements</w:t>
      </w:r>
      <w:r>
        <w:rPr>
          <w:lang w:val="en-US"/>
        </w:rPr>
        <w:t xml:space="preserve"> (e.g. reproduction and habitat use)</w:t>
      </w:r>
      <w:r w:rsidRPr="003C4AE8">
        <w:rPr>
          <w:lang w:val="en-US"/>
        </w:rPr>
        <w:t>.</w:t>
      </w:r>
      <w:r>
        <w:rPr>
          <w:lang w:val="en-US"/>
        </w:rPr>
        <w:t xml:space="preserve"> Variation in the flow regime can influence in-channel hydraulics and structural ha</w:t>
      </w:r>
      <w:r w:rsidR="00867B05">
        <w:rPr>
          <w:lang w:val="en-US"/>
        </w:rPr>
        <w:t xml:space="preserve">bitat, which may influence main </w:t>
      </w:r>
      <w:r>
        <w:rPr>
          <w:lang w:val="en-US"/>
        </w:rPr>
        <w:t xml:space="preserve">channel fish assemblage structure (Bice </w:t>
      </w:r>
      <w:r w:rsidRPr="00703415">
        <w:rPr>
          <w:i/>
          <w:lang w:val="en-US"/>
        </w:rPr>
        <w:t xml:space="preserve">et al. </w:t>
      </w:r>
      <w:r>
        <w:rPr>
          <w:lang w:val="en-US"/>
        </w:rPr>
        <w:t>2014).</w:t>
      </w:r>
    </w:p>
    <w:p w14:paraId="70FD830A" w14:textId="25047E20" w:rsidR="00844B2F" w:rsidRPr="003C4AE8" w:rsidRDefault="00C33117" w:rsidP="00C33117">
      <w:pPr>
        <w:rPr>
          <w:lang w:val="en-US"/>
        </w:rPr>
      </w:pPr>
      <w:r w:rsidRPr="003C4AE8">
        <w:rPr>
          <w:lang w:val="en-US"/>
        </w:rPr>
        <w:t>The Category 1 Fish (channel)</w:t>
      </w:r>
      <w:r>
        <w:rPr>
          <w:lang w:val="en-US"/>
        </w:rPr>
        <w:t xml:space="preserve"> indicator was</w:t>
      </w:r>
      <w:r w:rsidR="00867B05">
        <w:rPr>
          <w:lang w:val="en-US"/>
        </w:rPr>
        <w:t xml:space="preserve"> designed for the B</w:t>
      </w:r>
      <w:r w:rsidRPr="003C4AE8">
        <w:rPr>
          <w:lang w:val="en-US"/>
        </w:rPr>
        <w:t xml:space="preserve">asin-scale evaluation for fish community responses to Commonwealth environmental water, which </w:t>
      </w:r>
      <w:r w:rsidR="000C079F">
        <w:rPr>
          <w:lang w:val="en-US"/>
        </w:rPr>
        <w:t>are being undertaken</w:t>
      </w:r>
      <w:r w:rsidRPr="003C4AE8">
        <w:rPr>
          <w:lang w:val="en-US"/>
        </w:rPr>
        <w:t xml:space="preserve"> by the M&amp;E Advisors</w:t>
      </w:r>
      <w:r>
        <w:rPr>
          <w:lang w:val="en-US"/>
        </w:rPr>
        <w:t xml:space="preserve"> (Hale </w:t>
      </w:r>
      <w:r w:rsidRPr="00C33117">
        <w:rPr>
          <w:i/>
          <w:lang w:val="en-US"/>
        </w:rPr>
        <w:t>et al.</w:t>
      </w:r>
      <w:r>
        <w:rPr>
          <w:lang w:val="en-US"/>
        </w:rPr>
        <w:t xml:space="preserve"> 2014)</w:t>
      </w:r>
      <w:r w:rsidRPr="003C4AE8">
        <w:rPr>
          <w:lang w:val="en-US"/>
        </w:rPr>
        <w:t xml:space="preserve">. </w:t>
      </w:r>
      <w:r w:rsidR="000C079F">
        <w:rPr>
          <w:lang w:val="en-US"/>
        </w:rPr>
        <w:t>While t</w:t>
      </w:r>
      <w:r w:rsidRPr="003C4AE8">
        <w:rPr>
          <w:lang w:val="en-US"/>
        </w:rPr>
        <w:t xml:space="preserve">here is no </w:t>
      </w:r>
      <w:r w:rsidR="000C079F">
        <w:rPr>
          <w:lang w:val="en-US"/>
        </w:rPr>
        <w:t xml:space="preserve">CEWO local </w:t>
      </w:r>
      <w:r w:rsidRPr="003C4AE8">
        <w:rPr>
          <w:lang w:val="en-US"/>
        </w:rPr>
        <w:t xml:space="preserve">evaluation </w:t>
      </w:r>
      <w:r w:rsidR="000C079F">
        <w:rPr>
          <w:lang w:val="en-US"/>
        </w:rPr>
        <w:t xml:space="preserve">questions </w:t>
      </w:r>
      <w:r w:rsidRPr="003C4AE8">
        <w:rPr>
          <w:lang w:val="en-US"/>
        </w:rPr>
        <w:t>for the Category 1 Fish (channel) indicator</w:t>
      </w:r>
      <w:r w:rsidR="000C079F">
        <w:rPr>
          <w:lang w:val="en-US"/>
        </w:rPr>
        <w:t xml:space="preserve"> in the LMR </w:t>
      </w:r>
      <w:r w:rsidR="000C079F" w:rsidRPr="003C4AE8">
        <w:rPr>
          <w:lang w:val="en-US"/>
        </w:rPr>
        <w:t>Selected Area</w:t>
      </w:r>
      <w:r w:rsidR="000C079F">
        <w:rPr>
          <w:lang w:val="en-US"/>
        </w:rPr>
        <w:t xml:space="preserve">, </w:t>
      </w:r>
      <w:r w:rsidRPr="007E4AE2">
        <w:rPr>
          <w:lang w:val="en-US"/>
        </w:rPr>
        <w:t>in this report we provide commentary on the fish assemblage</w:t>
      </w:r>
      <w:r>
        <w:rPr>
          <w:lang w:val="en-US"/>
        </w:rPr>
        <w:t xml:space="preserve"> </w:t>
      </w:r>
      <w:r w:rsidRPr="007E4AE2">
        <w:rPr>
          <w:lang w:val="en-US"/>
        </w:rPr>
        <w:t>in the gorge geomorphic zone using data collected through this indicator. Our interpretations of the data do not infer association of ecological patterns with Commonwealth environmental water delivery. For</w:t>
      </w:r>
      <w:r>
        <w:rPr>
          <w:lang w:val="en-US"/>
        </w:rPr>
        <w:t xml:space="preserve"> this report, our objectives are to</w:t>
      </w:r>
      <w:r w:rsidR="00844B2F">
        <w:rPr>
          <w:lang w:val="en-US"/>
        </w:rPr>
        <w:t xml:space="preserve">: </w:t>
      </w:r>
    </w:p>
    <w:p w14:paraId="489902AE" w14:textId="77777777" w:rsidR="00844B2F" w:rsidRPr="003C4AE8" w:rsidRDefault="00844B2F" w:rsidP="00844B2F">
      <w:pPr>
        <w:pStyle w:val="ListParagraph"/>
        <w:numPr>
          <w:ilvl w:val="0"/>
          <w:numId w:val="35"/>
        </w:numPr>
        <w:contextualSpacing/>
        <w:jc w:val="left"/>
        <w:rPr>
          <w:lang w:val="en-US"/>
        </w:rPr>
      </w:pPr>
      <w:r>
        <w:rPr>
          <w:lang w:val="en-US"/>
        </w:rPr>
        <w:t>Provide b</w:t>
      </w:r>
      <w:r w:rsidRPr="003C4AE8">
        <w:rPr>
          <w:lang w:val="en-US"/>
        </w:rPr>
        <w:t>asic summary statistics of the catch rates and population demographics</w:t>
      </w:r>
      <w:r>
        <w:rPr>
          <w:lang w:val="en-US"/>
        </w:rPr>
        <w:t xml:space="preserve"> </w:t>
      </w:r>
      <w:r w:rsidRPr="003C4AE8">
        <w:rPr>
          <w:lang w:val="en-US"/>
        </w:rPr>
        <w:t>for nominated species</w:t>
      </w:r>
      <w:r>
        <w:rPr>
          <w:lang w:val="en-US"/>
        </w:rPr>
        <w:t>;</w:t>
      </w:r>
    </w:p>
    <w:p w14:paraId="3108A45B" w14:textId="77777777" w:rsidR="00844B2F" w:rsidRDefault="00844B2F" w:rsidP="00844B2F">
      <w:pPr>
        <w:pStyle w:val="ListParagraph"/>
        <w:numPr>
          <w:ilvl w:val="0"/>
          <w:numId w:val="35"/>
        </w:numPr>
        <w:contextualSpacing/>
        <w:jc w:val="left"/>
        <w:rPr>
          <w:lang w:val="en-US"/>
        </w:rPr>
      </w:pPr>
      <w:r w:rsidRPr="003C4AE8">
        <w:rPr>
          <w:lang w:val="en-US"/>
        </w:rPr>
        <w:t xml:space="preserve">Describe temporal variation in fish assemblage </w:t>
      </w:r>
      <w:r>
        <w:rPr>
          <w:lang w:val="en-US"/>
        </w:rPr>
        <w:t xml:space="preserve">and population </w:t>
      </w:r>
      <w:r w:rsidRPr="003C4AE8">
        <w:rPr>
          <w:lang w:val="en-US"/>
        </w:rPr>
        <w:t>structure</w:t>
      </w:r>
      <w:r>
        <w:rPr>
          <w:lang w:val="en-US"/>
        </w:rPr>
        <w:t xml:space="preserve"> between Year 1 (autumn 2015) and 2 (autumn 2016)</w:t>
      </w:r>
      <w:r w:rsidRPr="003C4AE8">
        <w:rPr>
          <w:lang w:val="en-US"/>
        </w:rPr>
        <w:t>; and</w:t>
      </w:r>
    </w:p>
    <w:p w14:paraId="3395F40D" w14:textId="77777777" w:rsidR="00844B2F" w:rsidRDefault="00844B2F" w:rsidP="00844B2F">
      <w:pPr>
        <w:pStyle w:val="ListParagraph"/>
        <w:numPr>
          <w:ilvl w:val="0"/>
          <w:numId w:val="35"/>
        </w:numPr>
        <w:contextualSpacing/>
        <w:jc w:val="left"/>
        <w:rPr>
          <w:lang w:val="en-US"/>
        </w:rPr>
      </w:pPr>
      <w:r w:rsidRPr="00F0108E">
        <w:rPr>
          <w:lang w:val="en-US"/>
        </w:rPr>
        <w:t xml:space="preserve">Discuss key findings with some interpretation of the patterns based on published research and our current understanding of fish life histories and population dynamics in the </w:t>
      </w:r>
      <w:r>
        <w:rPr>
          <w:lang w:val="en-US"/>
        </w:rPr>
        <w:t>LMR</w:t>
      </w:r>
      <w:r w:rsidRPr="00F0108E">
        <w:rPr>
          <w:lang w:val="en-US"/>
        </w:rPr>
        <w:t>.</w:t>
      </w:r>
    </w:p>
    <w:p w14:paraId="551CA207" w14:textId="77777777" w:rsidR="00844B2F" w:rsidRPr="006C1814" w:rsidRDefault="00844B2F" w:rsidP="00844B2F">
      <w:pPr>
        <w:rPr>
          <w:color w:val="1F497D" w:themeColor="text2"/>
          <w:sz w:val="26"/>
          <w:szCs w:val="26"/>
        </w:rPr>
      </w:pPr>
      <w:r w:rsidRPr="006C1814">
        <w:rPr>
          <w:b/>
          <w:color w:val="1F497D" w:themeColor="text2"/>
          <w:sz w:val="26"/>
          <w:szCs w:val="26"/>
        </w:rPr>
        <w:t>Methods</w:t>
      </w:r>
    </w:p>
    <w:p w14:paraId="0FA23C72" w14:textId="77777777" w:rsidR="007E4AE2" w:rsidRPr="00521B83" w:rsidRDefault="007E4AE2" w:rsidP="007E4AE2">
      <w:pPr>
        <w:rPr>
          <w:b/>
          <w:i/>
          <w:color w:val="1F497D" w:themeColor="text2"/>
          <w:sz w:val="24"/>
          <w:szCs w:val="24"/>
        </w:rPr>
      </w:pPr>
      <w:r>
        <w:rPr>
          <w:b/>
          <w:i/>
          <w:color w:val="1F497D" w:themeColor="text2"/>
          <w:sz w:val="24"/>
          <w:szCs w:val="24"/>
        </w:rPr>
        <w:t>Fish sampling</w:t>
      </w:r>
    </w:p>
    <w:p w14:paraId="5DF5A8AB" w14:textId="6FFEAB2F" w:rsidR="007E4AE2" w:rsidRPr="003E2562" w:rsidRDefault="007E4AE2" w:rsidP="007E4AE2">
      <w:pPr>
        <w:rPr>
          <w:lang w:val="en-US"/>
        </w:rPr>
      </w:pPr>
      <w:r>
        <w:rPr>
          <w:lang w:val="en-US"/>
        </w:rPr>
        <w:t>Small-</w:t>
      </w:r>
      <w:r w:rsidRPr="003E2562">
        <w:rPr>
          <w:lang w:val="en-US"/>
        </w:rPr>
        <w:t xml:space="preserve"> and </w:t>
      </w:r>
      <w:r>
        <w:rPr>
          <w:lang w:val="en-US"/>
        </w:rPr>
        <w:t xml:space="preserve">large-bodied fish assemblages </w:t>
      </w:r>
      <w:r w:rsidRPr="003E2562">
        <w:rPr>
          <w:lang w:val="en-US"/>
        </w:rPr>
        <w:t xml:space="preserve">were sampled </w:t>
      </w:r>
      <w:r>
        <w:rPr>
          <w:lang w:val="en-US"/>
        </w:rPr>
        <w:t>from</w:t>
      </w:r>
      <w:r w:rsidRPr="003E2562">
        <w:rPr>
          <w:lang w:val="en-US"/>
        </w:rPr>
        <w:t xml:space="preserve"> the gorge geomorphic zone of</w:t>
      </w:r>
      <w:r>
        <w:rPr>
          <w:lang w:val="en-US"/>
        </w:rPr>
        <w:t xml:space="preserve"> the LMR Selected Area (</w:t>
      </w:r>
      <w:r w:rsidR="001704B4">
        <w:rPr>
          <w:lang w:val="en-US"/>
        </w:rPr>
        <w:fldChar w:fldCharType="begin"/>
      </w:r>
      <w:r w:rsidR="001704B4">
        <w:rPr>
          <w:lang w:val="en-US"/>
        </w:rPr>
        <w:instrText xml:space="preserve"> REF _Ref382232091 \h </w:instrText>
      </w:r>
      <w:r w:rsidR="001704B4">
        <w:rPr>
          <w:lang w:val="en-US"/>
        </w:rPr>
      </w:r>
      <w:r w:rsidR="001704B4">
        <w:rPr>
          <w:lang w:val="en-US"/>
        </w:rPr>
        <w:fldChar w:fldCharType="separate"/>
      </w:r>
      <w:r w:rsidR="004260C4" w:rsidRPr="00C757C7">
        <w:t xml:space="preserve">Figure </w:t>
      </w:r>
      <w:r w:rsidR="004260C4">
        <w:rPr>
          <w:noProof/>
        </w:rPr>
        <w:t>7</w:t>
      </w:r>
      <w:r w:rsidR="001704B4">
        <w:rPr>
          <w:lang w:val="en-US"/>
        </w:rPr>
        <w:fldChar w:fldCharType="end"/>
      </w:r>
      <w:r w:rsidRPr="003E2562">
        <w:rPr>
          <w:lang w:val="en-US"/>
        </w:rPr>
        <w:t>)</w:t>
      </w:r>
      <w:r>
        <w:rPr>
          <w:lang w:val="en-US"/>
        </w:rPr>
        <w:t xml:space="preserve"> </w:t>
      </w:r>
      <w:r w:rsidRPr="003E2562">
        <w:rPr>
          <w:lang w:val="en-US"/>
        </w:rPr>
        <w:t>using fine-meshed</w:t>
      </w:r>
      <w:r>
        <w:rPr>
          <w:lang w:val="en-US"/>
        </w:rPr>
        <w:t xml:space="preserve"> (</w:t>
      </w:r>
      <w:r w:rsidR="001704B4">
        <w:rPr>
          <w:lang w:val="en-US"/>
        </w:rPr>
        <w:t>2 mm mesh</w:t>
      </w:r>
      <w:r>
        <w:rPr>
          <w:lang w:val="en-US"/>
        </w:rPr>
        <w:t>)</w:t>
      </w:r>
      <w:r w:rsidRPr="003E2562">
        <w:rPr>
          <w:lang w:val="en-US"/>
        </w:rPr>
        <w:t xml:space="preserve"> fyke nets and electrofishing, respectively. Sampling occurred during </w:t>
      </w:r>
      <w:r>
        <w:rPr>
          <w:lang w:val="en-US"/>
        </w:rPr>
        <w:t>autumn 2016 (Year 2)</w:t>
      </w:r>
      <w:r w:rsidRPr="003E2562">
        <w:rPr>
          <w:lang w:val="en-US"/>
        </w:rPr>
        <w:t xml:space="preserve">, following </w:t>
      </w:r>
      <w:r>
        <w:rPr>
          <w:lang w:val="en-US"/>
        </w:rPr>
        <w:t xml:space="preserve">prescribed </w:t>
      </w:r>
      <w:r w:rsidRPr="003E2562">
        <w:rPr>
          <w:lang w:val="en-US"/>
        </w:rPr>
        <w:t xml:space="preserve">standard methods </w:t>
      </w:r>
      <w:r>
        <w:rPr>
          <w:lang w:val="en-US"/>
        </w:rPr>
        <w:t>(</w:t>
      </w:r>
      <w:r w:rsidRPr="003E2562">
        <w:rPr>
          <w:lang w:val="en-US"/>
        </w:rPr>
        <w:t xml:space="preserve">Hale </w:t>
      </w:r>
      <w:r w:rsidRPr="008D04A6">
        <w:rPr>
          <w:i/>
          <w:lang w:val="en-US"/>
        </w:rPr>
        <w:t xml:space="preserve">et al. </w:t>
      </w:r>
      <w:r w:rsidRPr="003E2562">
        <w:rPr>
          <w:lang w:val="en-US"/>
        </w:rPr>
        <w:t>2014).</w:t>
      </w:r>
      <w:r>
        <w:rPr>
          <w:lang w:val="en-US"/>
        </w:rPr>
        <w:t xml:space="preserve"> P</w:t>
      </w:r>
      <w:r w:rsidRPr="003E2562">
        <w:rPr>
          <w:lang w:val="en-US"/>
        </w:rPr>
        <w:t>o</w:t>
      </w:r>
      <w:r>
        <w:rPr>
          <w:lang w:val="en-US"/>
        </w:rPr>
        <w:t xml:space="preserve">pulation structure (i.e. length) data were obtained for seven target species, while age data were also </w:t>
      </w:r>
      <w:r>
        <w:rPr>
          <w:lang w:val="en-US"/>
        </w:rPr>
        <w:lastRenderedPageBreak/>
        <w:t>collected for bony herring (</w:t>
      </w:r>
      <w:r w:rsidRPr="005A47ED">
        <w:rPr>
          <w:i/>
          <w:lang w:val="en-US"/>
        </w:rPr>
        <w:t>Nematalosa erebi</w:t>
      </w:r>
      <w:r>
        <w:rPr>
          <w:lang w:val="en-US"/>
        </w:rPr>
        <w:t>) (Figure D1</w:t>
      </w:r>
      <w:r w:rsidRPr="003E2562">
        <w:rPr>
          <w:lang w:val="en-US"/>
        </w:rPr>
        <w:t>). Refer to the LMR LTIM M&amp;E Plan for detailed sampling design and methodology.</w:t>
      </w:r>
    </w:p>
    <w:p w14:paraId="34549E5C" w14:textId="77777777" w:rsidR="007E4AE2" w:rsidRDefault="007E4AE2" w:rsidP="007E4AE2">
      <w:pPr>
        <w:rPr>
          <w:sz w:val="24"/>
          <w:szCs w:val="24"/>
          <w:lang w:val="en-US"/>
        </w:rPr>
      </w:pPr>
      <w:r w:rsidRPr="003C4AE8">
        <w:rPr>
          <w:noProof/>
          <w:lang w:eastAsia="en-AU"/>
        </w:rPr>
        <w:drawing>
          <wp:inline distT="0" distB="0" distL="0" distR="0" wp14:anchorId="56E9F995" wp14:editId="6918B240">
            <wp:extent cx="5727700" cy="2254241"/>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727700" cy="2254241"/>
                    </a:xfrm>
                    <a:prstGeom prst="rect">
                      <a:avLst/>
                    </a:prstGeom>
                    <a:noFill/>
                    <a:ln>
                      <a:noFill/>
                    </a:ln>
                  </pic:spPr>
                </pic:pic>
              </a:graphicData>
            </a:graphic>
          </wp:inline>
        </w:drawing>
      </w:r>
    </w:p>
    <w:p w14:paraId="2D4BFB07" w14:textId="77777777" w:rsidR="007E4AE2" w:rsidRPr="005A47ED" w:rsidRDefault="007E4AE2" w:rsidP="00B46038">
      <w:pPr>
        <w:pStyle w:val="Captions"/>
      </w:pPr>
      <w:r w:rsidRPr="005A47ED">
        <w:t xml:space="preserve">Figure </w:t>
      </w:r>
      <w:r>
        <w:t>D1</w:t>
      </w:r>
      <w:r w:rsidRPr="005A47ED">
        <w:t>. Target species for the LMR Selected Area: (a) Murray cod and (b) freshwater catfish (equilibrium life history); (c) golden perch and (d) silver perch (periodic life hi</w:t>
      </w:r>
      <w:r>
        <w:t>story); and (e) carp gudgeon,</w:t>
      </w:r>
      <w:r w:rsidRPr="005A47ED">
        <w:t xml:space="preserve"> (f) Murray rainbowfish</w:t>
      </w:r>
      <w:r>
        <w:t xml:space="preserve"> and (g) bony herring</w:t>
      </w:r>
      <w:r w:rsidRPr="005A47ED">
        <w:t xml:space="preserve"> (opportunistic life history).</w:t>
      </w:r>
    </w:p>
    <w:p w14:paraId="62C6EA93" w14:textId="77777777" w:rsidR="00805881" w:rsidRPr="00521B83" w:rsidRDefault="00805881" w:rsidP="00805881">
      <w:pPr>
        <w:rPr>
          <w:b/>
          <w:i/>
          <w:color w:val="1F497D" w:themeColor="text2"/>
          <w:sz w:val="24"/>
          <w:szCs w:val="24"/>
        </w:rPr>
      </w:pPr>
      <w:r>
        <w:rPr>
          <w:b/>
          <w:i/>
          <w:color w:val="1F497D" w:themeColor="text2"/>
          <w:sz w:val="24"/>
          <w:szCs w:val="24"/>
        </w:rPr>
        <w:t>Data analysis</w:t>
      </w:r>
    </w:p>
    <w:p w14:paraId="04220005" w14:textId="77777777" w:rsidR="00805881" w:rsidRDefault="00805881" w:rsidP="00805881">
      <w:pPr>
        <w:rPr>
          <w:lang w:val="en-US"/>
        </w:rPr>
      </w:pPr>
      <w:r>
        <w:rPr>
          <w:lang w:val="en-US"/>
        </w:rPr>
        <w:t xml:space="preserve">Temporal variation in fish assemblage structure (species composition and abundance), between sampling years (i.e. 2015 and 2016), was investigated using a one-factor (i.e. year) permutational multivariate analysis of variance (PERMANOVA) in the software package PRIMER v. </w:t>
      </w:r>
      <w:r w:rsidRPr="00531040">
        <w:rPr>
          <w:lang w:val="en-US"/>
        </w:rPr>
        <w:t>6.1.12</w:t>
      </w:r>
      <w:r>
        <w:rPr>
          <w:lang w:val="en-US"/>
        </w:rPr>
        <w:t xml:space="preserve"> (Clarke and Gorley 2006) and PERMANOVA + v.1.02 (Anderson </w:t>
      </w:r>
      <w:r w:rsidRPr="00C673C6">
        <w:rPr>
          <w:i/>
          <w:lang w:val="en-US"/>
        </w:rPr>
        <w:t>et al.</w:t>
      </w:r>
      <w:r>
        <w:rPr>
          <w:lang w:val="en-US"/>
        </w:rPr>
        <w:t xml:space="preserve"> 2008).</w:t>
      </w:r>
      <w:r w:rsidRPr="00C673C6">
        <w:rPr>
          <w:lang w:val="en-US"/>
        </w:rPr>
        <w:t xml:space="preserve"> </w:t>
      </w:r>
      <w:r>
        <w:rPr>
          <w:lang w:val="en-US"/>
        </w:rPr>
        <w:t>Comparisons were made separately for small- (fyke nets) and large-bodied species (electrofishing). Analyses were performed on fourth-root transformed data from electrofishing (fish. 90 second electrofishing shot</w:t>
      </w:r>
      <w:r w:rsidRPr="004942E4">
        <w:rPr>
          <w:vertAlign w:val="superscript"/>
          <w:lang w:val="en-US"/>
        </w:rPr>
        <w:t>-1</w:t>
      </w:r>
      <w:r>
        <w:rPr>
          <w:lang w:val="en-US"/>
        </w:rPr>
        <w:t>) and untransformed data from fyke netting (fish. hour</w:t>
      </w:r>
      <w:r>
        <w:rPr>
          <w:vertAlign w:val="superscript"/>
          <w:lang w:val="en-US"/>
        </w:rPr>
        <w:noBreakHyphen/>
      </w:r>
      <w:r w:rsidRPr="004942E4">
        <w:rPr>
          <w:vertAlign w:val="superscript"/>
          <w:lang w:val="en-US"/>
        </w:rPr>
        <w:t>1</w:t>
      </w:r>
      <w:r>
        <w:rPr>
          <w:lang w:val="en-US"/>
        </w:rPr>
        <w:t>). PERMANOVA was performed on Bray-Curtis similarity matrices (Bray and Curtis 1957). Non-metric Multi-Dimensional Scaling (MDS), generated from the same matrices, was used to visualise fish assemblages from different years. When differences in fish assemblages occurred between years for PERMANOVA, Similarity Percentages (SIMPER) analysis was used to determine the fish species contributing to these differences, with a 40</w:t>
      </w:r>
      <w:r w:rsidRPr="00F17CA2">
        <w:rPr>
          <w:lang w:val="en-US"/>
        </w:rPr>
        <w:t>%</w:t>
      </w:r>
      <w:r>
        <w:rPr>
          <w:lang w:val="en-US"/>
        </w:rPr>
        <w:t xml:space="preserve"> cumulative contribution cut-off applied.</w:t>
      </w:r>
    </w:p>
    <w:p w14:paraId="27676189" w14:textId="77777777" w:rsidR="00805881" w:rsidRPr="00C673C6" w:rsidRDefault="00805881" w:rsidP="00805881">
      <w:pPr>
        <w:rPr>
          <w:lang w:val="en-US"/>
        </w:rPr>
      </w:pPr>
      <w:r>
        <w:rPr>
          <w:lang w:val="en-US"/>
        </w:rPr>
        <w:t>To determine temporal variation in population structure, length frequency histograms were qualitatively compared between sampling years (i.e. 2015 and 2016).</w:t>
      </w:r>
    </w:p>
    <w:p w14:paraId="2129AC1B" w14:textId="77777777" w:rsidR="00805881" w:rsidRDefault="00805881">
      <w:pPr>
        <w:spacing w:before="0" w:after="200" w:line="276" w:lineRule="auto"/>
        <w:jc w:val="left"/>
        <w:rPr>
          <w:b/>
          <w:color w:val="1F497D" w:themeColor="text2"/>
          <w:sz w:val="26"/>
          <w:szCs w:val="26"/>
        </w:rPr>
      </w:pPr>
      <w:r>
        <w:rPr>
          <w:b/>
          <w:color w:val="1F497D" w:themeColor="text2"/>
          <w:sz w:val="26"/>
          <w:szCs w:val="26"/>
        </w:rPr>
        <w:br w:type="page"/>
      </w:r>
    </w:p>
    <w:p w14:paraId="321AD49D" w14:textId="2FFD3D69" w:rsidR="00805881" w:rsidRDefault="00805881" w:rsidP="00805881">
      <w:pPr>
        <w:rPr>
          <w:b/>
          <w:color w:val="1F497D" w:themeColor="text2"/>
          <w:sz w:val="26"/>
          <w:szCs w:val="26"/>
        </w:rPr>
      </w:pPr>
      <w:r w:rsidRPr="006C1814">
        <w:rPr>
          <w:b/>
          <w:color w:val="1F497D" w:themeColor="text2"/>
          <w:sz w:val="26"/>
          <w:szCs w:val="26"/>
        </w:rPr>
        <w:lastRenderedPageBreak/>
        <w:t>Results</w:t>
      </w:r>
    </w:p>
    <w:p w14:paraId="4A5B55F7" w14:textId="77777777" w:rsidR="00805881" w:rsidRPr="00521B83" w:rsidRDefault="00805881" w:rsidP="00805881">
      <w:pPr>
        <w:rPr>
          <w:b/>
          <w:i/>
          <w:color w:val="1F497D" w:themeColor="text2"/>
          <w:sz w:val="24"/>
          <w:szCs w:val="24"/>
        </w:rPr>
      </w:pPr>
      <w:r>
        <w:rPr>
          <w:b/>
          <w:i/>
          <w:color w:val="1F497D" w:themeColor="text2"/>
          <w:sz w:val="24"/>
          <w:szCs w:val="24"/>
        </w:rPr>
        <w:t>Catch summary for autumn 2016</w:t>
      </w:r>
    </w:p>
    <w:p w14:paraId="2CFDB0C9" w14:textId="00E88152" w:rsidR="00805881" w:rsidRPr="00641F42" w:rsidRDefault="00805881" w:rsidP="00805881">
      <w:pPr>
        <w:rPr>
          <w:lang w:val="en-US"/>
        </w:rPr>
      </w:pPr>
      <w:r w:rsidRPr="00641F42">
        <w:rPr>
          <w:lang w:val="en-US"/>
        </w:rPr>
        <w:t xml:space="preserve">A total of </w:t>
      </w:r>
      <w:r>
        <w:rPr>
          <w:lang w:val="en-US"/>
        </w:rPr>
        <w:t>7,992</w:t>
      </w:r>
      <w:r w:rsidRPr="00641F42">
        <w:rPr>
          <w:lang w:val="en-US"/>
        </w:rPr>
        <w:t xml:space="preserve"> individuals from </w:t>
      </w:r>
      <w:r>
        <w:rPr>
          <w:lang w:val="en-US"/>
        </w:rPr>
        <w:t>seven</w:t>
      </w:r>
      <w:r w:rsidRPr="00641F42">
        <w:rPr>
          <w:lang w:val="en-US"/>
        </w:rPr>
        <w:t xml:space="preserve"> large-bodied species were sampled by electrofishing from ten sites in the </w:t>
      </w:r>
      <w:r>
        <w:rPr>
          <w:lang w:val="en-US"/>
        </w:rPr>
        <w:t xml:space="preserve">gorge geomorphic </w:t>
      </w:r>
      <w:r w:rsidR="00C33117">
        <w:rPr>
          <w:lang w:val="en-US"/>
        </w:rPr>
        <w:t>zone of the LMR Selected Area</w:t>
      </w:r>
      <w:r>
        <w:rPr>
          <w:lang w:val="en-US"/>
        </w:rPr>
        <w:t xml:space="preserve"> (Table D1)</w:t>
      </w:r>
      <w:r w:rsidRPr="00641F42">
        <w:rPr>
          <w:lang w:val="en-US"/>
        </w:rPr>
        <w:t>. Bony herring was the most abundant species (</w:t>
      </w:r>
      <w:r>
        <w:rPr>
          <w:lang w:val="en-US"/>
        </w:rPr>
        <w:t>23.2</w:t>
      </w:r>
      <w:r w:rsidRPr="00641F42">
        <w:rPr>
          <w:lang w:val="en-US"/>
        </w:rPr>
        <w:t xml:space="preserve"> ± </w:t>
      </w:r>
      <w:r>
        <w:rPr>
          <w:lang w:val="en-US"/>
        </w:rPr>
        <w:t>4.1</w:t>
      </w:r>
      <w:r w:rsidRPr="00641F42">
        <w:rPr>
          <w:lang w:val="en-US"/>
        </w:rPr>
        <w:t xml:space="preserve"> individuals per 90 second shot) and dominated electrofishing catch composition (9</w:t>
      </w:r>
      <w:r w:rsidR="0017201E">
        <w:rPr>
          <w:lang w:val="en-US"/>
        </w:rPr>
        <w:t>3%) (Table D1; Figure </w:t>
      </w:r>
      <w:r>
        <w:rPr>
          <w:lang w:val="en-US"/>
        </w:rPr>
        <w:t>D2</w:t>
      </w:r>
      <w:r w:rsidRPr="00641F42">
        <w:rPr>
          <w:lang w:val="en-US"/>
        </w:rPr>
        <w:t xml:space="preserve">a). </w:t>
      </w:r>
      <w:r>
        <w:rPr>
          <w:lang w:val="en-US"/>
        </w:rPr>
        <w:t>Common carp (</w:t>
      </w:r>
      <w:r w:rsidRPr="00202B06">
        <w:rPr>
          <w:i/>
          <w:lang w:val="en-US"/>
        </w:rPr>
        <w:t>Cyprinus carpio</w:t>
      </w:r>
      <w:r>
        <w:rPr>
          <w:lang w:val="en-US"/>
        </w:rPr>
        <w:t>) and g</w:t>
      </w:r>
      <w:r w:rsidRPr="00641F42">
        <w:rPr>
          <w:lang w:val="en-US"/>
        </w:rPr>
        <w:t xml:space="preserve">olden perch </w:t>
      </w:r>
      <w:r>
        <w:rPr>
          <w:lang w:val="en-US"/>
        </w:rPr>
        <w:t>(</w:t>
      </w:r>
      <w:r w:rsidRPr="00202B06">
        <w:rPr>
          <w:i/>
          <w:lang w:val="en-US"/>
        </w:rPr>
        <w:t>Macquaria ambigua</w:t>
      </w:r>
      <w:r>
        <w:rPr>
          <w:lang w:val="en-US"/>
        </w:rPr>
        <w:t xml:space="preserve">) </w:t>
      </w:r>
      <w:r w:rsidRPr="00641F42">
        <w:rPr>
          <w:lang w:val="en-US"/>
        </w:rPr>
        <w:t>were the second and third most abundant species, respectively.</w:t>
      </w:r>
    </w:p>
    <w:p w14:paraId="4C9D305A" w14:textId="2624A906" w:rsidR="004A5D6B" w:rsidRDefault="00805881" w:rsidP="00805881">
      <w:pPr>
        <w:rPr>
          <w:rFonts w:eastAsiaTheme="majorEastAsia" w:cstheme="majorBidi"/>
          <w:b/>
          <w:bCs/>
          <w:caps/>
          <w:color w:val="1F497D" w:themeColor="text2"/>
          <w:sz w:val="32"/>
          <w:szCs w:val="28"/>
        </w:rPr>
      </w:pPr>
      <w:r w:rsidRPr="003017C9">
        <w:rPr>
          <w:lang w:val="en-US"/>
        </w:rPr>
        <w:t xml:space="preserve">A total of 22,853 individuals from seven small-bodied species were sampled by fyke nets from ten sites in the </w:t>
      </w:r>
      <w:r>
        <w:rPr>
          <w:lang w:val="en-US"/>
        </w:rPr>
        <w:t xml:space="preserve">gorge geomorphic </w:t>
      </w:r>
      <w:r w:rsidR="00C33117">
        <w:rPr>
          <w:lang w:val="en-US"/>
        </w:rPr>
        <w:t>zone of the LMR Selected Area</w:t>
      </w:r>
      <w:r w:rsidR="0017201E">
        <w:rPr>
          <w:lang w:val="en-US"/>
        </w:rPr>
        <w:t xml:space="preserve"> (Table </w:t>
      </w:r>
      <w:r>
        <w:rPr>
          <w:lang w:val="en-US"/>
        </w:rPr>
        <w:t>D2)</w:t>
      </w:r>
      <w:r w:rsidRPr="003017C9">
        <w:rPr>
          <w:lang w:val="en-US"/>
        </w:rPr>
        <w:t>. Carp gudgeon (</w:t>
      </w:r>
      <w:r w:rsidRPr="00202B06">
        <w:rPr>
          <w:i/>
          <w:lang w:val="en-US"/>
        </w:rPr>
        <w:t>Hypseleotris</w:t>
      </w:r>
      <w:r w:rsidRPr="003017C9">
        <w:rPr>
          <w:lang w:val="en-US"/>
        </w:rPr>
        <w:t xml:space="preserve"> spp.) was the most abundant species (10.4 ± 1.8 individuals per net per hour) and dominated fyke net catch composition (87</w:t>
      </w:r>
      <w:r w:rsidR="0017201E">
        <w:rPr>
          <w:lang w:val="en-US"/>
        </w:rPr>
        <w:t>%) (Table </w:t>
      </w:r>
      <w:r>
        <w:rPr>
          <w:lang w:val="en-US"/>
        </w:rPr>
        <w:t>D2; Figure D2</w:t>
      </w:r>
      <w:r w:rsidRPr="003017C9">
        <w:rPr>
          <w:lang w:val="en-US"/>
        </w:rPr>
        <w:t>b). Gambusia (</w:t>
      </w:r>
      <w:r w:rsidRPr="00202B06">
        <w:rPr>
          <w:i/>
          <w:lang w:val="en-US"/>
        </w:rPr>
        <w:t>Gambusia holbrooki</w:t>
      </w:r>
      <w:r w:rsidRPr="003017C9">
        <w:rPr>
          <w:lang w:val="en-US"/>
        </w:rPr>
        <w:t>), Murray rainbowfish (</w:t>
      </w:r>
      <w:r w:rsidRPr="003017C9">
        <w:rPr>
          <w:i/>
          <w:lang w:val="en-US"/>
        </w:rPr>
        <w:t>Melanotaenia fluviatilis</w:t>
      </w:r>
      <w:r w:rsidRPr="003017C9">
        <w:rPr>
          <w:lang w:val="en-US"/>
        </w:rPr>
        <w:t>) and unspecked hardyhead (</w:t>
      </w:r>
      <w:r w:rsidRPr="00202B06">
        <w:rPr>
          <w:i/>
          <w:lang w:val="en-US"/>
        </w:rPr>
        <w:t>Craterocephalus fulvus</w:t>
      </w:r>
      <w:r w:rsidRPr="003017C9">
        <w:rPr>
          <w:lang w:val="en-US"/>
        </w:rPr>
        <w:t>) were the second, third and fourth most abundant species, respectively.</w:t>
      </w:r>
      <w:r w:rsidR="004A5D6B">
        <w:br w:type="page"/>
      </w:r>
    </w:p>
    <w:p w14:paraId="4554B91F" w14:textId="77777777" w:rsidR="004A5D6B" w:rsidRDefault="004A5D6B" w:rsidP="009D3ADA">
      <w:pPr>
        <w:pStyle w:val="Heading1"/>
        <w:sectPr w:rsidR="004A5D6B" w:rsidSect="00F020E5">
          <w:pgSz w:w="11900" w:h="16840" w:code="9"/>
          <w:pgMar w:top="1440" w:right="1440" w:bottom="1440" w:left="1440" w:header="709" w:footer="709" w:gutter="0"/>
          <w:cols w:space="708"/>
          <w:docGrid w:linePitch="360"/>
        </w:sectPr>
      </w:pPr>
    </w:p>
    <w:p w14:paraId="3A2A0541" w14:textId="77777777" w:rsidR="00805881" w:rsidRPr="00641F42" w:rsidRDefault="00805881" w:rsidP="00B46038">
      <w:pPr>
        <w:pStyle w:val="Captions"/>
      </w:pPr>
      <w:r>
        <w:lastRenderedPageBreak/>
        <w:t>Table D1</w:t>
      </w:r>
      <w:r w:rsidRPr="00641F42">
        <w:t xml:space="preserve">. </w:t>
      </w:r>
      <w:r>
        <w:t>Electrofishing c</w:t>
      </w:r>
      <w:r w:rsidRPr="00641F42">
        <w:t>atch summary (total catch</w:t>
      </w:r>
      <w:r>
        <w:t>, 2880 electrofishing seconds per site</w:t>
      </w:r>
      <w:r w:rsidRPr="00641F42">
        <w:t xml:space="preserve">) for </w:t>
      </w:r>
      <w:r>
        <w:t>large-bodied</w:t>
      </w:r>
      <w:r w:rsidRPr="00641F42">
        <w:t xml:space="preserve"> fish species in the gorge geomorphic zone of the LMR Selected Area</w:t>
      </w:r>
      <w:r>
        <w:t xml:space="preserve"> for autumn 2015 and 2016</w:t>
      </w:r>
      <w:r w:rsidRPr="00641F42">
        <w:t>. Site numbering increases with distance upstream.</w:t>
      </w:r>
    </w:p>
    <w:tbl>
      <w:tblPr>
        <w:tblW w:w="4671" w:type="pct"/>
        <w:tblLook w:val="04A0" w:firstRow="1" w:lastRow="0" w:firstColumn="1" w:lastColumn="0" w:noHBand="0" w:noVBand="1"/>
      </w:tblPr>
      <w:tblGrid>
        <w:gridCol w:w="1695"/>
        <w:gridCol w:w="1306"/>
        <w:gridCol w:w="1247"/>
        <w:gridCol w:w="869"/>
        <w:gridCol w:w="767"/>
        <w:gridCol w:w="840"/>
        <w:gridCol w:w="921"/>
        <w:gridCol w:w="1114"/>
        <w:gridCol w:w="1142"/>
        <w:gridCol w:w="1155"/>
        <w:gridCol w:w="994"/>
        <w:gridCol w:w="991"/>
      </w:tblGrid>
      <w:tr w:rsidR="00396077" w:rsidRPr="00555A65" w14:paraId="42B7C0C6" w14:textId="77777777" w:rsidTr="00396077">
        <w:trPr>
          <w:trHeight w:val="227"/>
        </w:trPr>
        <w:tc>
          <w:tcPr>
            <w:tcW w:w="650" w:type="pct"/>
            <w:tcBorders>
              <w:top w:val="single" w:sz="4" w:space="0" w:color="auto"/>
              <w:left w:val="nil"/>
              <w:bottom w:val="nil"/>
              <w:right w:val="nil"/>
            </w:tcBorders>
            <w:shd w:val="clear" w:color="auto" w:fill="auto"/>
            <w:noWrap/>
            <w:vAlign w:val="bottom"/>
            <w:hideMark/>
          </w:tcPr>
          <w:p w14:paraId="35AF461E" w14:textId="77777777" w:rsidR="00105D8A" w:rsidRPr="00555A65" w:rsidRDefault="00105D8A" w:rsidP="00A057F0">
            <w:pPr>
              <w:spacing w:after="0" w:line="240" w:lineRule="auto"/>
              <w:contextualSpacing/>
              <w:rPr>
                <w:rFonts w:cs="Calibri"/>
                <w:b/>
                <w:bCs/>
                <w:sz w:val="17"/>
                <w:szCs w:val="17"/>
                <w:lang w:eastAsia="en-AU"/>
              </w:rPr>
            </w:pPr>
            <w:r w:rsidRPr="00555A65">
              <w:rPr>
                <w:rFonts w:cs="Calibri"/>
                <w:b/>
                <w:bCs/>
                <w:sz w:val="17"/>
                <w:szCs w:val="17"/>
                <w:lang w:eastAsia="en-AU"/>
              </w:rPr>
              <w:t>Site No.</w:t>
            </w:r>
          </w:p>
        </w:tc>
        <w:tc>
          <w:tcPr>
            <w:tcW w:w="501" w:type="pct"/>
            <w:tcBorders>
              <w:top w:val="single" w:sz="4" w:space="0" w:color="auto"/>
              <w:left w:val="nil"/>
              <w:bottom w:val="nil"/>
              <w:right w:val="nil"/>
            </w:tcBorders>
            <w:shd w:val="clear" w:color="auto" w:fill="auto"/>
            <w:noWrap/>
            <w:vAlign w:val="bottom"/>
            <w:hideMark/>
          </w:tcPr>
          <w:p w14:paraId="2021AF70"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w:t>
            </w:r>
          </w:p>
        </w:tc>
        <w:tc>
          <w:tcPr>
            <w:tcW w:w="478" w:type="pct"/>
            <w:tcBorders>
              <w:top w:val="single" w:sz="4" w:space="0" w:color="auto"/>
              <w:left w:val="nil"/>
              <w:bottom w:val="nil"/>
              <w:right w:val="nil"/>
            </w:tcBorders>
            <w:shd w:val="clear" w:color="auto" w:fill="auto"/>
            <w:noWrap/>
            <w:vAlign w:val="bottom"/>
            <w:hideMark/>
          </w:tcPr>
          <w:p w14:paraId="47541A8D"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2</w:t>
            </w:r>
          </w:p>
        </w:tc>
        <w:tc>
          <w:tcPr>
            <w:tcW w:w="333" w:type="pct"/>
            <w:tcBorders>
              <w:top w:val="single" w:sz="4" w:space="0" w:color="auto"/>
              <w:left w:val="nil"/>
              <w:bottom w:val="nil"/>
              <w:right w:val="nil"/>
            </w:tcBorders>
            <w:shd w:val="clear" w:color="auto" w:fill="auto"/>
            <w:noWrap/>
            <w:vAlign w:val="bottom"/>
            <w:hideMark/>
          </w:tcPr>
          <w:p w14:paraId="008B7C47"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3</w:t>
            </w:r>
          </w:p>
        </w:tc>
        <w:tc>
          <w:tcPr>
            <w:tcW w:w="294" w:type="pct"/>
            <w:tcBorders>
              <w:top w:val="single" w:sz="4" w:space="0" w:color="auto"/>
              <w:left w:val="nil"/>
              <w:bottom w:val="nil"/>
              <w:right w:val="nil"/>
            </w:tcBorders>
            <w:shd w:val="clear" w:color="auto" w:fill="auto"/>
            <w:noWrap/>
            <w:vAlign w:val="bottom"/>
            <w:hideMark/>
          </w:tcPr>
          <w:p w14:paraId="022B563C"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4</w:t>
            </w:r>
          </w:p>
        </w:tc>
        <w:tc>
          <w:tcPr>
            <w:tcW w:w="322" w:type="pct"/>
            <w:tcBorders>
              <w:top w:val="single" w:sz="4" w:space="0" w:color="auto"/>
              <w:left w:val="nil"/>
              <w:bottom w:val="nil"/>
              <w:right w:val="nil"/>
            </w:tcBorders>
            <w:shd w:val="clear" w:color="auto" w:fill="auto"/>
            <w:noWrap/>
            <w:vAlign w:val="bottom"/>
            <w:hideMark/>
          </w:tcPr>
          <w:p w14:paraId="5397F63E"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5</w:t>
            </w:r>
          </w:p>
        </w:tc>
        <w:tc>
          <w:tcPr>
            <w:tcW w:w="353" w:type="pct"/>
            <w:tcBorders>
              <w:top w:val="single" w:sz="4" w:space="0" w:color="auto"/>
              <w:left w:val="nil"/>
              <w:bottom w:val="nil"/>
              <w:right w:val="nil"/>
            </w:tcBorders>
            <w:shd w:val="clear" w:color="auto" w:fill="auto"/>
            <w:noWrap/>
            <w:vAlign w:val="bottom"/>
            <w:hideMark/>
          </w:tcPr>
          <w:p w14:paraId="07CE8194"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6</w:t>
            </w:r>
          </w:p>
        </w:tc>
        <w:tc>
          <w:tcPr>
            <w:tcW w:w="427" w:type="pct"/>
            <w:tcBorders>
              <w:top w:val="single" w:sz="4" w:space="0" w:color="auto"/>
              <w:left w:val="nil"/>
              <w:bottom w:val="nil"/>
              <w:right w:val="nil"/>
            </w:tcBorders>
            <w:shd w:val="clear" w:color="auto" w:fill="auto"/>
            <w:noWrap/>
            <w:vAlign w:val="bottom"/>
            <w:hideMark/>
          </w:tcPr>
          <w:p w14:paraId="184DB5DA"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7</w:t>
            </w:r>
          </w:p>
        </w:tc>
        <w:tc>
          <w:tcPr>
            <w:tcW w:w="438" w:type="pct"/>
            <w:tcBorders>
              <w:top w:val="single" w:sz="4" w:space="0" w:color="auto"/>
              <w:left w:val="nil"/>
              <w:bottom w:val="nil"/>
              <w:right w:val="nil"/>
            </w:tcBorders>
            <w:shd w:val="clear" w:color="auto" w:fill="auto"/>
            <w:noWrap/>
            <w:vAlign w:val="bottom"/>
            <w:hideMark/>
          </w:tcPr>
          <w:p w14:paraId="784630AD"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8</w:t>
            </w:r>
          </w:p>
        </w:tc>
        <w:tc>
          <w:tcPr>
            <w:tcW w:w="443" w:type="pct"/>
            <w:tcBorders>
              <w:top w:val="single" w:sz="4" w:space="0" w:color="auto"/>
              <w:left w:val="nil"/>
              <w:bottom w:val="nil"/>
              <w:right w:val="nil"/>
            </w:tcBorders>
            <w:shd w:val="clear" w:color="auto" w:fill="auto"/>
            <w:noWrap/>
            <w:vAlign w:val="bottom"/>
            <w:hideMark/>
          </w:tcPr>
          <w:p w14:paraId="37C65DCD"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9</w:t>
            </w:r>
          </w:p>
        </w:tc>
        <w:tc>
          <w:tcPr>
            <w:tcW w:w="381" w:type="pct"/>
            <w:tcBorders>
              <w:top w:val="single" w:sz="4" w:space="0" w:color="auto"/>
              <w:left w:val="nil"/>
              <w:bottom w:val="nil"/>
              <w:right w:val="nil"/>
            </w:tcBorders>
            <w:shd w:val="clear" w:color="auto" w:fill="auto"/>
            <w:noWrap/>
            <w:vAlign w:val="bottom"/>
            <w:hideMark/>
          </w:tcPr>
          <w:p w14:paraId="50094C2D"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10</w:t>
            </w:r>
          </w:p>
        </w:tc>
        <w:tc>
          <w:tcPr>
            <w:tcW w:w="380" w:type="pct"/>
            <w:vMerge w:val="restart"/>
            <w:tcBorders>
              <w:top w:val="single" w:sz="4" w:space="0" w:color="auto"/>
              <w:left w:val="nil"/>
              <w:right w:val="nil"/>
            </w:tcBorders>
            <w:shd w:val="clear" w:color="auto" w:fill="auto"/>
            <w:noWrap/>
            <w:vAlign w:val="bottom"/>
            <w:hideMark/>
          </w:tcPr>
          <w:p w14:paraId="0FBC37DD" w14:textId="77777777" w:rsidR="00105D8A" w:rsidRPr="00555A65" w:rsidRDefault="00105D8A" w:rsidP="00A057F0">
            <w:pPr>
              <w:spacing w:after="0" w:line="240" w:lineRule="auto"/>
              <w:contextualSpacing/>
              <w:rPr>
                <w:rFonts w:cs="Calibri"/>
                <w:b/>
                <w:bCs/>
                <w:sz w:val="17"/>
                <w:szCs w:val="17"/>
                <w:lang w:eastAsia="en-AU"/>
              </w:rPr>
            </w:pPr>
            <w:r w:rsidRPr="00555A65">
              <w:rPr>
                <w:rFonts w:cs="Calibri"/>
                <w:sz w:val="17"/>
                <w:szCs w:val="17"/>
                <w:lang w:eastAsia="en-AU"/>
              </w:rPr>
              <w:t> </w:t>
            </w:r>
            <w:r w:rsidRPr="00555A65">
              <w:rPr>
                <w:rFonts w:cs="Calibri"/>
                <w:b/>
                <w:bCs/>
                <w:sz w:val="17"/>
                <w:szCs w:val="17"/>
                <w:lang w:eastAsia="en-AU"/>
              </w:rPr>
              <w:t xml:space="preserve">Total </w:t>
            </w:r>
          </w:p>
        </w:tc>
      </w:tr>
      <w:tr w:rsidR="00396077" w:rsidRPr="00555A65" w14:paraId="3927107D" w14:textId="77777777" w:rsidTr="00396077">
        <w:trPr>
          <w:trHeight w:val="227"/>
        </w:trPr>
        <w:tc>
          <w:tcPr>
            <w:tcW w:w="650" w:type="pct"/>
            <w:tcBorders>
              <w:top w:val="nil"/>
              <w:left w:val="nil"/>
              <w:bottom w:val="single" w:sz="4" w:space="0" w:color="auto"/>
              <w:right w:val="nil"/>
            </w:tcBorders>
            <w:shd w:val="clear" w:color="auto" w:fill="auto"/>
            <w:noWrap/>
            <w:vAlign w:val="bottom"/>
            <w:hideMark/>
          </w:tcPr>
          <w:p w14:paraId="1E6B3B35" w14:textId="77777777" w:rsidR="00105D8A" w:rsidRPr="00555A65" w:rsidRDefault="00105D8A" w:rsidP="00A057F0">
            <w:pPr>
              <w:spacing w:after="0" w:line="240" w:lineRule="auto"/>
              <w:contextualSpacing/>
              <w:rPr>
                <w:rFonts w:cs="Calibri"/>
                <w:b/>
                <w:bCs/>
                <w:sz w:val="17"/>
                <w:szCs w:val="17"/>
                <w:lang w:eastAsia="en-AU"/>
              </w:rPr>
            </w:pPr>
            <w:r w:rsidRPr="00555A65">
              <w:rPr>
                <w:rFonts w:cs="Calibri"/>
                <w:b/>
                <w:bCs/>
                <w:sz w:val="17"/>
                <w:szCs w:val="17"/>
                <w:lang w:eastAsia="en-AU"/>
              </w:rPr>
              <w:t>Site Name</w:t>
            </w:r>
          </w:p>
        </w:tc>
        <w:tc>
          <w:tcPr>
            <w:tcW w:w="501" w:type="pct"/>
            <w:tcBorders>
              <w:top w:val="nil"/>
              <w:left w:val="nil"/>
              <w:bottom w:val="single" w:sz="4" w:space="0" w:color="auto"/>
              <w:right w:val="nil"/>
            </w:tcBorders>
            <w:shd w:val="clear" w:color="auto" w:fill="auto"/>
            <w:noWrap/>
            <w:vAlign w:val="bottom"/>
            <w:hideMark/>
          </w:tcPr>
          <w:p w14:paraId="12CB1A7A"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Blanchetown</w:t>
            </w:r>
          </w:p>
        </w:tc>
        <w:tc>
          <w:tcPr>
            <w:tcW w:w="478" w:type="pct"/>
            <w:tcBorders>
              <w:top w:val="nil"/>
              <w:left w:val="nil"/>
              <w:bottom w:val="single" w:sz="4" w:space="0" w:color="auto"/>
              <w:right w:val="nil"/>
            </w:tcBorders>
            <w:shd w:val="clear" w:color="auto" w:fill="auto"/>
            <w:noWrap/>
            <w:vAlign w:val="bottom"/>
            <w:hideMark/>
          </w:tcPr>
          <w:p w14:paraId="14C372F8"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Scotts Creek</w:t>
            </w:r>
          </w:p>
        </w:tc>
        <w:tc>
          <w:tcPr>
            <w:tcW w:w="333" w:type="pct"/>
            <w:tcBorders>
              <w:top w:val="nil"/>
              <w:left w:val="nil"/>
              <w:bottom w:val="single" w:sz="4" w:space="0" w:color="auto"/>
              <w:right w:val="nil"/>
            </w:tcBorders>
            <w:shd w:val="clear" w:color="auto" w:fill="auto"/>
            <w:noWrap/>
            <w:vAlign w:val="bottom"/>
            <w:hideMark/>
          </w:tcPr>
          <w:p w14:paraId="291E53DC"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Morgan</w:t>
            </w:r>
          </w:p>
        </w:tc>
        <w:tc>
          <w:tcPr>
            <w:tcW w:w="294" w:type="pct"/>
            <w:tcBorders>
              <w:top w:val="nil"/>
              <w:left w:val="nil"/>
              <w:bottom w:val="single" w:sz="4" w:space="0" w:color="auto"/>
              <w:right w:val="nil"/>
            </w:tcBorders>
            <w:shd w:val="clear" w:color="auto" w:fill="auto"/>
            <w:noWrap/>
            <w:vAlign w:val="bottom"/>
            <w:hideMark/>
          </w:tcPr>
          <w:p w14:paraId="0B83E881"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Cadell</w:t>
            </w:r>
          </w:p>
        </w:tc>
        <w:tc>
          <w:tcPr>
            <w:tcW w:w="322" w:type="pct"/>
            <w:tcBorders>
              <w:top w:val="nil"/>
              <w:left w:val="nil"/>
              <w:bottom w:val="single" w:sz="4" w:space="0" w:color="auto"/>
              <w:right w:val="nil"/>
            </w:tcBorders>
            <w:shd w:val="clear" w:color="auto" w:fill="auto"/>
            <w:noWrap/>
            <w:vAlign w:val="bottom"/>
            <w:hideMark/>
          </w:tcPr>
          <w:p w14:paraId="5E7B5E93"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Qualco</w:t>
            </w:r>
          </w:p>
        </w:tc>
        <w:tc>
          <w:tcPr>
            <w:tcW w:w="353" w:type="pct"/>
            <w:tcBorders>
              <w:top w:val="nil"/>
              <w:left w:val="nil"/>
              <w:bottom w:val="single" w:sz="4" w:space="0" w:color="auto"/>
              <w:right w:val="nil"/>
            </w:tcBorders>
            <w:shd w:val="clear" w:color="auto" w:fill="auto"/>
            <w:noWrap/>
            <w:vAlign w:val="bottom"/>
            <w:hideMark/>
          </w:tcPr>
          <w:p w14:paraId="3DE812B5"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Waikerie</w:t>
            </w:r>
          </w:p>
        </w:tc>
        <w:tc>
          <w:tcPr>
            <w:tcW w:w="427" w:type="pct"/>
            <w:tcBorders>
              <w:top w:val="nil"/>
              <w:left w:val="nil"/>
              <w:bottom w:val="single" w:sz="4" w:space="0" w:color="auto"/>
              <w:right w:val="nil"/>
            </w:tcBorders>
            <w:shd w:val="clear" w:color="auto" w:fill="auto"/>
            <w:noWrap/>
            <w:vAlign w:val="bottom"/>
            <w:hideMark/>
          </w:tcPr>
          <w:p w14:paraId="0B227369"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Lowbank B</w:t>
            </w:r>
          </w:p>
        </w:tc>
        <w:tc>
          <w:tcPr>
            <w:tcW w:w="438" w:type="pct"/>
            <w:tcBorders>
              <w:top w:val="nil"/>
              <w:left w:val="nil"/>
              <w:bottom w:val="single" w:sz="4" w:space="0" w:color="auto"/>
              <w:right w:val="nil"/>
            </w:tcBorders>
            <w:shd w:val="clear" w:color="auto" w:fill="auto"/>
            <w:noWrap/>
            <w:vAlign w:val="bottom"/>
            <w:hideMark/>
          </w:tcPr>
          <w:p w14:paraId="43B24BD3"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Lowbank A</w:t>
            </w:r>
          </w:p>
        </w:tc>
        <w:tc>
          <w:tcPr>
            <w:tcW w:w="443" w:type="pct"/>
            <w:tcBorders>
              <w:top w:val="nil"/>
              <w:left w:val="nil"/>
              <w:bottom w:val="single" w:sz="4" w:space="0" w:color="auto"/>
              <w:right w:val="nil"/>
            </w:tcBorders>
            <w:shd w:val="clear" w:color="auto" w:fill="auto"/>
            <w:noWrap/>
            <w:vAlign w:val="bottom"/>
            <w:hideMark/>
          </w:tcPr>
          <w:p w14:paraId="2A13BED6"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 xml:space="preserve">Overland </w:t>
            </w:r>
          </w:p>
          <w:p w14:paraId="528CE1C5"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Corner B</w:t>
            </w:r>
          </w:p>
        </w:tc>
        <w:tc>
          <w:tcPr>
            <w:tcW w:w="381" w:type="pct"/>
            <w:tcBorders>
              <w:top w:val="nil"/>
              <w:left w:val="nil"/>
              <w:bottom w:val="single" w:sz="4" w:space="0" w:color="auto"/>
              <w:right w:val="nil"/>
            </w:tcBorders>
            <w:shd w:val="clear" w:color="auto" w:fill="auto"/>
            <w:noWrap/>
            <w:vAlign w:val="bottom"/>
            <w:hideMark/>
          </w:tcPr>
          <w:p w14:paraId="01BE2E18"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 xml:space="preserve">Overland </w:t>
            </w:r>
          </w:p>
          <w:p w14:paraId="77FAF4EE"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Corner A</w:t>
            </w:r>
          </w:p>
        </w:tc>
        <w:tc>
          <w:tcPr>
            <w:tcW w:w="380" w:type="pct"/>
            <w:vMerge/>
            <w:tcBorders>
              <w:left w:val="nil"/>
              <w:bottom w:val="single" w:sz="4" w:space="0" w:color="auto"/>
              <w:right w:val="nil"/>
            </w:tcBorders>
            <w:shd w:val="clear" w:color="auto" w:fill="auto"/>
            <w:noWrap/>
            <w:vAlign w:val="bottom"/>
            <w:hideMark/>
          </w:tcPr>
          <w:p w14:paraId="719340BA" w14:textId="77777777" w:rsidR="00105D8A" w:rsidRPr="00555A65" w:rsidRDefault="00105D8A" w:rsidP="00A057F0">
            <w:pPr>
              <w:spacing w:after="0" w:line="240" w:lineRule="auto"/>
              <w:contextualSpacing/>
              <w:rPr>
                <w:rFonts w:cs="Calibri"/>
                <w:b/>
                <w:bCs/>
                <w:sz w:val="17"/>
                <w:szCs w:val="17"/>
                <w:lang w:eastAsia="en-AU"/>
              </w:rPr>
            </w:pPr>
          </w:p>
        </w:tc>
      </w:tr>
      <w:tr w:rsidR="00396077" w:rsidRPr="00555A65" w14:paraId="480EECB0" w14:textId="77777777" w:rsidTr="00396077">
        <w:trPr>
          <w:trHeight w:val="227"/>
        </w:trPr>
        <w:tc>
          <w:tcPr>
            <w:tcW w:w="650" w:type="pct"/>
            <w:tcBorders>
              <w:top w:val="nil"/>
              <w:left w:val="nil"/>
              <w:bottom w:val="nil"/>
              <w:right w:val="nil"/>
            </w:tcBorders>
            <w:shd w:val="clear" w:color="auto" w:fill="auto"/>
            <w:noWrap/>
            <w:vAlign w:val="bottom"/>
            <w:hideMark/>
          </w:tcPr>
          <w:p w14:paraId="2AB05B10" w14:textId="77777777" w:rsidR="00105D8A" w:rsidRPr="00555A65" w:rsidRDefault="00105D8A" w:rsidP="00A057F0">
            <w:pPr>
              <w:spacing w:after="0" w:line="240" w:lineRule="auto"/>
              <w:contextualSpacing/>
              <w:jc w:val="right"/>
              <w:rPr>
                <w:rFonts w:cs="Calibri"/>
                <w:b/>
                <w:bCs/>
                <w:sz w:val="17"/>
                <w:szCs w:val="17"/>
                <w:lang w:eastAsia="en-AU"/>
              </w:rPr>
            </w:pPr>
          </w:p>
        </w:tc>
        <w:tc>
          <w:tcPr>
            <w:tcW w:w="501" w:type="pct"/>
            <w:tcBorders>
              <w:top w:val="nil"/>
              <w:left w:val="nil"/>
              <w:bottom w:val="nil"/>
              <w:right w:val="nil"/>
            </w:tcBorders>
            <w:shd w:val="clear" w:color="auto" w:fill="auto"/>
            <w:noWrap/>
            <w:vAlign w:val="bottom"/>
            <w:hideMark/>
          </w:tcPr>
          <w:p w14:paraId="4AA22B83" w14:textId="77777777" w:rsidR="00105D8A" w:rsidRPr="00555A65" w:rsidRDefault="00105D8A" w:rsidP="00A057F0">
            <w:pPr>
              <w:spacing w:after="0" w:line="240" w:lineRule="auto"/>
              <w:contextualSpacing/>
              <w:rPr>
                <w:rFonts w:cs="Calibri"/>
                <w:sz w:val="17"/>
                <w:szCs w:val="17"/>
                <w:lang w:eastAsia="en-AU"/>
              </w:rPr>
            </w:pPr>
          </w:p>
        </w:tc>
        <w:tc>
          <w:tcPr>
            <w:tcW w:w="478" w:type="pct"/>
            <w:tcBorders>
              <w:top w:val="nil"/>
              <w:left w:val="nil"/>
              <w:bottom w:val="nil"/>
              <w:right w:val="nil"/>
            </w:tcBorders>
            <w:shd w:val="clear" w:color="auto" w:fill="auto"/>
            <w:noWrap/>
            <w:vAlign w:val="bottom"/>
            <w:hideMark/>
          </w:tcPr>
          <w:p w14:paraId="4A6C0AFE" w14:textId="77777777" w:rsidR="00105D8A" w:rsidRPr="00555A65" w:rsidRDefault="00105D8A" w:rsidP="00A057F0">
            <w:pPr>
              <w:spacing w:after="0" w:line="240" w:lineRule="auto"/>
              <w:contextualSpacing/>
              <w:rPr>
                <w:rFonts w:cs="Calibri"/>
                <w:sz w:val="17"/>
                <w:szCs w:val="17"/>
                <w:lang w:eastAsia="en-AU"/>
              </w:rPr>
            </w:pPr>
          </w:p>
        </w:tc>
        <w:tc>
          <w:tcPr>
            <w:tcW w:w="333" w:type="pct"/>
            <w:tcBorders>
              <w:top w:val="nil"/>
              <w:left w:val="nil"/>
              <w:bottom w:val="nil"/>
              <w:right w:val="nil"/>
            </w:tcBorders>
            <w:shd w:val="clear" w:color="auto" w:fill="auto"/>
            <w:noWrap/>
            <w:vAlign w:val="bottom"/>
            <w:hideMark/>
          </w:tcPr>
          <w:p w14:paraId="2DEE9A46" w14:textId="77777777" w:rsidR="00105D8A" w:rsidRPr="00555A65" w:rsidRDefault="00105D8A" w:rsidP="00A057F0">
            <w:pPr>
              <w:spacing w:after="0" w:line="240" w:lineRule="auto"/>
              <w:contextualSpacing/>
              <w:rPr>
                <w:rFonts w:cs="Calibri"/>
                <w:sz w:val="17"/>
                <w:szCs w:val="17"/>
                <w:lang w:eastAsia="en-AU"/>
              </w:rPr>
            </w:pPr>
          </w:p>
        </w:tc>
        <w:tc>
          <w:tcPr>
            <w:tcW w:w="294" w:type="pct"/>
            <w:tcBorders>
              <w:top w:val="nil"/>
              <w:left w:val="nil"/>
              <w:bottom w:val="nil"/>
              <w:right w:val="nil"/>
            </w:tcBorders>
            <w:shd w:val="clear" w:color="auto" w:fill="auto"/>
            <w:noWrap/>
            <w:vAlign w:val="bottom"/>
            <w:hideMark/>
          </w:tcPr>
          <w:p w14:paraId="35A14DC4" w14:textId="77777777" w:rsidR="00105D8A" w:rsidRPr="00555A65" w:rsidRDefault="00105D8A" w:rsidP="00A057F0">
            <w:pPr>
              <w:spacing w:after="0" w:line="240" w:lineRule="auto"/>
              <w:contextualSpacing/>
              <w:rPr>
                <w:rFonts w:cs="Calibri"/>
                <w:sz w:val="17"/>
                <w:szCs w:val="17"/>
                <w:lang w:eastAsia="en-AU"/>
              </w:rPr>
            </w:pPr>
          </w:p>
        </w:tc>
        <w:tc>
          <w:tcPr>
            <w:tcW w:w="322" w:type="pct"/>
            <w:tcBorders>
              <w:top w:val="nil"/>
              <w:left w:val="nil"/>
              <w:bottom w:val="nil"/>
              <w:right w:val="nil"/>
            </w:tcBorders>
            <w:shd w:val="clear" w:color="auto" w:fill="auto"/>
            <w:noWrap/>
            <w:vAlign w:val="bottom"/>
            <w:hideMark/>
          </w:tcPr>
          <w:p w14:paraId="083125FC" w14:textId="77777777" w:rsidR="00105D8A" w:rsidRPr="00555A65" w:rsidRDefault="00105D8A" w:rsidP="00A057F0">
            <w:pPr>
              <w:spacing w:after="0" w:line="240" w:lineRule="auto"/>
              <w:contextualSpacing/>
              <w:rPr>
                <w:rFonts w:cs="Calibri"/>
                <w:sz w:val="17"/>
                <w:szCs w:val="17"/>
                <w:lang w:eastAsia="en-AU"/>
              </w:rPr>
            </w:pPr>
          </w:p>
        </w:tc>
        <w:tc>
          <w:tcPr>
            <w:tcW w:w="353" w:type="pct"/>
            <w:tcBorders>
              <w:top w:val="nil"/>
              <w:left w:val="nil"/>
              <w:bottom w:val="nil"/>
              <w:right w:val="nil"/>
            </w:tcBorders>
            <w:shd w:val="clear" w:color="auto" w:fill="auto"/>
            <w:noWrap/>
            <w:vAlign w:val="bottom"/>
            <w:hideMark/>
          </w:tcPr>
          <w:p w14:paraId="608AD67D" w14:textId="77777777" w:rsidR="00105D8A" w:rsidRPr="00555A65" w:rsidRDefault="00105D8A" w:rsidP="00A057F0">
            <w:pPr>
              <w:spacing w:after="0" w:line="240" w:lineRule="auto"/>
              <w:contextualSpacing/>
              <w:rPr>
                <w:rFonts w:cs="Calibri"/>
                <w:sz w:val="17"/>
                <w:szCs w:val="17"/>
                <w:lang w:eastAsia="en-AU"/>
              </w:rPr>
            </w:pPr>
          </w:p>
        </w:tc>
        <w:tc>
          <w:tcPr>
            <w:tcW w:w="427" w:type="pct"/>
            <w:tcBorders>
              <w:top w:val="nil"/>
              <w:left w:val="nil"/>
              <w:bottom w:val="nil"/>
              <w:right w:val="nil"/>
            </w:tcBorders>
            <w:shd w:val="clear" w:color="auto" w:fill="auto"/>
            <w:noWrap/>
            <w:vAlign w:val="bottom"/>
            <w:hideMark/>
          </w:tcPr>
          <w:p w14:paraId="49535E1D" w14:textId="77777777" w:rsidR="00105D8A" w:rsidRPr="00555A65" w:rsidRDefault="00105D8A" w:rsidP="00A057F0">
            <w:pPr>
              <w:spacing w:after="0" w:line="240" w:lineRule="auto"/>
              <w:contextualSpacing/>
              <w:rPr>
                <w:rFonts w:cs="Calibri"/>
                <w:sz w:val="17"/>
                <w:szCs w:val="17"/>
                <w:lang w:eastAsia="en-AU"/>
              </w:rPr>
            </w:pPr>
          </w:p>
        </w:tc>
        <w:tc>
          <w:tcPr>
            <w:tcW w:w="438" w:type="pct"/>
            <w:tcBorders>
              <w:top w:val="nil"/>
              <w:left w:val="nil"/>
              <w:bottom w:val="nil"/>
              <w:right w:val="nil"/>
            </w:tcBorders>
            <w:shd w:val="clear" w:color="auto" w:fill="auto"/>
            <w:noWrap/>
            <w:vAlign w:val="bottom"/>
            <w:hideMark/>
          </w:tcPr>
          <w:p w14:paraId="1E4E5D2C" w14:textId="77777777" w:rsidR="00105D8A" w:rsidRPr="00555A65" w:rsidRDefault="00105D8A" w:rsidP="00A057F0">
            <w:pPr>
              <w:spacing w:after="0" w:line="240" w:lineRule="auto"/>
              <w:contextualSpacing/>
              <w:rPr>
                <w:rFonts w:cs="Calibri"/>
                <w:sz w:val="17"/>
                <w:szCs w:val="17"/>
                <w:lang w:eastAsia="en-AU"/>
              </w:rPr>
            </w:pPr>
          </w:p>
        </w:tc>
        <w:tc>
          <w:tcPr>
            <w:tcW w:w="443" w:type="pct"/>
            <w:tcBorders>
              <w:top w:val="nil"/>
              <w:left w:val="nil"/>
              <w:bottom w:val="nil"/>
              <w:right w:val="nil"/>
            </w:tcBorders>
            <w:shd w:val="clear" w:color="auto" w:fill="auto"/>
            <w:noWrap/>
            <w:vAlign w:val="bottom"/>
            <w:hideMark/>
          </w:tcPr>
          <w:p w14:paraId="3F592445" w14:textId="77777777" w:rsidR="00105D8A" w:rsidRPr="00555A65" w:rsidRDefault="00105D8A" w:rsidP="00A057F0">
            <w:pPr>
              <w:spacing w:after="0" w:line="240" w:lineRule="auto"/>
              <w:contextualSpacing/>
              <w:rPr>
                <w:rFonts w:cs="Calibri"/>
                <w:sz w:val="17"/>
                <w:szCs w:val="17"/>
                <w:lang w:eastAsia="en-AU"/>
              </w:rPr>
            </w:pPr>
          </w:p>
        </w:tc>
        <w:tc>
          <w:tcPr>
            <w:tcW w:w="381" w:type="pct"/>
            <w:tcBorders>
              <w:top w:val="nil"/>
              <w:left w:val="nil"/>
              <w:bottom w:val="nil"/>
              <w:right w:val="nil"/>
            </w:tcBorders>
            <w:shd w:val="clear" w:color="auto" w:fill="auto"/>
            <w:noWrap/>
            <w:vAlign w:val="bottom"/>
            <w:hideMark/>
          </w:tcPr>
          <w:p w14:paraId="59D14940" w14:textId="77777777" w:rsidR="00105D8A" w:rsidRPr="00555A65" w:rsidRDefault="00105D8A" w:rsidP="00A057F0">
            <w:pPr>
              <w:spacing w:after="0" w:line="240" w:lineRule="auto"/>
              <w:contextualSpacing/>
              <w:rPr>
                <w:rFonts w:cs="Calibri"/>
                <w:sz w:val="17"/>
                <w:szCs w:val="17"/>
                <w:lang w:eastAsia="en-AU"/>
              </w:rPr>
            </w:pPr>
          </w:p>
        </w:tc>
        <w:tc>
          <w:tcPr>
            <w:tcW w:w="380" w:type="pct"/>
            <w:tcBorders>
              <w:top w:val="nil"/>
              <w:left w:val="nil"/>
              <w:bottom w:val="nil"/>
              <w:right w:val="nil"/>
            </w:tcBorders>
            <w:shd w:val="clear" w:color="auto" w:fill="auto"/>
            <w:noWrap/>
            <w:vAlign w:val="bottom"/>
            <w:hideMark/>
          </w:tcPr>
          <w:p w14:paraId="4CF40274" w14:textId="77777777" w:rsidR="00105D8A" w:rsidRPr="00555A65" w:rsidRDefault="00105D8A" w:rsidP="00A057F0">
            <w:pPr>
              <w:spacing w:after="0" w:line="240" w:lineRule="auto"/>
              <w:contextualSpacing/>
              <w:rPr>
                <w:rFonts w:cs="Calibri"/>
                <w:b/>
                <w:bCs/>
                <w:sz w:val="17"/>
                <w:szCs w:val="17"/>
                <w:lang w:eastAsia="en-AU"/>
              </w:rPr>
            </w:pPr>
          </w:p>
        </w:tc>
      </w:tr>
      <w:tr w:rsidR="00396077" w:rsidRPr="00555A65" w14:paraId="742B02E8" w14:textId="77777777" w:rsidTr="00396077">
        <w:trPr>
          <w:trHeight w:val="227"/>
        </w:trPr>
        <w:tc>
          <w:tcPr>
            <w:tcW w:w="650" w:type="pct"/>
            <w:tcBorders>
              <w:top w:val="nil"/>
              <w:left w:val="nil"/>
              <w:bottom w:val="nil"/>
              <w:right w:val="nil"/>
            </w:tcBorders>
            <w:shd w:val="clear" w:color="auto" w:fill="auto"/>
            <w:noWrap/>
            <w:vAlign w:val="bottom"/>
          </w:tcPr>
          <w:p w14:paraId="7F9AFFE3" w14:textId="77777777" w:rsidR="00105D8A" w:rsidRPr="00555A65" w:rsidRDefault="00105D8A" w:rsidP="00A057F0">
            <w:pPr>
              <w:spacing w:after="0" w:line="240" w:lineRule="auto"/>
              <w:contextualSpacing/>
              <w:rPr>
                <w:rFonts w:cs="Calibri"/>
                <w:sz w:val="17"/>
                <w:szCs w:val="17"/>
                <w:u w:val="single"/>
                <w:lang w:eastAsia="en-AU"/>
              </w:rPr>
            </w:pPr>
            <w:r w:rsidRPr="00555A65">
              <w:rPr>
                <w:rFonts w:cs="Calibri"/>
                <w:sz w:val="17"/>
                <w:szCs w:val="17"/>
                <w:u w:val="single"/>
                <w:lang w:eastAsia="en-AU"/>
              </w:rPr>
              <w:t>2015</w:t>
            </w:r>
          </w:p>
        </w:tc>
        <w:tc>
          <w:tcPr>
            <w:tcW w:w="501" w:type="pct"/>
            <w:tcBorders>
              <w:top w:val="nil"/>
              <w:left w:val="nil"/>
              <w:bottom w:val="nil"/>
              <w:right w:val="nil"/>
            </w:tcBorders>
            <w:shd w:val="clear" w:color="auto" w:fill="auto"/>
            <w:noWrap/>
            <w:vAlign w:val="bottom"/>
          </w:tcPr>
          <w:p w14:paraId="7857B381" w14:textId="77777777" w:rsidR="00105D8A" w:rsidRPr="00555A65" w:rsidRDefault="00105D8A" w:rsidP="00A057F0">
            <w:pPr>
              <w:spacing w:after="0" w:line="240" w:lineRule="auto"/>
              <w:contextualSpacing/>
              <w:rPr>
                <w:rFonts w:cs="Calibri"/>
                <w:sz w:val="17"/>
                <w:szCs w:val="17"/>
                <w:lang w:eastAsia="en-AU"/>
              </w:rPr>
            </w:pPr>
          </w:p>
        </w:tc>
        <w:tc>
          <w:tcPr>
            <w:tcW w:w="478" w:type="pct"/>
            <w:tcBorders>
              <w:top w:val="nil"/>
              <w:left w:val="nil"/>
              <w:bottom w:val="nil"/>
              <w:right w:val="nil"/>
            </w:tcBorders>
            <w:shd w:val="clear" w:color="auto" w:fill="auto"/>
            <w:noWrap/>
            <w:vAlign w:val="bottom"/>
          </w:tcPr>
          <w:p w14:paraId="578E486F" w14:textId="77777777" w:rsidR="00105D8A" w:rsidRPr="00555A65" w:rsidRDefault="00105D8A" w:rsidP="00A057F0">
            <w:pPr>
              <w:spacing w:after="0" w:line="240" w:lineRule="auto"/>
              <w:contextualSpacing/>
              <w:rPr>
                <w:rFonts w:cs="Calibri"/>
                <w:sz w:val="17"/>
                <w:szCs w:val="17"/>
                <w:lang w:eastAsia="en-AU"/>
              </w:rPr>
            </w:pPr>
          </w:p>
        </w:tc>
        <w:tc>
          <w:tcPr>
            <w:tcW w:w="333" w:type="pct"/>
            <w:tcBorders>
              <w:top w:val="nil"/>
              <w:left w:val="nil"/>
              <w:bottom w:val="nil"/>
              <w:right w:val="nil"/>
            </w:tcBorders>
            <w:shd w:val="clear" w:color="auto" w:fill="auto"/>
            <w:noWrap/>
            <w:vAlign w:val="bottom"/>
          </w:tcPr>
          <w:p w14:paraId="087DABCF" w14:textId="77777777" w:rsidR="00105D8A" w:rsidRPr="00555A65" w:rsidRDefault="00105D8A" w:rsidP="00A057F0">
            <w:pPr>
              <w:spacing w:after="0" w:line="240" w:lineRule="auto"/>
              <w:contextualSpacing/>
              <w:rPr>
                <w:rFonts w:cs="Calibri"/>
                <w:sz w:val="17"/>
                <w:szCs w:val="17"/>
                <w:lang w:eastAsia="en-AU"/>
              </w:rPr>
            </w:pPr>
          </w:p>
        </w:tc>
        <w:tc>
          <w:tcPr>
            <w:tcW w:w="294" w:type="pct"/>
            <w:tcBorders>
              <w:top w:val="nil"/>
              <w:left w:val="nil"/>
              <w:bottom w:val="nil"/>
              <w:right w:val="nil"/>
            </w:tcBorders>
            <w:shd w:val="clear" w:color="auto" w:fill="auto"/>
            <w:noWrap/>
            <w:vAlign w:val="bottom"/>
          </w:tcPr>
          <w:p w14:paraId="5834E3BD" w14:textId="77777777" w:rsidR="00105D8A" w:rsidRPr="00555A65" w:rsidRDefault="00105D8A" w:rsidP="00A057F0">
            <w:pPr>
              <w:spacing w:after="0" w:line="240" w:lineRule="auto"/>
              <w:contextualSpacing/>
              <w:rPr>
                <w:rFonts w:cs="Calibri"/>
                <w:sz w:val="17"/>
                <w:szCs w:val="17"/>
                <w:lang w:eastAsia="en-AU"/>
              </w:rPr>
            </w:pPr>
          </w:p>
        </w:tc>
        <w:tc>
          <w:tcPr>
            <w:tcW w:w="322" w:type="pct"/>
            <w:tcBorders>
              <w:top w:val="nil"/>
              <w:left w:val="nil"/>
              <w:bottom w:val="nil"/>
              <w:right w:val="nil"/>
            </w:tcBorders>
            <w:shd w:val="clear" w:color="auto" w:fill="auto"/>
            <w:noWrap/>
            <w:vAlign w:val="bottom"/>
          </w:tcPr>
          <w:p w14:paraId="0011A4B4" w14:textId="77777777" w:rsidR="00105D8A" w:rsidRPr="00555A65" w:rsidRDefault="00105D8A" w:rsidP="00A057F0">
            <w:pPr>
              <w:spacing w:after="0" w:line="240" w:lineRule="auto"/>
              <w:contextualSpacing/>
              <w:rPr>
                <w:rFonts w:cs="Calibri"/>
                <w:sz w:val="17"/>
                <w:szCs w:val="17"/>
                <w:lang w:eastAsia="en-AU"/>
              </w:rPr>
            </w:pPr>
          </w:p>
        </w:tc>
        <w:tc>
          <w:tcPr>
            <w:tcW w:w="353" w:type="pct"/>
            <w:tcBorders>
              <w:top w:val="nil"/>
              <w:left w:val="nil"/>
              <w:bottom w:val="nil"/>
              <w:right w:val="nil"/>
            </w:tcBorders>
            <w:shd w:val="clear" w:color="auto" w:fill="auto"/>
            <w:noWrap/>
            <w:vAlign w:val="bottom"/>
          </w:tcPr>
          <w:p w14:paraId="3FE8351A" w14:textId="77777777" w:rsidR="00105D8A" w:rsidRPr="00555A65" w:rsidRDefault="00105D8A" w:rsidP="00A057F0">
            <w:pPr>
              <w:spacing w:after="0" w:line="240" w:lineRule="auto"/>
              <w:contextualSpacing/>
              <w:rPr>
                <w:rFonts w:cs="Calibri"/>
                <w:sz w:val="17"/>
                <w:szCs w:val="17"/>
                <w:lang w:eastAsia="en-AU"/>
              </w:rPr>
            </w:pPr>
          </w:p>
        </w:tc>
        <w:tc>
          <w:tcPr>
            <w:tcW w:w="427" w:type="pct"/>
            <w:tcBorders>
              <w:top w:val="nil"/>
              <w:left w:val="nil"/>
              <w:bottom w:val="nil"/>
              <w:right w:val="nil"/>
            </w:tcBorders>
            <w:shd w:val="clear" w:color="auto" w:fill="auto"/>
            <w:noWrap/>
            <w:vAlign w:val="bottom"/>
          </w:tcPr>
          <w:p w14:paraId="4A4A0AA0" w14:textId="77777777" w:rsidR="00105D8A" w:rsidRPr="00555A65" w:rsidRDefault="00105D8A" w:rsidP="00A057F0">
            <w:pPr>
              <w:spacing w:after="0" w:line="240" w:lineRule="auto"/>
              <w:contextualSpacing/>
              <w:rPr>
                <w:rFonts w:cs="Calibri"/>
                <w:sz w:val="17"/>
                <w:szCs w:val="17"/>
                <w:lang w:eastAsia="en-AU"/>
              </w:rPr>
            </w:pPr>
          </w:p>
        </w:tc>
        <w:tc>
          <w:tcPr>
            <w:tcW w:w="438" w:type="pct"/>
            <w:tcBorders>
              <w:top w:val="nil"/>
              <w:left w:val="nil"/>
              <w:bottom w:val="nil"/>
              <w:right w:val="nil"/>
            </w:tcBorders>
            <w:shd w:val="clear" w:color="auto" w:fill="auto"/>
            <w:noWrap/>
            <w:vAlign w:val="bottom"/>
          </w:tcPr>
          <w:p w14:paraId="15867DFC" w14:textId="77777777" w:rsidR="00105D8A" w:rsidRPr="00555A65" w:rsidRDefault="00105D8A" w:rsidP="00A057F0">
            <w:pPr>
              <w:spacing w:after="0" w:line="240" w:lineRule="auto"/>
              <w:contextualSpacing/>
              <w:rPr>
                <w:rFonts w:cs="Calibri"/>
                <w:sz w:val="17"/>
                <w:szCs w:val="17"/>
                <w:lang w:eastAsia="en-AU"/>
              </w:rPr>
            </w:pPr>
          </w:p>
        </w:tc>
        <w:tc>
          <w:tcPr>
            <w:tcW w:w="443" w:type="pct"/>
            <w:tcBorders>
              <w:top w:val="nil"/>
              <w:left w:val="nil"/>
              <w:bottom w:val="nil"/>
              <w:right w:val="nil"/>
            </w:tcBorders>
            <w:shd w:val="clear" w:color="auto" w:fill="auto"/>
            <w:noWrap/>
            <w:vAlign w:val="bottom"/>
          </w:tcPr>
          <w:p w14:paraId="639BE890" w14:textId="77777777" w:rsidR="00105D8A" w:rsidRPr="00555A65" w:rsidRDefault="00105D8A" w:rsidP="00A057F0">
            <w:pPr>
              <w:spacing w:after="0" w:line="240" w:lineRule="auto"/>
              <w:contextualSpacing/>
              <w:rPr>
                <w:rFonts w:cs="Calibri"/>
                <w:sz w:val="17"/>
                <w:szCs w:val="17"/>
                <w:lang w:eastAsia="en-AU"/>
              </w:rPr>
            </w:pPr>
          </w:p>
        </w:tc>
        <w:tc>
          <w:tcPr>
            <w:tcW w:w="381" w:type="pct"/>
            <w:tcBorders>
              <w:top w:val="nil"/>
              <w:left w:val="nil"/>
              <w:bottom w:val="nil"/>
              <w:right w:val="nil"/>
            </w:tcBorders>
            <w:shd w:val="clear" w:color="auto" w:fill="auto"/>
            <w:noWrap/>
            <w:vAlign w:val="bottom"/>
          </w:tcPr>
          <w:p w14:paraId="6F35C91B" w14:textId="77777777" w:rsidR="00105D8A" w:rsidRPr="00555A65" w:rsidRDefault="00105D8A" w:rsidP="00A057F0">
            <w:pPr>
              <w:spacing w:after="0" w:line="240" w:lineRule="auto"/>
              <w:contextualSpacing/>
              <w:rPr>
                <w:rFonts w:cs="Calibri"/>
                <w:sz w:val="17"/>
                <w:szCs w:val="17"/>
                <w:lang w:eastAsia="en-AU"/>
              </w:rPr>
            </w:pPr>
          </w:p>
        </w:tc>
        <w:tc>
          <w:tcPr>
            <w:tcW w:w="380" w:type="pct"/>
            <w:tcBorders>
              <w:top w:val="nil"/>
              <w:left w:val="nil"/>
              <w:bottom w:val="nil"/>
              <w:right w:val="nil"/>
            </w:tcBorders>
            <w:shd w:val="clear" w:color="auto" w:fill="auto"/>
            <w:noWrap/>
            <w:vAlign w:val="bottom"/>
          </w:tcPr>
          <w:p w14:paraId="7D71071E" w14:textId="77777777" w:rsidR="00105D8A" w:rsidRPr="00555A65" w:rsidRDefault="00105D8A" w:rsidP="00A057F0">
            <w:pPr>
              <w:spacing w:after="0" w:line="240" w:lineRule="auto"/>
              <w:contextualSpacing/>
              <w:rPr>
                <w:rFonts w:cs="Calibri"/>
                <w:b/>
                <w:bCs/>
                <w:sz w:val="17"/>
                <w:szCs w:val="17"/>
                <w:lang w:eastAsia="en-AU"/>
              </w:rPr>
            </w:pPr>
          </w:p>
        </w:tc>
      </w:tr>
      <w:tr w:rsidR="00396077" w:rsidRPr="00555A65" w14:paraId="6477CB61" w14:textId="77777777" w:rsidTr="00396077">
        <w:trPr>
          <w:trHeight w:val="227"/>
        </w:trPr>
        <w:tc>
          <w:tcPr>
            <w:tcW w:w="650" w:type="pct"/>
            <w:tcBorders>
              <w:top w:val="nil"/>
              <w:left w:val="nil"/>
              <w:bottom w:val="nil"/>
              <w:right w:val="nil"/>
            </w:tcBorders>
            <w:shd w:val="clear" w:color="auto" w:fill="auto"/>
            <w:noWrap/>
            <w:vAlign w:val="bottom"/>
          </w:tcPr>
          <w:p w14:paraId="311B659C"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Golden perch</w:t>
            </w:r>
          </w:p>
        </w:tc>
        <w:tc>
          <w:tcPr>
            <w:tcW w:w="501" w:type="pct"/>
            <w:tcBorders>
              <w:top w:val="nil"/>
              <w:left w:val="nil"/>
              <w:bottom w:val="nil"/>
              <w:right w:val="nil"/>
            </w:tcBorders>
            <w:shd w:val="clear" w:color="auto" w:fill="auto"/>
            <w:noWrap/>
            <w:vAlign w:val="bottom"/>
          </w:tcPr>
          <w:p w14:paraId="0315D7BC"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23</w:t>
            </w:r>
          </w:p>
        </w:tc>
        <w:tc>
          <w:tcPr>
            <w:tcW w:w="478" w:type="pct"/>
            <w:tcBorders>
              <w:top w:val="nil"/>
              <w:left w:val="nil"/>
              <w:bottom w:val="nil"/>
              <w:right w:val="nil"/>
            </w:tcBorders>
            <w:shd w:val="clear" w:color="auto" w:fill="auto"/>
            <w:noWrap/>
            <w:vAlign w:val="bottom"/>
          </w:tcPr>
          <w:p w14:paraId="7801F467"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14</w:t>
            </w:r>
          </w:p>
        </w:tc>
        <w:tc>
          <w:tcPr>
            <w:tcW w:w="333" w:type="pct"/>
            <w:tcBorders>
              <w:top w:val="nil"/>
              <w:left w:val="nil"/>
              <w:bottom w:val="nil"/>
              <w:right w:val="nil"/>
            </w:tcBorders>
            <w:shd w:val="clear" w:color="auto" w:fill="auto"/>
            <w:noWrap/>
            <w:vAlign w:val="bottom"/>
          </w:tcPr>
          <w:p w14:paraId="7E09FA98"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17</w:t>
            </w:r>
          </w:p>
        </w:tc>
        <w:tc>
          <w:tcPr>
            <w:tcW w:w="294" w:type="pct"/>
            <w:tcBorders>
              <w:top w:val="nil"/>
              <w:left w:val="nil"/>
              <w:bottom w:val="nil"/>
              <w:right w:val="nil"/>
            </w:tcBorders>
            <w:shd w:val="clear" w:color="auto" w:fill="auto"/>
            <w:noWrap/>
            <w:vAlign w:val="bottom"/>
          </w:tcPr>
          <w:p w14:paraId="5FDF8EA1"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13</w:t>
            </w:r>
          </w:p>
        </w:tc>
        <w:tc>
          <w:tcPr>
            <w:tcW w:w="322" w:type="pct"/>
            <w:tcBorders>
              <w:top w:val="nil"/>
              <w:left w:val="nil"/>
              <w:bottom w:val="nil"/>
              <w:right w:val="nil"/>
            </w:tcBorders>
            <w:shd w:val="clear" w:color="auto" w:fill="auto"/>
            <w:noWrap/>
            <w:vAlign w:val="bottom"/>
          </w:tcPr>
          <w:p w14:paraId="1E6FA89B"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6</w:t>
            </w:r>
          </w:p>
        </w:tc>
        <w:tc>
          <w:tcPr>
            <w:tcW w:w="353" w:type="pct"/>
            <w:tcBorders>
              <w:top w:val="nil"/>
              <w:left w:val="nil"/>
              <w:bottom w:val="nil"/>
              <w:right w:val="nil"/>
            </w:tcBorders>
            <w:shd w:val="clear" w:color="auto" w:fill="auto"/>
            <w:noWrap/>
            <w:vAlign w:val="bottom"/>
          </w:tcPr>
          <w:p w14:paraId="3CA40E49"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19</w:t>
            </w:r>
          </w:p>
        </w:tc>
        <w:tc>
          <w:tcPr>
            <w:tcW w:w="427" w:type="pct"/>
            <w:tcBorders>
              <w:top w:val="nil"/>
              <w:left w:val="nil"/>
              <w:bottom w:val="nil"/>
              <w:right w:val="nil"/>
            </w:tcBorders>
            <w:shd w:val="clear" w:color="auto" w:fill="auto"/>
            <w:noWrap/>
            <w:vAlign w:val="bottom"/>
          </w:tcPr>
          <w:p w14:paraId="7CC4E766"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11</w:t>
            </w:r>
          </w:p>
        </w:tc>
        <w:tc>
          <w:tcPr>
            <w:tcW w:w="438" w:type="pct"/>
            <w:tcBorders>
              <w:top w:val="nil"/>
              <w:left w:val="nil"/>
              <w:bottom w:val="nil"/>
              <w:right w:val="nil"/>
            </w:tcBorders>
            <w:shd w:val="clear" w:color="auto" w:fill="auto"/>
            <w:noWrap/>
            <w:vAlign w:val="bottom"/>
          </w:tcPr>
          <w:p w14:paraId="28EE2EF0"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33</w:t>
            </w:r>
          </w:p>
        </w:tc>
        <w:tc>
          <w:tcPr>
            <w:tcW w:w="443" w:type="pct"/>
            <w:tcBorders>
              <w:top w:val="nil"/>
              <w:left w:val="nil"/>
              <w:bottom w:val="nil"/>
              <w:right w:val="nil"/>
            </w:tcBorders>
            <w:shd w:val="clear" w:color="auto" w:fill="auto"/>
            <w:noWrap/>
            <w:vAlign w:val="bottom"/>
          </w:tcPr>
          <w:p w14:paraId="548B82D4"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21</w:t>
            </w:r>
          </w:p>
        </w:tc>
        <w:tc>
          <w:tcPr>
            <w:tcW w:w="381" w:type="pct"/>
            <w:tcBorders>
              <w:top w:val="nil"/>
              <w:left w:val="nil"/>
              <w:bottom w:val="nil"/>
              <w:right w:val="nil"/>
            </w:tcBorders>
            <w:shd w:val="clear" w:color="auto" w:fill="auto"/>
            <w:noWrap/>
            <w:vAlign w:val="bottom"/>
          </w:tcPr>
          <w:p w14:paraId="0726F076"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24</w:t>
            </w:r>
          </w:p>
        </w:tc>
        <w:tc>
          <w:tcPr>
            <w:tcW w:w="380" w:type="pct"/>
            <w:tcBorders>
              <w:top w:val="nil"/>
              <w:left w:val="nil"/>
              <w:bottom w:val="nil"/>
              <w:right w:val="nil"/>
            </w:tcBorders>
            <w:shd w:val="clear" w:color="auto" w:fill="auto"/>
            <w:noWrap/>
            <w:vAlign w:val="bottom"/>
          </w:tcPr>
          <w:p w14:paraId="7BE3927D"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181</w:t>
            </w:r>
          </w:p>
        </w:tc>
      </w:tr>
      <w:tr w:rsidR="00396077" w:rsidRPr="00555A65" w14:paraId="5278292C" w14:textId="77777777" w:rsidTr="00396077">
        <w:trPr>
          <w:trHeight w:val="227"/>
        </w:trPr>
        <w:tc>
          <w:tcPr>
            <w:tcW w:w="650" w:type="pct"/>
            <w:tcBorders>
              <w:top w:val="nil"/>
              <w:left w:val="nil"/>
              <w:bottom w:val="nil"/>
              <w:right w:val="nil"/>
            </w:tcBorders>
            <w:shd w:val="clear" w:color="auto" w:fill="auto"/>
            <w:noWrap/>
            <w:vAlign w:val="bottom"/>
          </w:tcPr>
          <w:p w14:paraId="62C23FBF"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Silver perch</w:t>
            </w:r>
          </w:p>
        </w:tc>
        <w:tc>
          <w:tcPr>
            <w:tcW w:w="501" w:type="pct"/>
            <w:tcBorders>
              <w:top w:val="nil"/>
              <w:left w:val="nil"/>
              <w:bottom w:val="nil"/>
              <w:right w:val="nil"/>
            </w:tcBorders>
            <w:shd w:val="clear" w:color="auto" w:fill="auto"/>
            <w:noWrap/>
            <w:vAlign w:val="bottom"/>
          </w:tcPr>
          <w:p w14:paraId="511477B9" w14:textId="77777777" w:rsidR="00105D8A" w:rsidRPr="00555A65" w:rsidRDefault="00105D8A" w:rsidP="00A057F0">
            <w:pPr>
              <w:spacing w:after="0" w:line="240" w:lineRule="auto"/>
              <w:contextualSpacing/>
              <w:jc w:val="right"/>
              <w:rPr>
                <w:rFonts w:cs="Calibri"/>
                <w:sz w:val="17"/>
                <w:szCs w:val="17"/>
                <w:lang w:eastAsia="en-AU"/>
              </w:rPr>
            </w:pPr>
          </w:p>
        </w:tc>
        <w:tc>
          <w:tcPr>
            <w:tcW w:w="478" w:type="pct"/>
            <w:tcBorders>
              <w:top w:val="nil"/>
              <w:left w:val="nil"/>
              <w:bottom w:val="nil"/>
              <w:right w:val="nil"/>
            </w:tcBorders>
            <w:shd w:val="clear" w:color="auto" w:fill="auto"/>
            <w:noWrap/>
            <w:vAlign w:val="bottom"/>
          </w:tcPr>
          <w:p w14:paraId="1941DF48" w14:textId="77777777" w:rsidR="00105D8A" w:rsidRPr="00555A65" w:rsidRDefault="00105D8A" w:rsidP="00A057F0">
            <w:pPr>
              <w:spacing w:after="0" w:line="240" w:lineRule="auto"/>
              <w:contextualSpacing/>
              <w:jc w:val="right"/>
              <w:rPr>
                <w:rFonts w:cs="Calibri"/>
                <w:sz w:val="17"/>
                <w:szCs w:val="17"/>
                <w:lang w:eastAsia="en-AU"/>
              </w:rPr>
            </w:pPr>
          </w:p>
        </w:tc>
        <w:tc>
          <w:tcPr>
            <w:tcW w:w="333" w:type="pct"/>
            <w:tcBorders>
              <w:top w:val="nil"/>
              <w:left w:val="nil"/>
              <w:bottom w:val="nil"/>
              <w:right w:val="nil"/>
            </w:tcBorders>
            <w:shd w:val="clear" w:color="auto" w:fill="auto"/>
            <w:noWrap/>
            <w:vAlign w:val="bottom"/>
          </w:tcPr>
          <w:p w14:paraId="0F1F964A" w14:textId="77777777" w:rsidR="00105D8A" w:rsidRPr="00555A65" w:rsidRDefault="00105D8A" w:rsidP="00A057F0">
            <w:pPr>
              <w:spacing w:after="0" w:line="240" w:lineRule="auto"/>
              <w:contextualSpacing/>
              <w:jc w:val="right"/>
              <w:rPr>
                <w:rFonts w:cs="Calibri"/>
                <w:sz w:val="17"/>
                <w:szCs w:val="17"/>
                <w:lang w:eastAsia="en-AU"/>
              </w:rPr>
            </w:pPr>
          </w:p>
        </w:tc>
        <w:tc>
          <w:tcPr>
            <w:tcW w:w="294" w:type="pct"/>
            <w:tcBorders>
              <w:top w:val="nil"/>
              <w:left w:val="nil"/>
              <w:bottom w:val="nil"/>
              <w:right w:val="nil"/>
            </w:tcBorders>
            <w:shd w:val="clear" w:color="auto" w:fill="auto"/>
            <w:noWrap/>
            <w:vAlign w:val="bottom"/>
          </w:tcPr>
          <w:p w14:paraId="49D55326" w14:textId="77777777" w:rsidR="00105D8A" w:rsidRPr="00555A65" w:rsidRDefault="00105D8A" w:rsidP="00A057F0">
            <w:pPr>
              <w:spacing w:after="0" w:line="240" w:lineRule="auto"/>
              <w:contextualSpacing/>
              <w:jc w:val="right"/>
              <w:rPr>
                <w:rFonts w:cs="Calibri"/>
                <w:sz w:val="17"/>
                <w:szCs w:val="17"/>
                <w:lang w:eastAsia="en-AU"/>
              </w:rPr>
            </w:pPr>
          </w:p>
        </w:tc>
        <w:tc>
          <w:tcPr>
            <w:tcW w:w="322" w:type="pct"/>
            <w:tcBorders>
              <w:top w:val="nil"/>
              <w:left w:val="nil"/>
              <w:bottom w:val="nil"/>
              <w:right w:val="nil"/>
            </w:tcBorders>
            <w:shd w:val="clear" w:color="auto" w:fill="auto"/>
            <w:noWrap/>
            <w:vAlign w:val="bottom"/>
          </w:tcPr>
          <w:p w14:paraId="17E3B079" w14:textId="77777777" w:rsidR="00105D8A" w:rsidRPr="00555A65" w:rsidRDefault="00105D8A" w:rsidP="00A057F0">
            <w:pPr>
              <w:spacing w:after="0" w:line="240" w:lineRule="auto"/>
              <w:contextualSpacing/>
              <w:jc w:val="right"/>
              <w:rPr>
                <w:rFonts w:cs="Calibri"/>
                <w:sz w:val="17"/>
                <w:szCs w:val="17"/>
                <w:lang w:eastAsia="en-AU"/>
              </w:rPr>
            </w:pPr>
          </w:p>
        </w:tc>
        <w:tc>
          <w:tcPr>
            <w:tcW w:w="353" w:type="pct"/>
            <w:tcBorders>
              <w:top w:val="nil"/>
              <w:left w:val="nil"/>
              <w:bottom w:val="nil"/>
              <w:right w:val="nil"/>
            </w:tcBorders>
            <w:shd w:val="clear" w:color="auto" w:fill="auto"/>
            <w:noWrap/>
            <w:vAlign w:val="bottom"/>
          </w:tcPr>
          <w:p w14:paraId="14F5D95E" w14:textId="77777777" w:rsidR="00105D8A" w:rsidRPr="00555A65" w:rsidRDefault="00105D8A" w:rsidP="00A057F0">
            <w:pPr>
              <w:spacing w:after="0" w:line="240" w:lineRule="auto"/>
              <w:contextualSpacing/>
              <w:jc w:val="right"/>
              <w:rPr>
                <w:rFonts w:cs="Calibri"/>
                <w:sz w:val="17"/>
                <w:szCs w:val="17"/>
                <w:lang w:eastAsia="en-AU"/>
              </w:rPr>
            </w:pPr>
          </w:p>
        </w:tc>
        <w:tc>
          <w:tcPr>
            <w:tcW w:w="427" w:type="pct"/>
            <w:tcBorders>
              <w:top w:val="nil"/>
              <w:left w:val="nil"/>
              <w:bottom w:val="nil"/>
              <w:right w:val="nil"/>
            </w:tcBorders>
            <w:shd w:val="clear" w:color="auto" w:fill="auto"/>
            <w:noWrap/>
            <w:vAlign w:val="bottom"/>
          </w:tcPr>
          <w:p w14:paraId="36A0A299"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w:t>
            </w:r>
          </w:p>
        </w:tc>
        <w:tc>
          <w:tcPr>
            <w:tcW w:w="438" w:type="pct"/>
            <w:tcBorders>
              <w:top w:val="nil"/>
              <w:left w:val="nil"/>
              <w:bottom w:val="nil"/>
              <w:right w:val="nil"/>
            </w:tcBorders>
            <w:shd w:val="clear" w:color="auto" w:fill="auto"/>
            <w:noWrap/>
            <w:vAlign w:val="bottom"/>
          </w:tcPr>
          <w:p w14:paraId="4B8A8AF1"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2</w:t>
            </w:r>
          </w:p>
        </w:tc>
        <w:tc>
          <w:tcPr>
            <w:tcW w:w="443" w:type="pct"/>
            <w:tcBorders>
              <w:top w:val="nil"/>
              <w:left w:val="nil"/>
              <w:bottom w:val="nil"/>
              <w:right w:val="nil"/>
            </w:tcBorders>
            <w:shd w:val="clear" w:color="auto" w:fill="auto"/>
            <w:noWrap/>
            <w:vAlign w:val="bottom"/>
          </w:tcPr>
          <w:p w14:paraId="1D0124B5" w14:textId="77777777" w:rsidR="00105D8A" w:rsidRPr="00555A65" w:rsidRDefault="00105D8A" w:rsidP="00A057F0">
            <w:pPr>
              <w:spacing w:after="0" w:line="240" w:lineRule="auto"/>
              <w:contextualSpacing/>
              <w:jc w:val="right"/>
              <w:rPr>
                <w:rFonts w:cs="Calibri"/>
                <w:sz w:val="17"/>
                <w:szCs w:val="17"/>
                <w:lang w:eastAsia="en-AU"/>
              </w:rPr>
            </w:pPr>
          </w:p>
        </w:tc>
        <w:tc>
          <w:tcPr>
            <w:tcW w:w="381" w:type="pct"/>
            <w:tcBorders>
              <w:top w:val="nil"/>
              <w:left w:val="nil"/>
              <w:bottom w:val="nil"/>
              <w:right w:val="nil"/>
            </w:tcBorders>
            <w:shd w:val="clear" w:color="auto" w:fill="auto"/>
            <w:noWrap/>
            <w:vAlign w:val="bottom"/>
          </w:tcPr>
          <w:p w14:paraId="4FE9EF79"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w:t>
            </w:r>
          </w:p>
        </w:tc>
        <w:tc>
          <w:tcPr>
            <w:tcW w:w="380" w:type="pct"/>
            <w:tcBorders>
              <w:top w:val="nil"/>
              <w:left w:val="nil"/>
              <w:bottom w:val="nil"/>
              <w:right w:val="nil"/>
            </w:tcBorders>
            <w:shd w:val="clear" w:color="auto" w:fill="auto"/>
            <w:noWrap/>
            <w:vAlign w:val="bottom"/>
          </w:tcPr>
          <w:p w14:paraId="5C94C5E1"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4</w:t>
            </w:r>
          </w:p>
        </w:tc>
      </w:tr>
      <w:tr w:rsidR="00396077" w:rsidRPr="00555A65" w14:paraId="58EE3EFF" w14:textId="77777777" w:rsidTr="00396077">
        <w:trPr>
          <w:trHeight w:val="227"/>
        </w:trPr>
        <w:tc>
          <w:tcPr>
            <w:tcW w:w="650" w:type="pct"/>
            <w:tcBorders>
              <w:top w:val="nil"/>
              <w:left w:val="nil"/>
              <w:bottom w:val="nil"/>
              <w:right w:val="nil"/>
            </w:tcBorders>
            <w:shd w:val="clear" w:color="auto" w:fill="auto"/>
            <w:noWrap/>
            <w:vAlign w:val="bottom"/>
          </w:tcPr>
          <w:p w14:paraId="66D04E0E"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Freshwater catfish</w:t>
            </w:r>
          </w:p>
        </w:tc>
        <w:tc>
          <w:tcPr>
            <w:tcW w:w="501" w:type="pct"/>
            <w:tcBorders>
              <w:top w:val="nil"/>
              <w:left w:val="nil"/>
              <w:bottom w:val="nil"/>
              <w:right w:val="nil"/>
            </w:tcBorders>
            <w:shd w:val="clear" w:color="auto" w:fill="auto"/>
            <w:noWrap/>
            <w:vAlign w:val="bottom"/>
          </w:tcPr>
          <w:p w14:paraId="604F5D74"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w:t>
            </w:r>
          </w:p>
        </w:tc>
        <w:tc>
          <w:tcPr>
            <w:tcW w:w="478" w:type="pct"/>
            <w:tcBorders>
              <w:top w:val="nil"/>
              <w:left w:val="nil"/>
              <w:bottom w:val="nil"/>
              <w:right w:val="nil"/>
            </w:tcBorders>
            <w:shd w:val="clear" w:color="auto" w:fill="auto"/>
            <w:noWrap/>
            <w:vAlign w:val="bottom"/>
          </w:tcPr>
          <w:p w14:paraId="5FC11A55"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3</w:t>
            </w:r>
          </w:p>
        </w:tc>
        <w:tc>
          <w:tcPr>
            <w:tcW w:w="333" w:type="pct"/>
            <w:tcBorders>
              <w:top w:val="nil"/>
              <w:left w:val="nil"/>
              <w:bottom w:val="nil"/>
              <w:right w:val="nil"/>
            </w:tcBorders>
            <w:shd w:val="clear" w:color="auto" w:fill="auto"/>
            <w:noWrap/>
            <w:vAlign w:val="bottom"/>
          </w:tcPr>
          <w:p w14:paraId="0E1C1E00"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w:t>
            </w:r>
          </w:p>
        </w:tc>
        <w:tc>
          <w:tcPr>
            <w:tcW w:w="294" w:type="pct"/>
            <w:tcBorders>
              <w:top w:val="nil"/>
              <w:left w:val="nil"/>
              <w:bottom w:val="nil"/>
              <w:right w:val="nil"/>
            </w:tcBorders>
            <w:shd w:val="clear" w:color="auto" w:fill="auto"/>
            <w:noWrap/>
            <w:vAlign w:val="bottom"/>
          </w:tcPr>
          <w:p w14:paraId="67B7A7C9" w14:textId="77777777" w:rsidR="00105D8A" w:rsidRPr="00555A65" w:rsidRDefault="00105D8A" w:rsidP="00A057F0">
            <w:pPr>
              <w:spacing w:after="0" w:line="240" w:lineRule="auto"/>
              <w:contextualSpacing/>
              <w:jc w:val="right"/>
              <w:rPr>
                <w:rFonts w:cs="Calibri"/>
                <w:sz w:val="17"/>
                <w:szCs w:val="17"/>
                <w:lang w:eastAsia="en-AU"/>
              </w:rPr>
            </w:pPr>
          </w:p>
        </w:tc>
        <w:tc>
          <w:tcPr>
            <w:tcW w:w="322" w:type="pct"/>
            <w:tcBorders>
              <w:top w:val="nil"/>
              <w:left w:val="nil"/>
              <w:bottom w:val="nil"/>
              <w:right w:val="nil"/>
            </w:tcBorders>
            <w:shd w:val="clear" w:color="auto" w:fill="auto"/>
            <w:noWrap/>
            <w:vAlign w:val="bottom"/>
          </w:tcPr>
          <w:p w14:paraId="0BACB64B" w14:textId="77777777" w:rsidR="00105D8A" w:rsidRPr="00555A65" w:rsidRDefault="00105D8A" w:rsidP="00A057F0">
            <w:pPr>
              <w:spacing w:after="0" w:line="240" w:lineRule="auto"/>
              <w:contextualSpacing/>
              <w:jc w:val="right"/>
              <w:rPr>
                <w:rFonts w:cs="Calibri"/>
                <w:sz w:val="17"/>
                <w:szCs w:val="17"/>
                <w:lang w:eastAsia="en-AU"/>
              </w:rPr>
            </w:pPr>
          </w:p>
        </w:tc>
        <w:tc>
          <w:tcPr>
            <w:tcW w:w="353" w:type="pct"/>
            <w:tcBorders>
              <w:top w:val="nil"/>
              <w:left w:val="nil"/>
              <w:bottom w:val="nil"/>
              <w:right w:val="nil"/>
            </w:tcBorders>
            <w:shd w:val="clear" w:color="auto" w:fill="auto"/>
            <w:noWrap/>
            <w:vAlign w:val="bottom"/>
          </w:tcPr>
          <w:p w14:paraId="7BDA20C7"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w:t>
            </w:r>
          </w:p>
        </w:tc>
        <w:tc>
          <w:tcPr>
            <w:tcW w:w="427" w:type="pct"/>
            <w:tcBorders>
              <w:top w:val="nil"/>
              <w:left w:val="nil"/>
              <w:bottom w:val="nil"/>
              <w:right w:val="nil"/>
            </w:tcBorders>
            <w:shd w:val="clear" w:color="auto" w:fill="auto"/>
            <w:noWrap/>
            <w:vAlign w:val="bottom"/>
          </w:tcPr>
          <w:p w14:paraId="7A2861B5" w14:textId="77777777" w:rsidR="00105D8A" w:rsidRPr="00555A65" w:rsidRDefault="00105D8A" w:rsidP="00A057F0">
            <w:pPr>
              <w:spacing w:after="0" w:line="240" w:lineRule="auto"/>
              <w:contextualSpacing/>
              <w:jc w:val="right"/>
              <w:rPr>
                <w:rFonts w:cs="Calibri"/>
                <w:sz w:val="17"/>
                <w:szCs w:val="17"/>
                <w:lang w:eastAsia="en-AU"/>
              </w:rPr>
            </w:pPr>
          </w:p>
        </w:tc>
        <w:tc>
          <w:tcPr>
            <w:tcW w:w="438" w:type="pct"/>
            <w:tcBorders>
              <w:top w:val="nil"/>
              <w:left w:val="nil"/>
              <w:bottom w:val="nil"/>
              <w:right w:val="nil"/>
            </w:tcBorders>
            <w:shd w:val="clear" w:color="auto" w:fill="auto"/>
            <w:noWrap/>
            <w:vAlign w:val="bottom"/>
          </w:tcPr>
          <w:p w14:paraId="7A3960D9" w14:textId="77777777" w:rsidR="00105D8A" w:rsidRPr="00555A65" w:rsidRDefault="00105D8A" w:rsidP="00A057F0">
            <w:pPr>
              <w:spacing w:after="0" w:line="240" w:lineRule="auto"/>
              <w:contextualSpacing/>
              <w:jc w:val="right"/>
              <w:rPr>
                <w:rFonts w:cs="Calibri"/>
                <w:sz w:val="17"/>
                <w:szCs w:val="17"/>
                <w:lang w:eastAsia="en-AU"/>
              </w:rPr>
            </w:pPr>
          </w:p>
        </w:tc>
        <w:tc>
          <w:tcPr>
            <w:tcW w:w="443" w:type="pct"/>
            <w:tcBorders>
              <w:top w:val="nil"/>
              <w:left w:val="nil"/>
              <w:bottom w:val="nil"/>
              <w:right w:val="nil"/>
            </w:tcBorders>
            <w:shd w:val="clear" w:color="auto" w:fill="auto"/>
            <w:noWrap/>
            <w:vAlign w:val="bottom"/>
          </w:tcPr>
          <w:p w14:paraId="06456E08" w14:textId="77777777" w:rsidR="00105D8A" w:rsidRPr="00555A65" w:rsidRDefault="00105D8A" w:rsidP="00A057F0">
            <w:pPr>
              <w:spacing w:after="0" w:line="240" w:lineRule="auto"/>
              <w:contextualSpacing/>
              <w:jc w:val="right"/>
              <w:rPr>
                <w:rFonts w:cs="Calibri"/>
                <w:sz w:val="17"/>
                <w:szCs w:val="17"/>
                <w:lang w:eastAsia="en-AU"/>
              </w:rPr>
            </w:pPr>
          </w:p>
        </w:tc>
        <w:tc>
          <w:tcPr>
            <w:tcW w:w="381" w:type="pct"/>
            <w:tcBorders>
              <w:top w:val="nil"/>
              <w:left w:val="nil"/>
              <w:bottom w:val="nil"/>
              <w:right w:val="nil"/>
            </w:tcBorders>
            <w:shd w:val="clear" w:color="auto" w:fill="auto"/>
            <w:noWrap/>
            <w:vAlign w:val="bottom"/>
          </w:tcPr>
          <w:p w14:paraId="309ACC80" w14:textId="77777777" w:rsidR="00105D8A" w:rsidRPr="00555A65" w:rsidRDefault="00105D8A" w:rsidP="00A057F0">
            <w:pPr>
              <w:spacing w:after="0" w:line="240" w:lineRule="auto"/>
              <w:contextualSpacing/>
              <w:jc w:val="right"/>
              <w:rPr>
                <w:rFonts w:cs="Calibri"/>
                <w:sz w:val="17"/>
                <w:szCs w:val="17"/>
                <w:lang w:eastAsia="en-AU"/>
              </w:rPr>
            </w:pPr>
          </w:p>
        </w:tc>
        <w:tc>
          <w:tcPr>
            <w:tcW w:w="380" w:type="pct"/>
            <w:tcBorders>
              <w:top w:val="nil"/>
              <w:left w:val="nil"/>
              <w:bottom w:val="nil"/>
              <w:right w:val="nil"/>
            </w:tcBorders>
            <w:shd w:val="clear" w:color="auto" w:fill="auto"/>
            <w:noWrap/>
            <w:vAlign w:val="bottom"/>
          </w:tcPr>
          <w:p w14:paraId="3DA408B1"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6</w:t>
            </w:r>
          </w:p>
        </w:tc>
      </w:tr>
      <w:tr w:rsidR="00396077" w:rsidRPr="00555A65" w14:paraId="7BA91121" w14:textId="77777777" w:rsidTr="00396077">
        <w:trPr>
          <w:trHeight w:val="227"/>
        </w:trPr>
        <w:tc>
          <w:tcPr>
            <w:tcW w:w="650" w:type="pct"/>
            <w:tcBorders>
              <w:top w:val="nil"/>
              <w:left w:val="nil"/>
              <w:bottom w:val="nil"/>
              <w:right w:val="nil"/>
            </w:tcBorders>
            <w:shd w:val="clear" w:color="auto" w:fill="auto"/>
            <w:noWrap/>
            <w:vAlign w:val="bottom"/>
          </w:tcPr>
          <w:p w14:paraId="46F3AE87"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Murray cod</w:t>
            </w:r>
          </w:p>
        </w:tc>
        <w:tc>
          <w:tcPr>
            <w:tcW w:w="501" w:type="pct"/>
            <w:tcBorders>
              <w:top w:val="nil"/>
              <w:left w:val="nil"/>
              <w:bottom w:val="nil"/>
              <w:right w:val="nil"/>
            </w:tcBorders>
            <w:shd w:val="clear" w:color="auto" w:fill="auto"/>
            <w:noWrap/>
            <w:vAlign w:val="bottom"/>
          </w:tcPr>
          <w:p w14:paraId="0D7B4E7B"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2</w:t>
            </w:r>
          </w:p>
        </w:tc>
        <w:tc>
          <w:tcPr>
            <w:tcW w:w="478" w:type="pct"/>
            <w:tcBorders>
              <w:top w:val="nil"/>
              <w:left w:val="nil"/>
              <w:bottom w:val="nil"/>
              <w:right w:val="nil"/>
            </w:tcBorders>
            <w:shd w:val="clear" w:color="auto" w:fill="auto"/>
            <w:noWrap/>
            <w:vAlign w:val="bottom"/>
          </w:tcPr>
          <w:p w14:paraId="4E7E8B91"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w:t>
            </w:r>
          </w:p>
        </w:tc>
        <w:tc>
          <w:tcPr>
            <w:tcW w:w="333" w:type="pct"/>
            <w:tcBorders>
              <w:top w:val="nil"/>
              <w:left w:val="nil"/>
              <w:bottom w:val="nil"/>
              <w:right w:val="nil"/>
            </w:tcBorders>
            <w:shd w:val="clear" w:color="auto" w:fill="auto"/>
            <w:noWrap/>
            <w:vAlign w:val="bottom"/>
          </w:tcPr>
          <w:p w14:paraId="67BD0D12"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w:t>
            </w:r>
          </w:p>
        </w:tc>
        <w:tc>
          <w:tcPr>
            <w:tcW w:w="294" w:type="pct"/>
            <w:tcBorders>
              <w:top w:val="nil"/>
              <w:left w:val="nil"/>
              <w:bottom w:val="nil"/>
              <w:right w:val="nil"/>
            </w:tcBorders>
            <w:shd w:val="clear" w:color="auto" w:fill="auto"/>
            <w:noWrap/>
            <w:vAlign w:val="bottom"/>
          </w:tcPr>
          <w:p w14:paraId="5AAB4BBF"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w:t>
            </w:r>
          </w:p>
        </w:tc>
        <w:tc>
          <w:tcPr>
            <w:tcW w:w="322" w:type="pct"/>
            <w:tcBorders>
              <w:top w:val="nil"/>
              <w:left w:val="nil"/>
              <w:bottom w:val="nil"/>
              <w:right w:val="nil"/>
            </w:tcBorders>
            <w:shd w:val="clear" w:color="auto" w:fill="auto"/>
            <w:noWrap/>
            <w:vAlign w:val="bottom"/>
          </w:tcPr>
          <w:p w14:paraId="7885C0EA"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w:t>
            </w:r>
          </w:p>
        </w:tc>
        <w:tc>
          <w:tcPr>
            <w:tcW w:w="353" w:type="pct"/>
            <w:tcBorders>
              <w:top w:val="nil"/>
              <w:left w:val="nil"/>
              <w:bottom w:val="nil"/>
              <w:right w:val="nil"/>
            </w:tcBorders>
            <w:shd w:val="clear" w:color="auto" w:fill="auto"/>
            <w:noWrap/>
            <w:vAlign w:val="bottom"/>
          </w:tcPr>
          <w:p w14:paraId="3E46CBBE"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w:t>
            </w:r>
          </w:p>
        </w:tc>
        <w:tc>
          <w:tcPr>
            <w:tcW w:w="427" w:type="pct"/>
            <w:tcBorders>
              <w:top w:val="nil"/>
              <w:left w:val="nil"/>
              <w:bottom w:val="nil"/>
              <w:right w:val="nil"/>
            </w:tcBorders>
            <w:shd w:val="clear" w:color="auto" w:fill="auto"/>
            <w:noWrap/>
            <w:vAlign w:val="bottom"/>
          </w:tcPr>
          <w:p w14:paraId="3D02FFE1" w14:textId="77777777" w:rsidR="00105D8A" w:rsidRPr="00555A65" w:rsidRDefault="00105D8A" w:rsidP="00A057F0">
            <w:pPr>
              <w:spacing w:after="0" w:line="240" w:lineRule="auto"/>
              <w:contextualSpacing/>
              <w:jc w:val="right"/>
              <w:rPr>
                <w:rFonts w:cs="Calibri"/>
                <w:sz w:val="17"/>
                <w:szCs w:val="17"/>
                <w:lang w:eastAsia="en-AU"/>
              </w:rPr>
            </w:pPr>
          </w:p>
        </w:tc>
        <w:tc>
          <w:tcPr>
            <w:tcW w:w="438" w:type="pct"/>
            <w:tcBorders>
              <w:top w:val="nil"/>
              <w:left w:val="nil"/>
              <w:bottom w:val="nil"/>
              <w:right w:val="nil"/>
            </w:tcBorders>
            <w:shd w:val="clear" w:color="auto" w:fill="auto"/>
            <w:noWrap/>
            <w:vAlign w:val="bottom"/>
          </w:tcPr>
          <w:p w14:paraId="371F3BFF"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2</w:t>
            </w:r>
          </w:p>
        </w:tc>
        <w:tc>
          <w:tcPr>
            <w:tcW w:w="443" w:type="pct"/>
            <w:tcBorders>
              <w:top w:val="nil"/>
              <w:left w:val="nil"/>
              <w:bottom w:val="nil"/>
              <w:right w:val="nil"/>
            </w:tcBorders>
            <w:shd w:val="clear" w:color="auto" w:fill="auto"/>
            <w:noWrap/>
            <w:vAlign w:val="bottom"/>
          </w:tcPr>
          <w:p w14:paraId="444D76A2" w14:textId="77777777" w:rsidR="00105D8A" w:rsidRPr="00555A65" w:rsidRDefault="00105D8A" w:rsidP="00A057F0">
            <w:pPr>
              <w:spacing w:after="0" w:line="240" w:lineRule="auto"/>
              <w:contextualSpacing/>
              <w:jc w:val="right"/>
              <w:rPr>
                <w:rFonts w:cs="Calibri"/>
                <w:sz w:val="17"/>
                <w:szCs w:val="17"/>
                <w:lang w:eastAsia="en-AU"/>
              </w:rPr>
            </w:pPr>
          </w:p>
        </w:tc>
        <w:tc>
          <w:tcPr>
            <w:tcW w:w="381" w:type="pct"/>
            <w:tcBorders>
              <w:top w:val="nil"/>
              <w:left w:val="nil"/>
              <w:bottom w:val="nil"/>
              <w:right w:val="nil"/>
            </w:tcBorders>
            <w:shd w:val="clear" w:color="auto" w:fill="auto"/>
            <w:noWrap/>
            <w:vAlign w:val="bottom"/>
          </w:tcPr>
          <w:p w14:paraId="6ACD0C40"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2</w:t>
            </w:r>
          </w:p>
        </w:tc>
        <w:tc>
          <w:tcPr>
            <w:tcW w:w="380" w:type="pct"/>
            <w:tcBorders>
              <w:top w:val="nil"/>
              <w:left w:val="nil"/>
              <w:bottom w:val="nil"/>
              <w:right w:val="nil"/>
            </w:tcBorders>
            <w:shd w:val="clear" w:color="auto" w:fill="auto"/>
            <w:noWrap/>
            <w:vAlign w:val="bottom"/>
          </w:tcPr>
          <w:p w14:paraId="575BE690"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11</w:t>
            </w:r>
          </w:p>
        </w:tc>
      </w:tr>
      <w:tr w:rsidR="00396077" w:rsidRPr="00555A65" w14:paraId="3A4644B0" w14:textId="77777777" w:rsidTr="00396077">
        <w:trPr>
          <w:trHeight w:val="227"/>
        </w:trPr>
        <w:tc>
          <w:tcPr>
            <w:tcW w:w="650" w:type="pct"/>
            <w:tcBorders>
              <w:top w:val="nil"/>
              <w:left w:val="nil"/>
              <w:bottom w:val="nil"/>
              <w:right w:val="nil"/>
            </w:tcBorders>
            <w:shd w:val="clear" w:color="auto" w:fill="auto"/>
            <w:noWrap/>
            <w:vAlign w:val="bottom"/>
          </w:tcPr>
          <w:p w14:paraId="200311A1"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Bony herring</w:t>
            </w:r>
          </w:p>
        </w:tc>
        <w:tc>
          <w:tcPr>
            <w:tcW w:w="501" w:type="pct"/>
            <w:tcBorders>
              <w:top w:val="nil"/>
              <w:left w:val="nil"/>
              <w:bottom w:val="nil"/>
              <w:right w:val="nil"/>
            </w:tcBorders>
            <w:shd w:val="clear" w:color="auto" w:fill="auto"/>
            <w:noWrap/>
            <w:vAlign w:val="bottom"/>
          </w:tcPr>
          <w:p w14:paraId="30C82408"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964</w:t>
            </w:r>
          </w:p>
        </w:tc>
        <w:tc>
          <w:tcPr>
            <w:tcW w:w="478" w:type="pct"/>
            <w:tcBorders>
              <w:top w:val="nil"/>
              <w:left w:val="nil"/>
              <w:bottom w:val="nil"/>
              <w:right w:val="nil"/>
            </w:tcBorders>
            <w:shd w:val="clear" w:color="auto" w:fill="auto"/>
            <w:noWrap/>
            <w:vAlign w:val="bottom"/>
          </w:tcPr>
          <w:p w14:paraId="091B18E2"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916</w:t>
            </w:r>
          </w:p>
        </w:tc>
        <w:tc>
          <w:tcPr>
            <w:tcW w:w="333" w:type="pct"/>
            <w:tcBorders>
              <w:top w:val="nil"/>
              <w:left w:val="nil"/>
              <w:bottom w:val="nil"/>
              <w:right w:val="nil"/>
            </w:tcBorders>
            <w:shd w:val="clear" w:color="auto" w:fill="auto"/>
            <w:noWrap/>
            <w:vAlign w:val="bottom"/>
          </w:tcPr>
          <w:p w14:paraId="6F963EA3"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1,223</w:t>
            </w:r>
          </w:p>
        </w:tc>
        <w:tc>
          <w:tcPr>
            <w:tcW w:w="294" w:type="pct"/>
            <w:tcBorders>
              <w:top w:val="nil"/>
              <w:left w:val="nil"/>
              <w:bottom w:val="nil"/>
              <w:right w:val="nil"/>
            </w:tcBorders>
            <w:shd w:val="clear" w:color="auto" w:fill="auto"/>
            <w:noWrap/>
            <w:vAlign w:val="bottom"/>
          </w:tcPr>
          <w:p w14:paraId="71EDD751"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978</w:t>
            </w:r>
          </w:p>
        </w:tc>
        <w:tc>
          <w:tcPr>
            <w:tcW w:w="322" w:type="pct"/>
            <w:tcBorders>
              <w:top w:val="nil"/>
              <w:left w:val="nil"/>
              <w:bottom w:val="nil"/>
              <w:right w:val="nil"/>
            </w:tcBorders>
            <w:shd w:val="clear" w:color="auto" w:fill="auto"/>
            <w:noWrap/>
            <w:vAlign w:val="bottom"/>
          </w:tcPr>
          <w:p w14:paraId="4C6A320A"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687</w:t>
            </w:r>
          </w:p>
        </w:tc>
        <w:tc>
          <w:tcPr>
            <w:tcW w:w="353" w:type="pct"/>
            <w:tcBorders>
              <w:top w:val="nil"/>
              <w:left w:val="nil"/>
              <w:bottom w:val="nil"/>
              <w:right w:val="nil"/>
            </w:tcBorders>
            <w:shd w:val="clear" w:color="auto" w:fill="auto"/>
            <w:noWrap/>
            <w:vAlign w:val="bottom"/>
          </w:tcPr>
          <w:p w14:paraId="210E8DF7"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1,816</w:t>
            </w:r>
          </w:p>
        </w:tc>
        <w:tc>
          <w:tcPr>
            <w:tcW w:w="427" w:type="pct"/>
            <w:tcBorders>
              <w:top w:val="nil"/>
              <w:left w:val="nil"/>
              <w:bottom w:val="nil"/>
              <w:right w:val="nil"/>
            </w:tcBorders>
            <w:shd w:val="clear" w:color="auto" w:fill="auto"/>
            <w:noWrap/>
            <w:vAlign w:val="bottom"/>
          </w:tcPr>
          <w:p w14:paraId="4668F886"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670</w:t>
            </w:r>
          </w:p>
        </w:tc>
        <w:tc>
          <w:tcPr>
            <w:tcW w:w="438" w:type="pct"/>
            <w:tcBorders>
              <w:top w:val="nil"/>
              <w:left w:val="nil"/>
              <w:bottom w:val="nil"/>
              <w:right w:val="nil"/>
            </w:tcBorders>
            <w:shd w:val="clear" w:color="auto" w:fill="auto"/>
            <w:noWrap/>
            <w:vAlign w:val="bottom"/>
          </w:tcPr>
          <w:p w14:paraId="44130492"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627</w:t>
            </w:r>
          </w:p>
        </w:tc>
        <w:tc>
          <w:tcPr>
            <w:tcW w:w="443" w:type="pct"/>
            <w:tcBorders>
              <w:top w:val="nil"/>
              <w:left w:val="nil"/>
              <w:bottom w:val="nil"/>
              <w:right w:val="nil"/>
            </w:tcBorders>
            <w:shd w:val="clear" w:color="auto" w:fill="auto"/>
            <w:noWrap/>
            <w:vAlign w:val="bottom"/>
          </w:tcPr>
          <w:p w14:paraId="28A3315A"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820</w:t>
            </w:r>
          </w:p>
        </w:tc>
        <w:tc>
          <w:tcPr>
            <w:tcW w:w="381" w:type="pct"/>
            <w:tcBorders>
              <w:top w:val="nil"/>
              <w:left w:val="nil"/>
              <w:bottom w:val="nil"/>
              <w:right w:val="nil"/>
            </w:tcBorders>
            <w:shd w:val="clear" w:color="auto" w:fill="auto"/>
            <w:noWrap/>
            <w:vAlign w:val="bottom"/>
          </w:tcPr>
          <w:p w14:paraId="17A91B25"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770</w:t>
            </w:r>
          </w:p>
        </w:tc>
        <w:tc>
          <w:tcPr>
            <w:tcW w:w="380" w:type="pct"/>
            <w:tcBorders>
              <w:top w:val="nil"/>
              <w:left w:val="nil"/>
              <w:bottom w:val="nil"/>
              <w:right w:val="nil"/>
            </w:tcBorders>
            <w:shd w:val="clear" w:color="auto" w:fill="auto"/>
            <w:noWrap/>
            <w:vAlign w:val="bottom"/>
          </w:tcPr>
          <w:p w14:paraId="4D831EED"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9,471</w:t>
            </w:r>
          </w:p>
        </w:tc>
      </w:tr>
      <w:tr w:rsidR="00396077" w:rsidRPr="00555A65" w14:paraId="36BDDA78" w14:textId="77777777" w:rsidTr="00396077">
        <w:trPr>
          <w:trHeight w:val="227"/>
        </w:trPr>
        <w:tc>
          <w:tcPr>
            <w:tcW w:w="650" w:type="pct"/>
            <w:tcBorders>
              <w:top w:val="nil"/>
              <w:left w:val="nil"/>
              <w:bottom w:val="nil"/>
              <w:right w:val="nil"/>
            </w:tcBorders>
            <w:shd w:val="clear" w:color="auto" w:fill="auto"/>
            <w:noWrap/>
            <w:vAlign w:val="bottom"/>
          </w:tcPr>
          <w:p w14:paraId="34C5DE91"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Common carp</w:t>
            </w:r>
          </w:p>
        </w:tc>
        <w:tc>
          <w:tcPr>
            <w:tcW w:w="501" w:type="pct"/>
            <w:tcBorders>
              <w:top w:val="nil"/>
              <w:left w:val="nil"/>
              <w:bottom w:val="nil"/>
              <w:right w:val="nil"/>
            </w:tcBorders>
            <w:shd w:val="clear" w:color="auto" w:fill="auto"/>
            <w:noWrap/>
            <w:vAlign w:val="bottom"/>
          </w:tcPr>
          <w:p w14:paraId="25F83738"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10</w:t>
            </w:r>
          </w:p>
        </w:tc>
        <w:tc>
          <w:tcPr>
            <w:tcW w:w="478" w:type="pct"/>
            <w:tcBorders>
              <w:top w:val="nil"/>
              <w:left w:val="nil"/>
              <w:bottom w:val="nil"/>
              <w:right w:val="nil"/>
            </w:tcBorders>
            <w:shd w:val="clear" w:color="auto" w:fill="auto"/>
            <w:noWrap/>
            <w:vAlign w:val="bottom"/>
          </w:tcPr>
          <w:p w14:paraId="3E6B3151"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4</w:t>
            </w:r>
          </w:p>
        </w:tc>
        <w:tc>
          <w:tcPr>
            <w:tcW w:w="333" w:type="pct"/>
            <w:tcBorders>
              <w:top w:val="nil"/>
              <w:left w:val="nil"/>
              <w:bottom w:val="nil"/>
              <w:right w:val="nil"/>
            </w:tcBorders>
            <w:shd w:val="clear" w:color="auto" w:fill="auto"/>
            <w:noWrap/>
            <w:vAlign w:val="bottom"/>
          </w:tcPr>
          <w:p w14:paraId="314FBF54"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17</w:t>
            </w:r>
          </w:p>
        </w:tc>
        <w:tc>
          <w:tcPr>
            <w:tcW w:w="294" w:type="pct"/>
            <w:tcBorders>
              <w:top w:val="nil"/>
              <w:left w:val="nil"/>
              <w:bottom w:val="nil"/>
              <w:right w:val="nil"/>
            </w:tcBorders>
            <w:shd w:val="clear" w:color="auto" w:fill="auto"/>
            <w:noWrap/>
            <w:vAlign w:val="bottom"/>
          </w:tcPr>
          <w:p w14:paraId="5B6BB741"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4</w:t>
            </w:r>
          </w:p>
        </w:tc>
        <w:tc>
          <w:tcPr>
            <w:tcW w:w="322" w:type="pct"/>
            <w:tcBorders>
              <w:top w:val="nil"/>
              <w:left w:val="nil"/>
              <w:bottom w:val="nil"/>
              <w:right w:val="nil"/>
            </w:tcBorders>
            <w:shd w:val="clear" w:color="auto" w:fill="auto"/>
            <w:noWrap/>
            <w:vAlign w:val="bottom"/>
          </w:tcPr>
          <w:p w14:paraId="4E622C3A"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3</w:t>
            </w:r>
          </w:p>
        </w:tc>
        <w:tc>
          <w:tcPr>
            <w:tcW w:w="353" w:type="pct"/>
            <w:tcBorders>
              <w:top w:val="nil"/>
              <w:left w:val="nil"/>
              <w:bottom w:val="nil"/>
              <w:right w:val="nil"/>
            </w:tcBorders>
            <w:shd w:val="clear" w:color="auto" w:fill="auto"/>
            <w:noWrap/>
            <w:vAlign w:val="bottom"/>
          </w:tcPr>
          <w:p w14:paraId="27479154"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15</w:t>
            </w:r>
          </w:p>
        </w:tc>
        <w:tc>
          <w:tcPr>
            <w:tcW w:w="427" w:type="pct"/>
            <w:tcBorders>
              <w:top w:val="nil"/>
              <w:left w:val="nil"/>
              <w:bottom w:val="nil"/>
              <w:right w:val="nil"/>
            </w:tcBorders>
            <w:shd w:val="clear" w:color="auto" w:fill="auto"/>
            <w:noWrap/>
            <w:vAlign w:val="bottom"/>
          </w:tcPr>
          <w:p w14:paraId="7F9EF856"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11</w:t>
            </w:r>
          </w:p>
        </w:tc>
        <w:tc>
          <w:tcPr>
            <w:tcW w:w="438" w:type="pct"/>
            <w:tcBorders>
              <w:top w:val="nil"/>
              <w:left w:val="nil"/>
              <w:bottom w:val="nil"/>
              <w:right w:val="nil"/>
            </w:tcBorders>
            <w:shd w:val="clear" w:color="auto" w:fill="auto"/>
            <w:noWrap/>
            <w:vAlign w:val="bottom"/>
          </w:tcPr>
          <w:p w14:paraId="10A9FD9F"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13</w:t>
            </w:r>
          </w:p>
        </w:tc>
        <w:tc>
          <w:tcPr>
            <w:tcW w:w="443" w:type="pct"/>
            <w:tcBorders>
              <w:top w:val="nil"/>
              <w:left w:val="nil"/>
              <w:bottom w:val="nil"/>
              <w:right w:val="nil"/>
            </w:tcBorders>
            <w:shd w:val="clear" w:color="auto" w:fill="auto"/>
            <w:noWrap/>
            <w:vAlign w:val="bottom"/>
          </w:tcPr>
          <w:p w14:paraId="64737255"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8</w:t>
            </w:r>
          </w:p>
        </w:tc>
        <w:tc>
          <w:tcPr>
            <w:tcW w:w="381" w:type="pct"/>
            <w:tcBorders>
              <w:top w:val="nil"/>
              <w:left w:val="nil"/>
              <w:bottom w:val="nil"/>
              <w:right w:val="nil"/>
            </w:tcBorders>
            <w:shd w:val="clear" w:color="auto" w:fill="auto"/>
            <w:noWrap/>
            <w:vAlign w:val="bottom"/>
          </w:tcPr>
          <w:p w14:paraId="3BF62236"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20</w:t>
            </w:r>
          </w:p>
        </w:tc>
        <w:tc>
          <w:tcPr>
            <w:tcW w:w="380" w:type="pct"/>
            <w:tcBorders>
              <w:top w:val="nil"/>
              <w:left w:val="nil"/>
              <w:bottom w:val="nil"/>
              <w:right w:val="nil"/>
            </w:tcBorders>
            <w:shd w:val="clear" w:color="auto" w:fill="auto"/>
            <w:noWrap/>
            <w:vAlign w:val="bottom"/>
          </w:tcPr>
          <w:p w14:paraId="6C8B4AB4"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105</w:t>
            </w:r>
          </w:p>
        </w:tc>
      </w:tr>
      <w:tr w:rsidR="00396077" w:rsidRPr="00555A65" w14:paraId="26B10FC7" w14:textId="77777777" w:rsidTr="00396077">
        <w:trPr>
          <w:trHeight w:val="227"/>
        </w:trPr>
        <w:tc>
          <w:tcPr>
            <w:tcW w:w="650" w:type="pct"/>
            <w:tcBorders>
              <w:top w:val="nil"/>
              <w:left w:val="nil"/>
              <w:bottom w:val="nil"/>
              <w:right w:val="nil"/>
            </w:tcBorders>
            <w:shd w:val="clear" w:color="auto" w:fill="auto"/>
            <w:noWrap/>
            <w:vAlign w:val="bottom"/>
          </w:tcPr>
          <w:p w14:paraId="2C7309D5"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Goldfish</w:t>
            </w:r>
          </w:p>
        </w:tc>
        <w:tc>
          <w:tcPr>
            <w:tcW w:w="501" w:type="pct"/>
            <w:tcBorders>
              <w:top w:val="nil"/>
              <w:left w:val="nil"/>
              <w:bottom w:val="nil"/>
              <w:right w:val="nil"/>
            </w:tcBorders>
            <w:shd w:val="clear" w:color="auto" w:fill="auto"/>
            <w:noWrap/>
            <w:vAlign w:val="bottom"/>
          </w:tcPr>
          <w:p w14:paraId="544CFADB"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3</w:t>
            </w:r>
          </w:p>
        </w:tc>
        <w:tc>
          <w:tcPr>
            <w:tcW w:w="478" w:type="pct"/>
            <w:tcBorders>
              <w:top w:val="nil"/>
              <w:left w:val="nil"/>
              <w:bottom w:val="nil"/>
              <w:right w:val="nil"/>
            </w:tcBorders>
            <w:shd w:val="clear" w:color="auto" w:fill="auto"/>
            <w:noWrap/>
            <w:vAlign w:val="bottom"/>
          </w:tcPr>
          <w:p w14:paraId="28409287" w14:textId="77777777" w:rsidR="00105D8A" w:rsidRPr="00555A65" w:rsidRDefault="00105D8A" w:rsidP="00A057F0">
            <w:pPr>
              <w:spacing w:after="0" w:line="240" w:lineRule="auto"/>
              <w:contextualSpacing/>
              <w:jc w:val="right"/>
              <w:rPr>
                <w:rFonts w:cs="Calibri"/>
                <w:sz w:val="17"/>
                <w:szCs w:val="17"/>
                <w:lang w:eastAsia="en-AU"/>
              </w:rPr>
            </w:pPr>
          </w:p>
        </w:tc>
        <w:tc>
          <w:tcPr>
            <w:tcW w:w="333" w:type="pct"/>
            <w:tcBorders>
              <w:top w:val="nil"/>
              <w:left w:val="nil"/>
              <w:bottom w:val="nil"/>
              <w:right w:val="nil"/>
            </w:tcBorders>
            <w:shd w:val="clear" w:color="auto" w:fill="auto"/>
            <w:noWrap/>
            <w:vAlign w:val="bottom"/>
          </w:tcPr>
          <w:p w14:paraId="50421F42"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6</w:t>
            </w:r>
          </w:p>
        </w:tc>
        <w:tc>
          <w:tcPr>
            <w:tcW w:w="294" w:type="pct"/>
            <w:tcBorders>
              <w:top w:val="nil"/>
              <w:left w:val="nil"/>
              <w:bottom w:val="nil"/>
              <w:right w:val="nil"/>
            </w:tcBorders>
            <w:shd w:val="clear" w:color="auto" w:fill="auto"/>
            <w:noWrap/>
            <w:vAlign w:val="bottom"/>
          </w:tcPr>
          <w:p w14:paraId="13B5F521" w14:textId="77777777" w:rsidR="00105D8A" w:rsidRPr="00555A65" w:rsidRDefault="00105D8A" w:rsidP="00A057F0">
            <w:pPr>
              <w:spacing w:after="0" w:line="240" w:lineRule="auto"/>
              <w:contextualSpacing/>
              <w:jc w:val="right"/>
              <w:rPr>
                <w:rFonts w:cs="Calibri"/>
                <w:sz w:val="17"/>
                <w:szCs w:val="17"/>
                <w:lang w:eastAsia="en-AU"/>
              </w:rPr>
            </w:pPr>
          </w:p>
        </w:tc>
        <w:tc>
          <w:tcPr>
            <w:tcW w:w="322" w:type="pct"/>
            <w:tcBorders>
              <w:top w:val="nil"/>
              <w:left w:val="nil"/>
              <w:bottom w:val="nil"/>
              <w:right w:val="nil"/>
            </w:tcBorders>
            <w:shd w:val="clear" w:color="auto" w:fill="auto"/>
            <w:noWrap/>
            <w:vAlign w:val="bottom"/>
          </w:tcPr>
          <w:p w14:paraId="4689B7C6" w14:textId="77777777" w:rsidR="00105D8A" w:rsidRPr="00555A65" w:rsidRDefault="00105D8A" w:rsidP="00A057F0">
            <w:pPr>
              <w:spacing w:after="0" w:line="240" w:lineRule="auto"/>
              <w:contextualSpacing/>
              <w:jc w:val="right"/>
              <w:rPr>
                <w:rFonts w:cs="Calibri"/>
                <w:sz w:val="17"/>
                <w:szCs w:val="17"/>
                <w:lang w:eastAsia="en-AU"/>
              </w:rPr>
            </w:pPr>
          </w:p>
        </w:tc>
        <w:tc>
          <w:tcPr>
            <w:tcW w:w="353" w:type="pct"/>
            <w:tcBorders>
              <w:top w:val="nil"/>
              <w:left w:val="nil"/>
              <w:bottom w:val="nil"/>
              <w:right w:val="nil"/>
            </w:tcBorders>
            <w:shd w:val="clear" w:color="auto" w:fill="auto"/>
            <w:noWrap/>
            <w:vAlign w:val="bottom"/>
          </w:tcPr>
          <w:p w14:paraId="2C5BF708"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8</w:t>
            </w:r>
          </w:p>
        </w:tc>
        <w:tc>
          <w:tcPr>
            <w:tcW w:w="427" w:type="pct"/>
            <w:tcBorders>
              <w:top w:val="nil"/>
              <w:left w:val="nil"/>
              <w:bottom w:val="nil"/>
              <w:right w:val="nil"/>
            </w:tcBorders>
            <w:shd w:val="clear" w:color="auto" w:fill="auto"/>
            <w:noWrap/>
            <w:vAlign w:val="bottom"/>
          </w:tcPr>
          <w:p w14:paraId="5F20A80D" w14:textId="77777777" w:rsidR="00105D8A" w:rsidRPr="00555A65" w:rsidRDefault="00105D8A" w:rsidP="00A057F0">
            <w:pPr>
              <w:spacing w:after="0" w:line="240" w:lineRule="auto"/>
              <w:contextualSpacing/>
              <w:jc w:val="right"/>
              <w:rPr>
                <w:rFonts w:cs="Calibri"/>
                <w:sz w:val="17"/>
                <w:szCs w:val="17"/>
                <w:lang w:eastAsia="en-AU"/>
              </w:rPr>
            </w:pPr>
          </w:p>
        </w:tc>
        <w:tc>
          <w:tcPr>
            <w:tcW w:w="438" w:type="pct"/>
            <w:tcBorders>
              <w:top w:val="nil"/>
              <w:left w:val="nil"/>
              <w:bottom w:val="nil"/>
              <w:right w:val="nil"/>
            </w:tcBorders>
            <w:shd w:val="clear" w:color="auto" w:fill="auto"/>
            <w:noWrap/>
            <w:vAlign w:val="bottom"/>
          </w:tcPr>
          <w:p w14:paraId="02DBD2C4" w14:textId="77777777" w:rsidR="00105D8A" w:rsidRPr="00555A65" w:rsidRDefault="00105D8A" w:rsidP="00A057F0">
            <w:pPr>
              <w:spacing w:after="0" w:line="240" w:lineRule="auto"/>
              <w:contextualSpacing/>
              <w:jc w:val="right"/>
              <w:rPr>
                <w:rFonts w:cs="Calibri"/>
                <w:sz w:val="17"/>
                <w:szCs w:val="17"/>
                <w:lang w:eastAsia="en-AU"/>
              </w:rPr>
            </w:pPr>
          </w:p>
        </w:tc>
        <w:tc>
          <w:tcPr>
            <w:tcW w:w="443" w:type="pct"/>
            <w:tcBorders>
              <w:top w:val="nil"/>
              <w:left w:val="nil"/>
              <w:bottom w:val="nil"/>
              <w:right w:val="nil"/>
            </w:tcBorders>
            <w:shd w:val="clear" w:color="auto" w:fill="auto"/>
            <w:noWrap/>
            <w:vAlign w:val="bottom"/>
          </w:tcPr>
          <w:p w14:paraId="46316D17" w14:textId="77777777" w:rsidR="00105D8A" w:rsidRPr="00555A65" w:rsidRDefault="00105D8A" w:rsidP="00A057F0">
            <w:pPr>
              <w:spacing w:after="0" w:line="240" w:lineRule="auto"/>
              <w:contextualSpacing/>
              <w:jc w:val="right"/>
              <w:rPr>
                <w:rFonts w:cs="Calibri"/>
                <w:sz w:val="17"/>
                <w:szCs w:val="17"/>
                <w:lang w:eastAsia="en-AU"/>
              </w:rPr>
            </w:pPr>
            <w:r w:rsidRPr="00555A65">
              <w:rPr>
                <w:rFonts w:cs="Calibri"/>
                <w:sz w:val="17"/>
                <w:szCs w:val="17"/>
                <w:lang w:eastAsia="en-AU"/>
              </w:rPr>
              <w:t>1</w:t>
            </w:r>
          </w:p>
        </w:tc>
        <w:tc>
          <w:tcPr>
            <w:tcW w:w="381" w:type="pct"/>
            <w:tcBorders>
              <w:top w:val="nil"/>
              <w:left w:val="nil"/>
              <w:bottom w:val="nil"/>
              <w:right w:val="nil"/>
            </w:tcBorders>
            <w:shd w:val="clear" w:color="auto" w:fill="auto"/>
            <w:noWrap/>
            <w:vAlign w:val="bottom"/>
          </w:tcPr>
          <w:p w14:paraId="7132D48F" w14:textId="77777777" w:rsidR="00105D8A" w:rsidRPr="00555A65" w:rsidRDefault="00105D8A" w:rsidP="00A057F0">
            <w:pPr>
              <w:spacing w:after="0" w:line="240" w:lineRule="auto"/>
              <w:contextualSpacing/>
              <w:jc w:val="right"/>
              <w:rPr>
                <w:rFonts w:cs="Calibri"/>
                <w:sz w:val="17"/>
                <w:szCs w:val="17"/>
                <w:lang w:eastAsia="en-AU"/>
              </w:rPr>
            </w:pPr>
          </w:p>
        </w:tc>
        <w:tc>
          <w:tcPr>
            <w:tcW w:w="380" w:type="pct"/>
            <w:tcBorders>
              <w:top w:val="nil"/>
              <w:left w:val="nil"/>
              <w:bottom w:val="nil"/>
              <w:right w:val="nil"/>
            </w:tcBorders>
            <w:shd w:val="clear" w:color="auto" w:fill="auto"/>
            <w:noWrap/>
            <w:vAlign w:val="bottom"/>
          </w:tcPr>
          <w:p w14:paraId="4611748D"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18</w:t>
            </w:r>
          </w:p>
        </w:tc>
      </w:tr>
      <w:tr w:rsidR="00396077" w:rsidRPr="00555A65" w14:paraId="30CF7D90" w14:textId="77777777" w:rsidTr="00396077">
        <w:trPr>
          <w:trHeight w:val="227"/>
        </w:trPr>
        <w:tc>
          <w:tcPr>
            <w:tcW w:w="650" w:type="pct"/>
            <w:tcBorders>
              <w:top w:val="nil"/>
              <w:left w:val="nil"/>
              <w:bottom w:val="nil"/>
              <w:right w:val="nil"/>
            </w:tcBorders>
            <w:shd w:val="clear" w:color="auto" w:fill="auto"/>
            <w:noWrap/>
            <w:vAlign w:val="bottom"/>
          </w:tcPr>
          <w:p w14:paraId="71B714DD"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Redfin perch</w:t>
            </w:r>
          </w:p>
        </w:tc>
        <w:tc>
          <w:tcPr>
            <w:tcW w:w="501" w:type="pct"/>
            <w:tcBorders>
              <w:top w:val="nil"/>
              <w:left w:val="nil"/>
              <w:bottom w:val="nil"/>
              <w:right w:val="nil"/>
            </w:tcBorders>
            <w:shd w:val="clear" w:color="auto" w:fill="auto"/>
            <w:noWrap/>
            <w:vAlign w:val="bottom"/>
          </w:tcPr>
          <w:p w14:paraId="17A85EBE" w14:textId="77777777" w:rsidR="00105D8A" w:rsidRPr="00555A65" w:rsidRDefault="00105D8A" w:rsidP="00A057F0">
            <w:pPr>
              <w:spacing w:after="0" w:line="240" w:lineRule="auto"/>
              <w:contextualSpacing/>
              <w:jc w:val="right"/>
              <w:rPr>
                <w:rFonts w:cs="Calibri"/>
                <w:sz w:val="17"/>
                <w:szCs w:val="17"/>
                <w:lang w:eastAsia="en-AU"/>
              </w:rPr>
            </w:pPr>
          </w:p>
        </w:tc>
        <w:tc>
          <w:tcPr>
            <w:tcW w:w="478" w:type="pct"/>
            <w:tcBorders>
              <w:top w:val="nil"/>
              <w:left w:val="nil"/>
              <w:bottom w:val="nil"/>
              <w:right w:val="nil"/>
            </w:tcBorders>
            <w:shd w:val="clear" w:color="auto" w:fill="auto"/>
            <w:noWrap/>
            <w:vAlign w:val="bottom"/>
          </w:tcPr>
          <w:p w14:paraId="31476DA0" w14:textId="77777777" w:rsidR="00105D8A" w:rsidRPr="00555A65" w:rsidRDefault="00105D8A" w:rsidP="00A057F0">
            <w:pPr>
              <w:spacing w:after="0" w:line="240" w:lineRule="auto"/>
              <w:contextualSpacing/>
              <w:jc w:val="right"/>
              <w:rPr>
                <w:sz w:val="17"/>
                <w:szCs w:val="17"/>
              </w:rPr>
            </w:pPr>
          </w:p>
        </w:tc>
        <w:tc>
          <w:tcPr>
            <w:tcW w:w="333" w:type="pct"/>
            <w:tcBorders>
              <w:top w:val="nil"/>
              <w:left w:val="nil"/>
              <w:bottom w:val="nil"/>
              <w:right w:val="nil"/>
            </w:tcBorders>
            <w:shd w:val="clear" w:color="auto" w:fill="auto"/>
            <w:noWrap/>
            <w:vAlign w:val="bottom"/>
          </w:tcPr>
          <w:p w14:paraId="1C455B5C" w14:textId="77777777" w:rsidR="00105D8A" w:rsidRPr="00555A65" w:rsidRDefault="00105D8A" w:rsidP="00A057F0">
            <w:pPr>
              <w:spacing w:after="0" w:line="240" w:lineRule="auto"/>
              <w:contextualSpacing/>
              <w:jc w:val="right"/>
              <w:rPr>
                <w:sz w:val="17"/>
                <w:szCs w:val="17"/>
              </w:rPr>
            </w:pPr>
          </w:p>
        </w:tc>
        <w:tc>
          <w:tcPr>
            <w:tcW w:w="294" w:type="pct"/>
            <w:tcBorders>
              <w:top w:val="nil"/>
              <w:left w:val="nil"/>
              <w:bottom w:val="nil"/>
              <w:right w:val="nil"/>
            </w:tcBorders>
            <w:shd w:val="clear" w:color="auto" w:fill="auto"/>
            <w:noWrap/>
            <w:vAlign w:val="bottom"/>
          </w:tcPr>
          <w:p w14:paraId="2BCE8FCC" w14:textId="77777777" w:rsidR="00105D8A" w:rsidRPr="00555A65" w:rsidRDefault="00105D8A" w:rsidP="00A057F0">
            <w:pPr>
              <w:spacing w:after="0" w:line="240" w:lineRule="auto"/>
              <w:contextualSpacing/>
              <w:jc w:val="right"/>
              <w:rPr>
                <w:sz w:val="17"/>
                <w:szCs w:val="17"/>
              </w:rPr>
            </w:pPr>
          </w:p>
        </w:tc>
        <w:tc>
          <w:tcPr>
            <w:tcW w:w="322" w:type="pct"/>
            <w:tcBorders>
              <w:top w:val="nil"/>
              <w:left w:val="nil"/>
              <w:bottom w:val="nil"/>
              <w:right w:val="nil"/>
            </w:tcBorders>
            <w:shd w:val="clear" w:color="auto" w:fill="auto"/>
            <w:noWrap/>
            <w:vAlign w:val="bottom"/>
          </w:tcPr>
          <w:p w14:paraId="2E6F4181" w14:textId="77777777" w:rsidR="00105D8A" w:rsidRPr="00555A65" w:rsidRDefault="00105D8A" w:rsidP="00A057F0">
            <w:pPr>
              <w:spacing w:after="0" w:line="240" w:lineRule="auto"/>
              <w:contextualSpacing/>
              <w:jc w:val="right"/>
              <w:rPr>
                <w:sz w:val="17"/>
                <w:szCs w:val="17"/>
              </w:rPr>
            </w:pPr>
          </w:p>
        </w:tc>
        <w:tc>
          <w:tcPr>
            <w:tcW w:w="353" w:type="pct"/>
            <w:tcBorders>
              <w:top w:val="nil"/>
              <w:left w:val="nil"/>
              <w:bottom w:val="nil"/>
              <w:right w:val="nil"/>
            </w:tcBorders>
            <w:shd w:val="clear" w:color="auto" w:fill="auto"/>
            <w:noWrap/>
            <w:vAlign w:val="bottom"/>
          </w:tcPr>
          <w:p w14:paraId="7D30B4C5" w14:textId="77777777" w:rsidR="00105D8A" w:rsidRPr="00555A65" w:rsidRDefault="00105D8A" w:rsidP="00A057F0">
            <w:pPr>
              <w:spacing w:after="0" w:line="240" w:lineRule="auto"/>
              <w:contextualSpacing/>
              <w:jc w:val="right"/>
              <w:rPr>
                <w:sz w:val="17"/>
                <w:szCs w:val="17"/>
              </w:rPr>
            </w:pPr>
          </w:p>
        </w:tc>
        <w:tc>
          <w:tcPr>
            <w:tcW w:w="427" w:type="pct"/>
            <w:tcBorders>
              <w:top w:val="nil"/>
              <w:left w:val="nil"/>
              <w:bottom w:val="nil"/>
              <w:right w:val="nil"/>
            </w:tcBorders>
            <w:shd w:val="clear" w:color="auto" w:fill="auto"/>
            <w:noWrap/>
            <w:vAlign w:val="bottom"/>
          </w:tcPr>
          <w:p w14:paraId="5093F1A3" w14:textId="77777777" w:rsidR="00105D8A" w:rsidRPr="00555A65" w:rsidRDefault="00105D8A" w:rsidP="00A057F0">
            <w:pPr>
              <w:spacing w:after="0" w:line="240" w:lineRule="auto"/>
              <w:contextualSpacing/>
              <w:jc w:val="right"/>
              <w:rPr>
                <w:sz w:val="17"/>
                <w:szCs w:val="17"/>
              </w:rPr>
            </w:pPr>
            <w:r w:rsidRPr="00555A65">
              <w:rPr>
                <w:rFonts w:cs="Calibri"/>
                <w:sz w:val="17"/>
                <w:szCs w:val="17"/>
                <w:lang w:eastAsia="en-AU"/>
              </w:rPr>
              <w:t>1</w:t>
            </w:r>
          </w:p>
        </w:tc>
        <w:tc>
          <w:tcPr>
            <w:tcW w:w="438" w:type="pct"/>
            <w:tcBorders>
              <w:top w:val="nil"/>
              <w:left w:val="nil"/>
              <w:bottom w:val="nil"/>
              <w:right w:val="nil"/>
            </w:tcBorders>
            <w:shd w:val="clear" w:color="auto" w:fill="auto"/>
            <w:noWrap/>
            <w:vAlign w:val="bottom"/>
          </w:tcPr>
          <w:p w14:paraId="56A9CEA8" w14:textId="77777777" w:rsidR="00105D8A" w:rsidRPr="00555A65" w:rsidRDefault="00105D8A" w:rsidP="00A057F0">
            <w:pPr>
              <w:spacing w:after="0" w:line="240" w:lineRule="auto"/>
              <w:contextualSpacing/>
              <w:jc w:val="right"/>
              <w:rPr>
                <w:sz w:val="17"/>
                <w:szCs w:val="17"/>
              </w:rPr>
            </w:pPr>
          </w:p>
        </w:tc>
        <w:tc>
          <w:tcPr>
            <w:tcW w:w="443" w:type="pct"/>
            <w:tcBorders>
              <w:top w:val="nil"/>
              <w:left w:val="nil"/>
              <w:bottom w:val="nil"/>
              <w:right w:val="nil"/>
            </w:tcBorders>
            <w:shd w:val="clear" w:color="auto" w:fill="auto"/>
            <w:noWrap/>
            <w:vAlign w:val="bottom"/>
          </w:tcPr>
          <w:p w14:paraId="4B69F812" w14:textId="77777777" w:rsidR="00105D8A" w:rsidRPr="00555A65" w:rsidRDefault="00105D8A" w:rsidP="00A057F0">
            <w:pPr>
              <w:spacing w:after="0" w:line="240" w:lineRule="auto"/>
              <w:contextualSpacing/>
              <w:jc w:val="right"/>
              <w:rPr>
                <w:sz w:val="17"/>
                <w:szCs w:val="17"/>
              </w:rPr>
            </w:pPr>
          </w:p>
        </w:tc>
        <w:tc>
          <w:tcPr>
            <w:tcW w:w="381" w:type="pct"/>
            <w:tcBorders>
              <w:top w:val="nil"/>
              <w:left w:val="nil"/>
              <w:bottom w:val="nil"/>
              <w:right w:val="nil"/>
            </w:tcBorders>
            <w:shd w:val="clear" w:color="auto" w:fill="auto"/>
            <w:noWrap/>
            <w:vAlign w:val="bottom"/>
          </w:tcPr>
          <w:p w14:paraId="3B5E99BD" w14:textId="77777777" w:rsidR="00105D8A" w:rsidRPr="00555A65" w:rsidRDefault="00105D8A" w:rsidP="00A057F0">
            <w:pPr>
              <w:spacing w:after="0" w:line="240" w:lineRule="auto"/>
              <w:contextualSpacing/>
              <w:jc w:val="right"/>
              <w:rPr>
                <w:sz w:val="17"/>
                <w:szCs w:val="17"/>
              </w:rPr>
            </w:pPr>
          </w:p>
        </w:tc>
        <w:tc>
          <w:tcPr>
            <w:tcW w:w="380" w:type="pct"/>
            <w:tcBorders>
              <w:top w:val="nil"/>
              <w:left w:val="nil"/>
              <w:bottom w:val="nil"/>
              <w:right w:val="nil"/>
            </w:tcBorders>
            <w:shd w:val="clear" w:color="auto" w:fill="auto"/>
            <w:noWrap/>
            <w:vAlign w:val="bottom"/>
          </w:tcPr>
          <w:p w14:paraId="373CC146" w14:textId="77777777" w:rsidR="00105D8A" w:rsidRPr="00555A65" w:rsidRDefault="00105D8A" w:rsidP="00A057F0">
            <w:pPr>
              <w:spacing w:after="0" w:line="240" w:lineRule="auto"/>
              <w:contextualSpacing/>
              <w:jc w:val="right"/>
              <w:rPr>
                <w:b/>
                <w:sz w:val="17"/>
                <w:szCs w:val="17"/>
              </w:rPr>
            </w:pPr>
            <w:r w:rsidRPr="00555A65">
              <w:rPr>
                <w:rFonts w:cs="Calibri"/>
                <w:b/>
                <w:bCs/>
                <w:sz w:val="17"/>
                <w:szCs w:val="17"/>
                <w:lang w:eastAsia="en-AU"/>
              </w:rPr>
              <w:t>1</w:t>
            </w:r>
          </w:p>
        </w:tc>
      </w:tr>
      <w:tr w:rsidR="00396077" w:rsidRPr="00555A65" w14:paraId="2656EE23" w14:textId="77777777" w:rsidTr="00396077">
        <w:trPr>
          <w:trHeight w:val="227"/>
        </w:trPr>
        <w:tc>
          <w:tcPr>
            <w:tcW w:w="650" w:type="pct"/>
            <w:tcBorders>
              <w:top w:val="nil"/>
              <w:left w:val="nil"/>
              <w:bottom w:val="nil"/>
              <w:right w:val="nil"/>
            </w:tcBorders>
            <w:shd w:val="clear" w:color="auto" w:fill="auto"/>
            <w:noWrap/>
            <w:vAlign w:val="bottom"/>
          </w:tcPr>
          <w:p w14:paraId="2310BCB4"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 xml:space="preserve">Total </w:t>
            </w:r>
          </w:p>
        </w:tc>
        <w:tc>
          <w:tcPr>
            <w:tcW w:w="501" w:type="pct"/>
            <w:tcBorders>
              <w:top w:val="nil"/>
              <w:left w:val="nil"/>
              <w:bottom w:val="nil"/>
              <w:right w:val="nil"/>
            </w:tcBorders>
            <w:shd w:val="clear" w:color="auto" w:fill="auto"/>
            <w:noWrap/>
            <w:vAlign w:val="bottom"/>
          </w:tcPr>
          <w:p w14:paraId="5424127E"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1,003</w:t>
            </w:r>
          </w:p>
        </w:tc>
        <w:tc>
          <w:tcPr>
            <w:tcW w:w="478" w:type="pct"/>
            <w:tcBorders>
              <w:top w:val="nil"/>
              <w:left w:val="nil"/>
              <w:bottom w:val="nil"/>
              <w:right w:val="nil"/>
            </w:tcBorders>
            <w:shd w:val="clear" w:color="auto" w:fill="auto"/>
            <w:noWrap/>
            <w:vAlign w:val="bottom"/>
          </w:tcPr>
          <w:p w14:paraId="06E64218"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938</w:t>
            </w:r>
          </w:p>
        </w:tc>
        <w:tc>
          <w:tcPr>
            <w:tcW w:w="333" w:type="pct"/>
            <w:tcBorders>
              <w:top w:val="nil"/>
              <w:left w:val="nil"/>
              <w:bottom w:val="nil"/>
              <w:right w:val="nil"/>
            </w:tcBorders>
            <w:shd w:val="clear" w:color="auto" w:fill="auto"/>
            <w:noWrap/>
            <w:vAlign w:val="bottom"/>
          </w:tcPr>
          <w:p w14:paraId="4A824FC9"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1,265</w:t>
            </w:r>
          </w:p>
        </w:tc>
        <w:tc>
          <w:tcPr>
            <w:tcW w:w="294" w:type="pct"/>
            <w:tcBorders>
              <w:top w:val="nil"/>
              <w:left w:val="nil"/>
              <w:bottom w:val="nil"/>
              <w:right w:val="nil"/>
            </w:tcBorders>
            <w:shd w:val="clear" w:color="auto" w:fill="auto"/>
            <w:noWrap/>
            <w:vAlign w:val="bottom"/>
          </w:tcPr>
          <w:p w14:paraId="043BAD49"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996</w:t>
            </w:r>
          </w:p>
        </w:tc>
        <w:tc>
          <w:tcPr>
            <w:tcW w:w="322" w:type="pct"/>
            <w:tcBorders>
              <w:top w:val="nil"/>
              <w:left w:val="nil"/>
              <w:bottom w:val="nil"/>
              <w:right w:val="nil"/>
            </w:tcBorders>
            <w:shd w:val="clear" w:color="auto" w:fill="auto"/>
            <w:noWrap/>
            <w:vAlign w:val="bottom"/>
          </w:tcPr>
          <w:p w14:paraId="00738624"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697</w:t>
            </w:r>
          </w:p>
        </w:tc>
        <w:tc>
          <w:tcPr>
            <w:tcW w:w="353" w:type="pct"/>
            <w:tcBorders>
              <w:top w:val="nil"/>
              <w:left w:val="nil"/>
              <w:bottom w:val="nil"/>
              <w:right w:val="nil"/>
            </w:tcBorders>
            <w:shd w:val="clear" w:color="auto" w:fill="auto"/>
            <w:noWrap/>
            <w:vAlign w:val="bottom"/>
          </w:tcPr>
          <w:p w14:paraId="6AEDC487"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1,860</w:t>
            </w:r>
          </w:p>
        </w:tc>
        <w:tc>
          <w:tcPr>
            <w:tcW w:w="427" w:type="pct"/>
            <w:tcBorders>
              <w:top w:val="nil"/>
              <w:left w:val="nil"/>
              <w:bottom w:val="nil"/>
              <w:right w:val="nil"/>
            </w:tcBorders>
            <w:shd w:val="clear" w:color="auto" w:fill="auto"/>
            <w:noWrap/>
            <w:vAlign w:val="bottom"/>
          </w:tcPr>
          <w:p w14:paraId="3E996AC0"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694</w:t>
            </w:r>
          </w:p>
        </w:tc>
        <w:tc>
          <w:tcPr>
            <w:tcW w:w="438" w:type="pct"/>
            <w:tcBorders>
              <w:top w:val="nil"/>
              <w:left w:val="nil"/>
              <w:bottom w:val="nil"/>
              <w:right w:val="nil"/>
            </w:tcBorders>
            <w:shd w:val="clear" w:color="auto" w:fill="auto"/>
            <w:noWrap/>
            <w:vAlign w:val="bottom"/>
          </w:tcPr>
          <w:p w14:paraId="1EA128EF"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677</w:t>
            </w:r>
          </w:p>
        </w:tc>
        <w:tc>
          <w:tcPr>
            <w:tcW w:w="443" w:type="pct"/>
            <w:tcBorders>
              <w:top w:val="nil"/>
              <w:left w:val="nil"/>
              <w:bottom w:val="nil"/>
              <w:right w:val="nil"/>
            </w:tcBorders>
            <w:shd w:val="clear" w:color="auto" w:fill="auto"/>
            <w:noWrap/>
            <w:vAlign w:val="bottom"/>
          </w:tcPr>
          <w:p w14:paraId="27AC22DB"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850</w:t>
            </w:r>
          </w:p>
        </w:tc>
        <w:tc>
          <w:tcPr>
            <w:tcW w:w="381" w:type="pct"/>
            <w:tcBorders>
              <w:top w:val="nil"/>
              <w:left w:val="nil"/>
              <w:bottom w:val="nil"/>
              <w:right w:val="nil"/>
            </w:tcBorders>
            <w:shd w:val="clear" w:color="auto" w:fill="auto"/>
            <w:noWrap/>
            <w:vAlign w:val="bottom"/>
          </w:tcPr>
          <w:p w14:paraId="11C1F0B8"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817</w:t>
            </w:r>
          </w:p>
        </w:tc>
        <w:tc>
          <w:tcPr>
            <w:tcW w:w="380" w:type="pct"/>
            <w:tcBorders>
              <w:top w:val="nil"/>
              <w:left w:val="nil"/>
              <w:bottom w:val="nil"/>
              <w:right w:val="nil"/>
            </w:tcBorders>
            <w:shd w:val="clear" w:color="auto" w:fill="auto"/>
            <w:noWrap/>
            <w:vAlign w:val="bottom"/>
          </w:tcPr>
          <w:p w14:paraId="583C8F6B"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9,797</w:t>
            </w:r>
          </w:p>
        </w:tc>
      </w:tr>
      <w:tr w:rsidR="00396077" w:rsidRPr="00555A65" w14:paraId="5294ED1C" w14:textId="77777777" w:rsidTr="00396077">
        <w:trPr>
          <w:trHeight w:val="227"/>
        </w:trPr>
        <w:tc>
          <w:tcPr>
            <w:tcW w:w="650" w:type="pct"/>
            <w:tcBorders>
              <w:top w:val="nil"/>
              <w:left w:val="nil"/>
              <w:bottom w:val="nil"/>
              <w:right w:val="nil"/>
            </w:tcBorders>
            <w:shd w:val="clear" w:color="auto" w:fill="auto"/>
            <w:noWrap/>
            <w:vAlign w:val="bottom"/>
            <w:hideMark/>
          </w:tcPr>
          <w:p w14:paraId="6FFA8EA0" w14:textId="77777777" w:rsidR="00105D8A" w:rsidRPr="00555A65" w:rsidRDefault="00105D8A" w:rsidP="00A057F0">
            <w:pPr>
              <w:spacing w:after="0" w:line="240" w:lineRule="auto"/>
              <w:contextualSpacing/>
              <w:rPr>
                <w:rFonts w:cs="Calibri"/>
                <w:sz w:val="17"/>
                <w:szCs w:val="17"/>
                <w:lang w:eastAsia="en-AU"/>
              </w:rPr>
            </w:pPr>
          </w:p>
        </w:tc>
        <w:tc>
          <w:tcPr>
            <w:tcW w:w="501" w:type="pct"/>
            <w:tcBorders>
              <w:top w:val="nil"/>
              <w:left w:val="nil"/>
              <w:bottom w:val="nil"/>
              <w:right w:val="nil"/>
            </w:tcBorders>
            <w:shd w:val="clear" w:color="auto" w:fill="auto"/>
            <w:noWrap/>
            <w:vAlign w:val="bottom"/>
            <w:hideMark/>
          </w:tcPr>
          <w:p w14:paraId="7A3E8F20" w14:textId="77777777" w:rsidR="00105D8A" w:rsidRPr="00555A65" w:rsidRDefault="00105D8A" w:rsidP="00A057F0">
            <w:pPr>
              <w:spacing w:after="0" w:line="240" w:lineRule="auto"/>
              <w:contextualSpacing/>
              <w:rPr>
                <w:rFonts w:cs="Calibri"/>
                <w:sz w:val="17"/>
                <w:szCs w:val="17"/>
                <w:lang w:eastAsia="en-AU"/>
              </w:rPr>
            </w:pPr>
          </w:p>
        </w:tc>
        <w:tc>
          <w:tcPr>
            <w:tcW w:w="478" w:type="pct"/>
            <w:tcBorders>
              <w:top w:val="nil"/>
              <w:left w:val="nil"/>
              <w:bottom w:val="nil"/>
              <w:right w:val="nil"/>
            </w:tcBorders>
            <w:shd w:val="clear" w:color="auto" w:fill="auto"/>
            <w:noWrap/>
            <w:vAlign w:val="bottom"/>
            <w:hideMark/>
          </w:tcPr>
          <w:p w14:paraId="4D05BA55" w14:textId="77777777" w:rsidR="00105D8A" w:rsidRPr="00555A65" w:rsidRDefault="00105D8A" w:rsidP="00A057F0">
            <w:pPr>
              <w:spacing w:after="0" w:line="240" w:lineRule="auto"/>
              <w:contextualSpacing/>
              <w:rPr>
                <w:rFonts w:cs="Calibri"/>
                <w:sz w:val="17"/>
                <w:szCs w:val="17"/>
                <w:lang w:eastAsia="en-AU"/>
              </w:rPr>
            </w:pPr>
          </w:p>
        </w:tc>
        <w:tc>
          <w:tcPr>
            <w:tcW w:w="333" w:type="pct"/>
            <w:tcBorders>
              <w:top w:val="nil"/>
              <w:left w:val="nil"/>
              <w:bottom w:val="nil"/>
              <w:right w:val="nil"/>
            </w:tcBorders>
            <w:shd w:val="clear" w:color="auto" w:fill="auto"/>
            <w:noWrap/>
            <w:vAlign w:val="bottom"/>
            <w:hideMark/>
          </w:tcPr>
          <w:p w14:paraId="6FCA2485" w14:textId="77777777" w:rsidR="00105D8A" w:rsidRPr="00555A65" w:rsidRDefault="00105D8A" w:rsidP="00A057F0">
            <w:pPr>
              <w:spacing w:after="0" w:line="240" w:lineRule="auto"/>
              <w:contextualSpacing/>
              <w:rPr>
                <w:rFonts w:cs="Calibri"/>
                <w:sz w:val="17"/>
                <w:szCs w:val="17"/>
                <w:lang w:eastAsia="en-AU"/>
              </w:rPr>
            </w:pPr>
          </w:p>
        </w:tc>
        <w:tc>
          <w:tcPr>
            <w:tcW w:w="294" w:type="pct"/>
            <w:tcBorders>
              <w:top w:val="nil"/>
              <w:left w:val="nil"/>
              <w:bottom w:val="nil"/>
              <w:right w:val="nil"/>
            </w:tcBorders>
            <w:shd w:val="clear" w:color="auto" w:fill="auto"/>
            <w:noWrap/>
            <w:vAlign w:val="bottom"/>
            <w:hideMark/>
          </w:tcPr>
          <w:p w14:paraId="38E7F3C2" w14:textId="77777777" w:rsidR="00105D8A" w:rsidRPr="00555A65" w:rsidRDefault="00105D8A" w:rsidP="00A057F0">
            <w:pPr>
              <w:spacing w:after="0" w:line="240" w:lineRule="auto"/>
              <w:contextualSpacing/>
              <w:rPr>
                <w:rFonts w:cs="Calibri"/>
                <w:sz w:val="17"/>
                <w:szCs w:val="17"/>
                <w:lang w:eastAsia="en-AU"/>
              </w:rPr>
            </w:pPr>
          </w:p>
        </w:tc>
        <w:tc>
          <w:tcPr>
            <w:tcW w:w="322" w:type="pct"/>
            <w:tcBorders>
              <w:top w:val="nil"/>
              <w:left w:val="nil"/>
              <w:bottom w:val="nil"/>
              <w:right w:val="nil"/>
            </w:tcBorders>
            <w:shd w:val="clear" w:color="auto" w:fill="auto"/>
            <w:noWrap/>
            <w:vAlign w:val="bottom"/>
            <w:hideMark/>
          </w:tcPr>
          <w:p w14:paraId="357F339E" w14:textId="77777777" w:rsidR="00105D8A" w:rsidRPr="00555A65" w:rsidRDefault="00105D8A" w:rsidP="00A057F0">
            <w:pPr>
              <w:spacing w:after="0" w:line="240" w:lineRule="auto"/>
              <w:contextualSpacing/>
              <w:rPr>
                <w:rFonts w:cs="Calibri"/>
                <w:sz w:val="17"/>
                <w:szCs w:val="17"/>
                <w:lang w:eastAsia="en-AU"/>
              </w:rPr>
            </w:pPr>
          </w:p>
        </w:tc>
        <w:tc>
          <w:tcPr>
            <w:tcW w:w="353" w:type="pct"/>
            <w:tcBorders>
              <w:top w:val="nil"/>
              <w:left w:val="nil"/>
              <w:bottom w:val="nil"/>
              <w:right w:val="nil"/>
            </w:tcBorders>
            <w:shd w:val="clear" w:color="auto" w:fill="auto"/>
            <w:noWrap/>
            <w:vAlign w:val="bottom"/>
            <w:hideMark/>
          </w:tcPr>
          <w:p w14:paraId="6BEBFB94" w14:textId="77777777" w:rsidR="00105D8A" w:rsidRPr="00555A65" w:rsidRDefault="00105D8A" w:rsidP="00A057F0">
            <w:pPr>
              <w:spacing w:after="0" w:line="240" w:lineRule="auto"/>
              <w:contextualSpacing/>
              <w:rPr>
                <w:rFonts w:cs="Calibri"/>
                <w:sz w:val="17"/>
                <w:szCs w:val="17"/>
                <w:lang w:eastAsia="en-AU"/>
              </w:rPr>
            </w:pPr>
          </w:p>
        </w:tc>
        <w:tc>
          <w:tcPr>
            <w:tcW w:w="427" w:type="pct"/>
            <w:tcBorders>
              <w:top w:val="nil"/>
              <w:left w:val="nil"/>
              <w:bottom w:val="nil"/>
              <w:right w:val="nil"/>
            </w:tcBorders>
            <w:shd w:val="clear" w:color="auto" w:fill="auto"/>
            <w:noWrap/>
            <w:vAlign w:val="bottom"/>
            <w:hideMark/>
          </w:tcPr>
          <w:p w14:paraId="571F4C08" w14:textId="77777777" w:rsidR="00105D8A" w:rsidRPr="00555A65" w:rsidRDefault="00105D8A" w:rsidP="00A057F0">
            <w:pPr>
              <w:spacing w:after="0" w:line="240" w:lineRule="auto"/>
              <w:contextualSpacing/>
              <w:rPr>
                <w:rFonts w:cs="Calibri"/>
                <w:sz w:val="17"/>
                <w:szCs w:val="17"/>
                <w:lang w:eastAsia="en-AU"/>
              </w:rPr>
            </w:pPr>
          </w:p>
        </w:tc>
        <w:tc>
          <w:tcPr>
            <w:tcW w:w="438" w:type="pct"/>
            <w:tcBorders>
              <w:top w:val="nil"/>
              <w:left w:val="nil"/>
              <w:bottom w:val="nil"/>
              <w:right w:val="nil"/>
            </w:tcBorders>
            <w:shd w:val="clear" w:color="auto" w:fill="auto"/>
            <w:noWrap/>
            <w:vAlign w:val="bottom"/>
            <w:hideMark/>
          </w:tcPr>
          <w:p w14:paraId="66B4C511" w14:textId="77777777" w:rsidR="00105D8A" w:rsidRPr="00555A65" w:rsidRDefault="00105D8A" w:rsidP="00A057F0">
            <w:pPr>
              <w:spacing w:after="0" w:line="240" w:lineRule="auto"/>
              <w:contextualSpacing/>
              <w:rPr>
                <w:rFonts w:cs="Calibri"/>
                <w:sz w:val="17"/>
                <w:szCs w:val="17"/>
                <w:lang w:eastAsia="en-AU"/>
              </w:rPr>
            </w:pPr>
          </w:p>
        </w:tc>
        <w:tc>
          <w:tcPr>
            <w:tcW w:w="443" w:type="pct"/>
            <w:tcBorders>
              <w:top w:val="nil"/>
              <w:left w:val="nil"/>
              <w:bottom w:val="nil"/>
              <w:right w:val="nil"/>
            </w:tcBorders>
            <w:shd w:val="clear" w:color="auto" w:fill="auto"/>
            <w:noWrap/>
            <w:vAlign w:val="bottom"/>
            <w:hideMark/>
          </w:tcPr>
          <w:p w14:paraId="3FF9082C" w14:textId="77777777" w:rsidR="00105D8A" w:rsidRPr="00555A65" w:rsidRDefault="00105D8A" w:rsidP="00A057F0">
            <w:pPr>
              <w:spacing w:after="0" w:line="240" w:lineRule="auto"/>
              <w:contextualSpacing/>
              <w:rPr>
                <w:rFonts w:cs="Calibri"/>
                <w:sz w:val="17"/>
                <w:szCs w:val="17"/>
                <w:lang w:eastAsia="en-AU"/>
              </w:rPr>
            </w:pPr>
          </w:p>
        </w:tc>
        <w:tc>
          <w:tcPr>
            <w:tcW w:w="381" w:type="pct"/>
            <w:tcBorders>
              <w:top w:val="nil"/>
              <w:left w:val="nil"/>
              <w:bottom w:val="nil"/>
              <w:right w:val="nil"/>
            </w:tcBorders>
            <w:shd w:val="clear" w:color="auto" w:fill="auto"/>
            <w:noWrap/>
            <w:vAlign w:val="bottom"/>
            <w:hideMark/>
          </w:tcPr>
          <w:p w14:paraId="4FBB6882" w14:textId="77777777" w:rsidR="00105D8A" w:rsidRPr="00555A65" w:rsidRDefault="00105D8A" w:rsidP="00A057F0">
            <w:pPr>
              <w:spacing w:after="0" w:line="240" w:lineRule="auto"/>
              <w:contextualSpacing/>
              <w:rPr>
                <w:rFonts w:cs="Calibri"/>
                <w:sz w:val="17"/>
                <w:szCs w:val="17"/>
                <w:lang w:eastAsia="en-AU"/>
              </w:rPr>
            </w:pPr>
          </w:p>
        </w:tc>
        <w:tc>
          <w:tcPr>
            <w:tcW w:w="380" w:type="pct"/>
            <w:tcBorders>
              <w:top w:val="nil"/>
              <w:left w:val="nil"/>
              <w:bottom w:val="nil"/>
              <w:right w:val="nil"/>
            </w:tcBorders>
            <w:shd w:val="clear" w:color="auto" w:fill="auto"/>
            <w:noWrap/>
            <w:vAlign w:val="bottom"/>
            <w:hideMark/>
          </w:tcPr>
          <w:p w14:paraId="63A52BF9" w14:textId="77777777" w:rsidR="00105D8A" w:rsidRPr="00555A65" w:rsidRDefault="00105D8A" w:rsidP="00A057F0">
            <w:pPr>
              <w:spacing w:after="0" w:line="240" w:lineRule="auto"/>
              <w:contextualSpacing/>
              <w:rPr>
                <w:rFonts w:cs="Calibri"/>
                <w:b/>
                <w:bCs/>
                <w:sz w:val="17"/>
                <w:szCs w:val="17"/>
                <w:lang w:eastAsia="en-AU"/>
              </w:rPr>
            </w:pPr>
          </w:p>
        </w:tc>
      </w:tr>
      <w:tr w:rsidR="00396077" w:rsidRPr="00555A65" w14:paraId="5B967794" w14:textId="77777777" w:rsidTr="00396077">
        <w:trPr>
          <w:trHeight w:val="227"/>
        </w:trPr>
        <w:tc>
          <w:tcPr>
            <w:tcW w:w="650" w:type="pct"/>
            <w:tcBorders>
              <w:top w:val="nil"/>
              <w:left w:val="nil"/>
              <w:bottom w:val="nil"/>
              <w:right w:val="nil"/>
            </w:tcBorders>
            <w:shd w:val="clear" w:color="auto" w:fill="auto"/>
            <w:noWrap/>
            <w:vAlign w:val="bottom"/>
            <w:hideMark/>
          </w:tcPr>
          <w:p w14:paraId="36593C77" w14:textId="77777777" w:rsidR="00105D8A" w:rsidRPr="00555A65" w:rsidRDefault="00105D8A" w:rsidP="00A057F0">
            <w:pPr>
              <w:spacing w:after="0" w:line="240" w:lineRule="auto"/>
              <w:contextualSpacing/>
              <w:rPr>
                <w:rFonts w:cs="Calibri"/>
                <w:sz w:val="17"/>
                <w:szCs w:val="17"/>
                <w:u w:val="single"/>
                <w:lang w:eastAsia="en-AU"/>
              </w:rPr>
            </w:pPr>
            <w:r w:rsidRPr="00555A65">
              <w:rPr>
                <w:rFonts w:cs="Calibri"/>
                <w:sz w:val="17"/>
                <w:szCs w:val="17"/>
                <w:u w:val="single"/>
                <w:lang w:eastAsia="en-AU"/>
              </w:rPr>
              <w:t>2016</w:t>
            </w:r>
          </w:p>
        </w:tc>
        <w:tc>
          <w:tcPr>
            <w:tcW w:w="501" w:type="pct"/>
            <w:tcBorders>
              <w:top w:val="nil"/>
              <w:left w:val="nil"/>
              <w:bottom w:val="nil"/>
              <w:right w:val="nil"/>
            </w:tcBorders>
            <w:shd w:val="clear" w:color="auto" w:fill="auto"/>
            <w:noWrap/>
            <w:vAlign w:val="bottom"/>
            <w:hideMark/>
          </w:tcPr>
          <w:p w14:paraId="18716D49" w14:textId="77777777" w:rsidR="00105D8A" w:rsidRPr="00555A65" w:rsidRDefault="00105D8A" w:rsidP="00A057F0">
            <w:pPr>
              <w:spacing w:after="0" w:line="240" w:lineRule="auto"/>
              <w:contextualSpacing/>
              <w:rPr>
                <w:rFonts w:cs="Calibri"/>
                <w:sz w:val="17"/>
                <w:szCs w:val="17"/>
                <w:lang w:eastAsia="en-AU"/>
              </w:rPr>
            </w:pPr>
          </w:p>
        </w:tc>
        <w:tc>
          <w:tcPr>
            <w:tcW w:w="478" w:type="pct"/>
            <w:tcBorders>
              <w:top w:val="nil"/>
              <w:left w:val="nil"/>
              <w:bottom w:val="nil"/>
              <w:right w:val="nil"/>
            </w:tcBorders>
            <w:shd w:val="clear" w:color="auto" w:fill="auto"/>
            <w:noWrap/>
            <w:vAlign w:val="bottom"/>
            <w:hideMark/>
          </w:tcPr>
          <w:p w14:paraId="527A4B02" w14:textId="77777777" w:rsidR="00105D8A" w:rsidRPr="00555A65" w:rsidRDefault="00105D8A" w:rsidP="00A057F0">
            <w:pPr>
              <w:spacing w:after="0" w:line="240" w:lineRule="auto"/>
              <w:contextualSpacing/>
              <w:rPr>
                <w:rFonts w:cs="Calibri"/>
                <w:sz w:val="17"/>
                <w:szCs w:val="17"/>
                <w:lang w:eastAsia="en-AU"/>
              </w:rPr>
            </w:pPr>
          </w:p>
        </w:tc>
        <w:tc>
          <w:tcPr>
            <w:tcW w:w="333" w:type="pct"/>
            <w:tcBorders>
              <w:top w:val="nil"/>
              <w:left w:val="nil"/>
              <w:bottom w:val="nil"/>
              <w:right w:val="nil"/>
            </w:tcBorders>
            <w:shd w:val="clear" w:color="auto" w:fill="auto"/>
            <w:noWrap/>
            <w:vAlign w:val="bottom"/>
            <w:hideMark/>
          </w:tcPr>
          <w:p w14:paraId="389C5C20" w14:textId="77777777" w:rsidR="00105D8A" w:rsidRPr="00555A65" w:rsidRDefault="00105D8A" w:rsidP="00A057F0">
            <w:pPr>
              <w:spacing w:after="0" w:line="240" w:lineRule="auto"/>
              <w:contextualSpacing/>
              <w:rPr>
                <w:rFonts w:cs="Calibri"/>
                <w:sz w:val="17"/>
                <w:szCs w:val="17"/>
                <w:lang w:eastAsia="en-AU"/>
              </w:rPr>
            </w:pPr>
          </w:p>
        </w:tc>
        <w:tc>
          <w:tcPr>
            <w:tcW w:w="294" w:type="pct"/>
            <w:tcBorders>
              <w:top w:val="nil"/>
              <w:left w:val="nil"/>
              <w:bottom w:val="nil"/>
              <w:right w:val="nil"/>
            </w:tcBorders>
            <w:shd w:val="clear" w:color="auto" w:fill="auto"/>
            <w:noWrap/>
            <w:vAlign w:val="bottom"/>
            <w:hideMark/>
          </w:tcPr>
          <w:p w14:paraId="61870DA4" w14:textId="77777777" w:rsidR="00105D8A" w:rsidRPr="00555A65" w:rsidRDefault="00105D8A" w:rsidP="00A057F0">
            <w:pPr>
              <w:spacing w:after="0" w:line="240" w:lineRule="auto"/>
              <w:contextualSpacing/>
              <w:rPr>
                <w:rFonts w:cs="Calibri"/>
                <w:sz w:val="17"/>
                <w:szCs w:val="17"/>
                <w:lang w:eastAsia="en-AU"/>
              </w:rPr>
            </w:pPr>
          </w:p>
        </w:tc>
        <w:tc>
          <w:tcPr>
            <w:tcW w:w="322" w:type="pct"/>
            <w:tcBorders>
              <w:top w:val="nil"/>
              <w:left w:val="nil"/>
              <w:bottom w:val="nil"/>
              <w:right w:val="nil"/>
            </w:tcBorders>
            <w:shd w:val="clear" w:color="auto" w:fill="auto"/>
            <w:noWrap/>
            <w:vAlign w:val="bottom"/>
            <w:hideMark/>
          </w:tcPr>
          <w:p w14:paraId="15233A80" w14:textId="77777777" w:rsidR="00105D8A" w:rsidRPr="00555A65" w:rsidRDefault="00105D8A" w:rsidP="00A057F0">
            <w:pPr>
              <w:spacing w:after="0" w:line="240" w:lineRule="auto"/>
              <w:contextualSpacing/>
              <w:rPr>
                <w:rFonts w:cs="Calibri"/>
                <w:sz w:val="17"/>
                <w:szCs w:val="17"/>
                <w:lang w:eastAsia="en-AU"/>
              </w:rPr>
            </w:pPr>
          </w:p>
        </w:tc>
        <w:tc>
          <w:tcPr>
            <w:tcW w:w="353" w:type="pct"/>
            <w:tcBorders>
              <w:top w:val="nil"/>
              <w:left w:val="nil"/>
              <w:bottom w:val="nil"/>
              <w:right w:val="nil"/>
            </w:tcBorders>
            <w:shd w:val="clear" w:color="auto" w:fill="auto"/>
            <w:noWrap/>
            <w:vAlign w:val="bottom"/>
            <w:hideMark/>
          </w:tcPr>
          <w:p w14:paraId="038805E3" w14:textId="77777777" w:rsidR="00105D8A" w:rsidRPr="00555A65" w:rsidRDefault="00105D8A" w:rsidP="00A057F0">
            <w:pPr>
              <w:spacing w:after="0" w:line="240" w:lineRule="auto"/>
              <w:contextualSpacing/>
              <w:rPr>
                <w:rFonts w:cs="Calibri"/>
                <w:sz w:val="17"/>
                <w:szCs w:val="17"/>
                <w:lang w:eastAsia="en-AU"/>
              </w:rPr>
            </w:pPr>
          </w:p>
        </w:tc>
        <w:tc>
          <w:tcPr>
            <w:tcW w:w="427" w:type="pct"/>
            <w:tcBorders>
              <w:top w:val="nil"/>
              <w:left w:val="nil"/>
              <w:bottom w:val="nil"/>
              <w:right w:val="nil"/>
            </w:tcBorders>
            <w:shd w:val="clear" w:color="auto" w:fill="auto"/>
            <w:noWrap/>
            <w:vAlign w:val="bottom"/>
            <w:hideMark/>
          </w:tcPr>
          <w:p w14:paraId="14569096" w14:textId="77777777" w:rsidR="00105D8A" w:rsidRPr="00555A65" w:rsidRDefault="00105D8A" w:rsidP="00A057F0">
            <w:pPr>
              <w:spacing w:after="0" w:line="240" w:lineRule="auto"/>
              <w:contextualSpacing/>
              <w:rPr>
                <w:rFonts w:cs="Calibri"/>
                <w:sz w:val="17"/>
                <w:szCs w:val="17"/>
                <w:lang w:eastAsia="en-AU"/>
              </w:rPr>
            </w:pPr>
          </w:p>
        </w:tc>
        <w:tc>
          <w:tcPr>
            <w:tcW w:w="438" w:type="pct"/>
            <w:tcBorders>
              <w:top w:val="nil"/>
              <w:left w:val="nil"/>
              <w:bottom w:val="nil"/>
              <w:right w:val="nil"/>
            </w:tcBorders>
            <w:shd w:val="clear" w:color="auto" w:fill="auto"/>
            <w:noWrap/>
            <w:vAlign w:val="bottom"/>
            <w:hideMark/>
          </w:tcPr>
          <w:p w14:paraId="57F58A08" w14:textId="77777777" w:rsidR="00105D8A" w:rsidRPr="00555A65" w:rsidRDefault="00105D8A" w:rsidP="00A057F0">
            <w:pPr>
              <w:spacing w:after="0" w:line="240" w:lineRule="auto"/>
              <w:contextualSpacing/>
              <w:rPr>
                <w:rFonts w:cs="Calibri"/>
                <w:sz w:val="17"/>
                <w:szCs w:val="17"/>
                <w:lang w:eastAsia="en-AU"/>
              </w:rPr>
            </w:pPr>
          </w:p>
        </w:tc>
        <w:tc>
          <w:tcPr>
            <w:tcW w:w="443" w:type="pct"/>
            <w:tcBorders>
              <w:top w:val="nil"/>
              <w:left w:val="nil"/>
              <w:bottom w:val="nil"/>
              <w:right w:val="nil"/>
            </w:tcBorders>
            <w:shd w:val="clear" w:color="auto" w:fill="auto"/>
            <w:noWrap/>
            <w:vAlign w:val="bottom"/>
            <w:hideMark/>
          </w:tcPr>
          <w:p w14:paraId="01BD2FF3" w14:textId="77777777" w:rsidR="00105D8A" w:rsidRPr="00555A65" w:rsidRDefault="00105D8A" w:rsidP="00A057F0">
            <w:pPr>
              <w:spacing w:after="0" w:line="240" w:lineRule="auto"/>
              <w:contextualSpacing/>
              <w:rPr>
                <w:rFonts w:cs="Calibri"/>
                <w:sz w:val="17"/>
                <w:szCs w:val="17"/>
                <w:lang w:eastAsia="en-AU"/>
              </w:rPr>
            </w:pPr>
          </w:p>
        </w:tc>
        <w:tc>
          <w:tcPr>
            <w:tcW w:w="381" w:type="pct"/>
            <w:tcBorders>
              <w:top w:val="nil"/>
              <w:left w:val="nil"/>
              <w:bottom w:val="nil"/>
              <w:right w:val="nil"/>
            </w:tcBorders>
            <w:shd w:val="clear" w:color="auto" w:fill="auto"/>
            <w:noWrap/>
            <w:vAlign w:val="bottom"/>
            <w:hideMark/>
          </w:tcPr>
          <w:p w14:paraId="51E524FD" w14:textId="77777777" w:rsidR="00105D8A" w:rsidRPr="00555A65" w:rsidRDefault="00105D8A" w:rsidP="00A057F0">
            <w:pPr>
              <w:spacing w:after="0" w:line="240" w:lineRule="auto"/>
              <w:contextualSpacing/>
              <w:rPr>
                <w:rFonts w:cs="Calibri"/>
                <w:sz w:val="17"/>
                <w:szCs w:val="17"/>
                <w:lang w:eastAsia="en-AU"/>
              </w:rPr>
            </w:pPr>
          </w:p>
        </w:tc>
        <w:tc>
          <w:tcPr>
            <w:tcW w:w="380" w:type="pct"/>
            <w:tcBorders>
              <w:top w:val="nil"/>
              <w:left w:val="nil"/>
              <w:bottom w:val="nil"/>
              <w:right w:val="nil"/>
            </w:tcBorders>
            <w:shd w:val="clear" w:color="auto" w:fill="auto"/>
            <w:noWrap/>
            <w:vAlign w:val="bottom"/>
            <w:hideMark/>
          </w:tcPr>
          <w:p w14:paraId="5EC8E217" w14:textId="77777777" w:rsidR="00105D8A" w:rsidRPr="00555A65" w:rsidRDefault="00105D8A" w:rsidP="00A057F0">
            <w:pPr>
              <w:spacing w:after="0" w:line="240" w:lineRule="auto"/>
              <w:contextualSpacing/>
              <w:rPr>
                <w:rFonts w:cs="Calibri"/>
                <w:b/>
                <w:bCs/>
                <w:sz w:val="17"/>
                <w:szCs w:val="17"/>
                <w:lang w:eastAsia="en-AU"/>
              </w:rPr>
            </w:pPr>
          </w:p>
        </w:tc>
      </w:tr>
      <w:tr w:rsidR="00396077" w:rsidRPr="00555A65" w14:paraId="0BCF7215" w14:textId="77777777" w:rsidTr="00396077">
        <w:trPr>
          <w:trHeight w:val="227"/>
        </w:trPr>
        <w:tc>
          <w:tcPr>
            <w:tcW w:w="650" w:type="pct"/>
            <w:tcBorders>
              <w:top w:val="nil"/>
              <w:left w:val="nil"/>
              <w:bottom w:val="nil"/>
              <w:right w:val="nil"/>
            </w:tcBorders>
            <w:shd w:val="clear" w:color="auto" w:fill="auto"/>
            <w:noWrap/>
            <w:vAlign w:val="bottom"/>
            <w:hideMark/>
          </w:tcPr>
          <w:p w14:paraId="36763FD5"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Golden perch</w:t>
            </w:r>
          </w:p>
        </w:tc>
        <w:tc>
          <w:tcPr>
            <w:tcW w:w="501" w:type="pct"/>
            <w:tcBorders>
              <w:top w:val="nil"/>
              <w:left w:val="nil"/>
              <w:bottom w:val="nil"/>
              <w:right w:val="nil"/>
            </w:tcBorders>
            <w:shd w:val="clear" w:color="auto" w:fill="auto"/>
            <w:noWrap/>
            <w:hideMark/>
          </w:tcPr>
          <w:p w14:paraId="717BAAC3" w14:textId="268759C6"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21</w:t>
            </w:r>
          </w:p>
        </w:tc>
        <w:tc>
          <w:tcPr>
            <w:tcW w:w="478" w:type="pct"/>
            <w:tcBorders>
              <w:top w:val="nil"/>
              <w:left w:val="nil"/>
              <w:bottom w:val="nil"/>
              <w:right w:val="nil"/>
            </w:tcBorders>
            <w:shd w:val="clear" w:color="auto" w:fill="auto"/>
            <w:noWrap/>
            <w:hideMark/>
          </w:tcPr>
          <w:p w14:paraId="3052F99F" w14:textId="318BC09F"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14</w:t>
            </w:r>
          </w:p>
        </w:tc>
        <w:tc>
          <w:tcPr>
            <w:tcW w:w="333" w:type="pct"/>
            <w:tcBorders>
              <w:top w:val="nil"/>
              <w:left w:val="nil"/>
              <w:bottom w:val="nil"/>
              <w:right w:val="nil"/>
            </w:tcBorders>
            <w:shd w:val="clear" w:color="auto" w:fill="auto"/>
            <w:noWrap/>
            <w:hideMark/>
          </w:tcPr>
          <w:p w14:paraId="7A3F091F" w14:textId="5969565F"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8</w:t>
            </w:r>
          </w:p>
        </w:tc>
        <w:tc>
          <w:tcPr>
            <w:tcW w:w="294" w:type="pct"/>
            <w:tcBorders>
              <w:top w:val="nil"/>
              <w:left w:val="nil"/>
              <w:bottom w:val="nil"/>
              <w:right w:val="nil"/>
            </w:tcBorders>
            <w:shd w:val="clear" w:color="auto" w:fill="auto"/>
            <w:noWrap/>
            <w:hideMark/>
          </w:tcPr>
          <w:p w14:paraId="5F4DEB96" w14:textId="392366B5"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18</w:t>
            </w:r>
          </w:p>
        </w:tc>
        <w:tc>
          <w:tcPr>
            <w:tcW w:w="322" w:type="pct"/>
            <w:tcBorders>
              <w:top w:val="nil"/>
              <w:left w:val="nil"/>
              <w:bottom w:val="nil"/>
              <w:right w:val="nil"/>
            </w:tcBorders>
            <w:shd w:val="clear" w:color="auto" w:fill="auto"/>
            <w:noWrap/>
            <w:hideMark/>
          </w:tcPr>
          <w:p w14:paraId="4B53C71D" w14:textId="1E2812AF"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21</w:t>
            </w:r>
          </w:p>
        </w:tc>
        <w:tc>
          <w:tcPr>
            <w:tcW w:w="353" w:type="pct"/>
            <w:tcBorders>
              <w:top w:val="nil"/>
              <w:left w:val="nil"/>
              <w:bottom w:val="nil"/>
              <w:right w:val="nil"/>
            </w:tcBorders>
            <w:shd w:val="clear" w:color="auto" w:fill="auto"/>
            <w:noWrap/>
            <w:hideMark/>
          </w:tcPr>
          <w:p w14:paraId="680A7368" w14:textId="026190C1"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19</w:t>
            </w:r>
          </w:p>
        </w:tc>
        <w:tc>
          <w:tcPr>
            <w:tcW w:w="427" w:type="pct"/>
            <w:tcBorders>
              <w:top w:val="nil"/>
              <w:left w:val="nil"/>
              <w:bottom w:val="nil"/>
              <w:right w:val="nil"/>
            </w:tcBorders>
            <w:shd w:val="clear" w:color="auto" w:fill="auto"/>
            <w:noWrap/>
            <w:hideMark/>
          </w:tcPr>
          <w:p w14:paraId="73FA4EBF" w14:textId="73FAF308"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14</w:t>
            </w:r>
          </w:p>
        </w:tc>
        <w:tc>
          <w:tcPr>
            <w:tcW w:w="438" w:type="pct"/>
            <w:tcBorders>
              <w:top w:val="nil"/>
              <w:left w:val="nil"/>
              <w:bottom w:val="nil"/>
              <w:right w:val="nil"/>
            </w:tcBorders>
            <w:shd w:val="clear" w:color="auto" w:fill="auto"/>
            <w:noWrap/>
            <w:hideMark/>
          </w:tcPr>
          <w:p w14:paraId="64ABD9CA" w14:textId="7D4A7F94"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27</w:t>
            </w:r>
          </w:p>
        </w:tc>
        <w:tc>
          <w:tcPr>
            <w:tcW w:w="443" w:type="pct"/>
            <w:tcBorders>
              <w:top w:val="nil"/>
              <w:left w:val="nil"/>
              <w:bottom w:val="nil"/>
              <w:right w:val="nil"/>
            </w:tcBorders>
            <w:shd w:val="clear" w:color="auto" w:fill="auto"/>
            <w:noWrap/>
            <w:hideMark/>
          </w:tcPr>
          <w:p w14:paraId="2FCF0382" w14:textId="2E0D437B"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14</w:t>
            </w:r>
          </w:p>
        </w:tc>
        <w:tc>
          <w:tcPr>
            <w:tcW w:w="381" w:type="pct"/>
            <w:tcBorders>
              <w:top w:val="nil"/>
              <w:left w:val="nil"/>
              <w:bottom w:val="nil"/>
              <w:right w:val="nil"/>
            </w:tcBorders>
            <w:shd w:val="clear" w:color="auto" w:fill="auto"/>
            <w:noWrap/>
            <w:hideMark/>
          </w:tcPr>
          <w:p w14:paraId="33C665FF" w14:textId="4DE2A31E"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17</w:t>
            </w:r>
          </w:p>
        </w:tc>
        <w:tc>
          <w:tcPr>
            <w:tcW w:w="380" w:type="pct"/>
            <w:tcBorders>
              <w:top w:val="nil"/>
              <w:left w:val="nil"/>
              <w:bottom w:val="nil"/>
              <w:right w:val="nil"/>
            </w:tcBorders>
            <w:shd w:val="clear" w:color="auto" w:fill="auto"/>
            <w:noWrap/>
            <w:vAlign w:val="bottom"/>
            <w:hideMark/>
          </w:tcPr>
          <w:p w14:paraId="5D43C452" w14:textId="77777777" w:rsidR="00105D8A" w:rsidRPr="00555A65" w:rsidRDefault="00105D8A" w:rsidP="00A057F0">
            <w:pPr>
              <w:spacing w:after="0" w:line="240" w:lineRule="auto"/>
              <w:contextualSpacing/>
              <w:jc w:val="right"/>
              <w:rPr>
                <w:rFonts w:cs="Calibri"/>
                <w:b/>
                <w:bCs/>
                <w:sz w:val="17"/>
                <w:szCs w:val="17"/>
                <w:lang w:eastAsia="en-AU"/>
              </w:rPr>
            </w:pPr>
            <w:r w:rsidRPr="00555A65">
              <w:rPr>
                <w:b/>
                <w:sz w:val="17"/>
                <w:szCs w:val="17"/>
              </w:rPr>
              <w:t>173</w:t>
            </w:r>
          </w:p>
        </w:tc>
      </w:tr>
      <w:tr w:rsidR="00396077" w:rsidRPr="00555A65" w14:paraId="7714FEE9" w14:textId="77777777" w:rsidTr="00396077">
        <w:trPr>
          <w:trHeight w:val="227"/>
        </w:trPr>
        <w:tc>
          <w:tcPr>
            <w:tcW w:w="650" w:type="pct"/>
            <w:tcBorders>
              <w:top w:val="nil"/>
              <w:left w:val="nil"/>
              <w:bottom w:val="nil"/>
              <w:right w:val="nil"/>
            </w:tcBorders>
            <w:shd w:val="clear" w:color="auto" w:fill="auto"/>
            <w:noWrap/>
            <w:vAlign w:val="bottom"/>
            <w:hideMark/>
          </w:tcPr>
          <w:p w14:paraId="30583F82"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Silver perch</w:t>
            </w:r>
          </w:p>
        </w:tc>
        <w:tc>
          <w:tcPr>
            <w:tcW w:w="501" w:type="pct"/>
            <w:tcBorders>
              <w:top w:val="nil"/>
              <w:left w:val="nil"/>
              <w:bottom w:val="nil"/>
              <w:right w:val="nil"/>
            </w:tcBorders>
            <w:shd w:val="clear" w:color="auto" w:fill="auto"/>
            <w:noWrap/>
            <w:hideMark/>
          </w:tcPr>
          <w:p w14:paraId="44893AB0" w14:textId="77777777" w:rsidR="00105D8A" w:rsidRPr="00555A65" w:rsidRDefault="00105D8A" w:rsidP="00A057F0">
            <w:pPr>
              <w:spacing w:after="0" w:line="240" w:lineRule="auto"/>
              <w:contextualSpacing/>
              <w:jc w:val="right"/>
              <w:rPr>
                <w:rFonts w:cs="Calibri"/>
                <w:sz w:val="17"/>
                <w:szCs w:val="17"/>
                <w:lang w:eastAsia="en-AU"/>
              </w:rPr>
            </w:pPr>
          </w:p>
        </w:tc>
        <w:tc>
          <w:tcPr>
            <w:tcW w:w="478" w:type="pct"/>
            <w:tcBorders>
              <w:top w:val="nil"/>
              <w:left w:val="nil"/>
              <w:bottom w:val="nil"/>
              <w:right w:val="nil"/>
            </w:tcBorders>
            <w:shd w:val="clear" w:color="auto" w:fill="auto"/>
            <w:noWrap/>
            <w:hideMark/>
          </w:tcPr>
          <w:p w14:paraId="5F9D5152" w14:textId="0A98A326" w:rsidR="00105D8A" w:rsidRPr="00555A65" w:rsidRDefault="00105D8A" w:rsidP="00A057F0">
            <w:pPr>
              <w:spacing w:after="0" w:line="240" w:lineRule="auto"/>
              <w:contextualSpacing/>
              <w:jc w:val="right"/>
              <w:rPr>
                <w:rFonts w:cs="Calibri"/>
                <w:sz w:val="17"/>
                <w:szCs w:val="17"/>
                <w:lang w:eastAsia="en-AU"/>
              </w:rPr>
            </w:pPr>
          </w:p>
        </w:tc>
        <w:tc>
          <w:tcPr>
            <w:tcW w:w="333" w:type="pct"/>
            <w:tcBorders>
              <w:top w:val="nil"/>
              <w:left w:val="nil"/>
              <w:bottom w:val="nil"/>
              <w:right w:val="nil"/>
            </w:tcBorders>
            <w:shd w:val="clear" w:color="auto" w:fill="auto"/>
            <w:noWrap/>
            <w:hideMark/>
          </w:tcPr>
          <w:p w14:paraId="31459965" w14:textId="77777777" w:rsidR="00105D8A" w:rsidRPr="00555A65" w:rsidRDefault="00105D8A" w:rsidP="00A057F0">
            <w:pPr>
              <w:spacing w:after="0" w:line="240" w:lineRule="auto"/>
              <w:contextualSpacing/>
              <w:jc w:val="right"/>
              <w:rPr>
                <w:rFonts w:cs="Calibri"/>
                <w:sz w:val="17"/>
                <w:szCs w:val="17"/>
                <w:lang w:eastAsia="en-AU"/>
              </w:rPr>
            </w:pPr>
          </w:p>
        </w:tc>
        <w:tc>
          <w:tcPr>
            <w:tcW w:w="294" w:type="pct"/>
            <w:tcBorders>
              <w:top w:val="nil"/>
              <w:left w:val="nil"/>
              <w:bottom w:val="nil"/>
              <w:right w:val="nil"/>
            </w:tcBorders>
            <w:shd w:val="clear" w:color="auto" w:fill="auto"/>
            <w:noWrap/>
            <w:hideMark/>
          </w:tcPr>
          <w:p w14:paraId="561A9307" w14:textId="1CB795D7"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w:t>
            </w:r>
          </w:p>
        </w:tc>
        <w:tc>
          <w:tcPr>
            <w:tcW w:w="322" w:type="pct"/>
            <w:tcBorders>
              <w:top w:val="nil"/>
              <w:left w:val="nil"/>
              <w:bottom w:val="nil"/>
              <w:right w:val="nil"/>
            </w:tcBorders>
            <w:shd w:val="clear" w:color="auto" w:fill="auto"/>
            <w:noWrap/>
            <w:hideMark/>
          </w:tcPr>
          <w:p w14:paraId="54875D7E" w14:textId="77777777"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w:t>
            </w:r>
          </w:p>
        </w:tc>
        <w:tc>
          <w:tcPr>
            <w:tcW w:w="353" w:type="pct"/>
            <w:tcBorders>
              <w:top w:val="nil"/>
              <w:left w:val="nil"/>
              <w:bottom w:val="nil"/>
              <w:right w:val="nil"/>
            </w:tcBorders>
            <w:shd w:val="clear" w:color="auto" w:fill="auto"/>
            <w:noWrap/>
            <w:hideMark/>
          </w:tcPr>
          <w:p w14:paraId="681A7E77" w14:textId="77777777" w:rsidR="00105D8A" w:rsidRPr="00555A65" w:rsidRDefault="00105D8A" w:rsidP="00A057F0">
            <w:pPr>
              <w:spacing w:after="0" w:line="240" w:lineRule="auto"/>
              <w:contextualSpacing/>
              <w:jc w:val="right"/>
              <w:rPr>
                <w:rFonts w:cs="Calibri"/>
                <w:sz w:val="17"/>
                <w:szCs w:val="17"/>
                <w:lang w:eastAsia="en-AU"/>
              </w:rPr>
            </w:pPr>
          </w:p>
        </w:tc>
        <w:tc>
          <w:tcPr>
            <w:tcW w:w="427" w:type="pct"/>
            <w:tcBorders>
              <w:top w:val="nil"/>
              <w:left w:val="nil"/>
              <w:bottom w:val="nil"/>
              <w:right w:val="nil"/>
            </w:tcBorders>
            <w:shd w:val="clear" w:color="auto" w:fill="auto"/>
            <w:noWrap/>
            <w:hideMark/>
          </w:tcPr>
          <w:p w14:paraId="5B72974F" w14:textId="77777777" w:rsidR="00105D8A" w:rsidRPr="00555A65" w:rsidRDefault="00105D8A" w:rsidP="00A057F0">
            <w:pPr>
              <w:spacing w:after="0" w:line="240" w:lineRule="auto"/>
              <w:contextualSpacing/>
              <w:jc w:val="right"/>
              <w:rPr>
                <w:rFonts w:cs="Calibri"/>
                <w:sz w:val="17"/>
                <w:szCs w:val="17"/>
                <w:lang w:eastAsia="en-AU"/>
              </w:rPr>
            </w:pPr>
          </w:p>
        </w:tc>
        <w:tc>
          <w:tcPr>
            <w:tcW w:w="438" w:type="pct"/>
            <w:tcBorders>
              <w:top w:val="nil"/>
              <w:left w:val="nil"/>
              <w:bottom w:val="nil"/>
              <w:right w:val="nil"/>
            </w:tcBorders>
            <w:shd w:val="clear" w:color="auto" w:fill="auto"/>
            <w:noWrap/>
            <w:hideMark/>
          </w:tcPr>
          <w:p w14:paraId="5623AA1C" w14:textId="49FC12F3" w:rsidR="00105D8A" w:rsidRPr="00555A65" w:rsidRDefault="00105D8A" w:rsidP="00A057F0">
            <w:pPr>
              <w:spacing w:after="0" w:line="240" w:lineRule="auto"/>
              <w:contextualSpacing/>
              <w:jc w:val="right"/>
              <w:rPr>
                <w:rFonts w:cs="Calibri"/>
                <w:sz w:val="17"/>
                <w:szCs w:val="17"/>
                <w:lang w:eastAsia="en-AU"/>
              </w:rPr>
            </w:pPr>
          </w:p>
        </w:tc>
        <w:tc>
          <w:tcPr>
            <w:tcW w:w="443" w:type="pct"/>
            <w:tcBorders>
              <w:top w:val="nil"/>
              <w:left w:val="nil"/>
              <w:bottom w:val="nil"/>
              <w:right w:val="nil"/>
            </w:tcBorders>
            <w:shd w:val="clear" w:color="auto" w:fill="auto"/>
            <w:noWrap/>
            <w:hideMark/>
          </w:tcPr>
          <w:p w14:paraId="3141CA0A" w14:textId="666FD6CE"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2</w:t>
            </w:r>
          </w:p>
        </w:tc>
        <w:tc>
          <w:tcPr>
            <w:tcW w:w="381" w:type="pct"/>
            <w:tcBorders>
              <w:top w:val="nil"/>
              <w:left w:val="nil"/>
              <w:bottom w:val="nil"/>
              <w:right w:val="nil"/>
            </w:tcBorders>
            <w:shd w:val="clear" w:color="auto" w:fill="auto"/>
            <w:noWrap/>
            <w:hideMark/>
          </w:tcPr>
          <w:p w14:paraId="43F0C19E" w14:textId="77777777"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w:t>
            </w:r>
          </w:p>
        </w:tc>
        <w:tc>
          <w:tcPr>
            <w:tcW w:w="380" w:type="pct"/>
            <w:tcBorders>
              <w:top w:val="nil"/>
              <w:left w:val="nil"/>
              <w:bottom w:val="nil"/>
              <w:right w:val="nil"/>
            </w:tcBorders>
            <w:shd w:val="clear" w:color="auto" w:fill="auto"/>
            <w:noWrap/>
            <w:vAlign w:val="bottom"/>
            <w:hideMark/>
          </w:tcPr>
          <w:p w14:paraId="06409807" w14:textId="77777777" w:rsidR="00105D8A" w:rsidRPr="00555A65" w:rsidRDefault="00105D8A" w:rsidP="00A057F0">
            <w:pPr>
              <w:spacing w:after="0" w:line="240" w:lineRule="auto"/>
              <w:contextualSpacing/>
              <w:jc w:val="right"/>
              <w:rPr>
                <w:rFonts w:cs="Calibri"/>
                <w:b/>
                <w:bCs/>
                <w:sz w:val="17"/>
                <w:szCs w:val="17"/>
                <w:lang w:eastAsia="en-AU"/>
              </w:rPr>
            </w:pPr>
            <w:r w:rsidRPr="00555A65">
              <w:rPr>
                <w:b/>
                <w:sz w:val="17"/>
                <w:szCs w:val="17"/>
              </w:rPr>
              <w:t>5</w:t>
            </w:r>
          </w:p>
        </w:tc>
      </w:tr>
      <w:tr w:rsidR="00396077" w:rsidRPr="00555A65" w14:paraId="34756174" w14:textId="77777777" w:rsidTr="00396077">
        <w:trPr>
          <w:trHeight w:val="227"/>
        </w:trPr>
        <w:tc>
          <w:tcPr>
            <w:tcW w:w="650" w:type="pct"/>
            <w:tcBorders>
              <w:top w:val="nil"/>
              <w:left w:val="nil"/>
              <w:bottom w:val="nil"/>
              <w:right w:val="nil"/>
            </w:tcBorders>
            <w:shd w:val="clear" w:color="auto" w:fill="auto"/>
            <w:noWrap/>
            <w:vAlign w:val="bottom"/>
            <w:hideMark/>
          </w:tcPr>
          <w:p w14:paraId="7B841D96"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Freshwater catfish</w:t>
            </w:r>
          </w:p>
        </w:tc>
        <w:tc>
          <w:tcPr>
            <w:tcW w:w="501" w:type="pct"/>
            <w:tcBorders>
              <w:top w:val="nil"/>
              <w:left w:val="nil"/>
              <w:bottom w:val="nil"/>
              <w:right w:val="nil"/>
            </w:tcBorders>
            <w:shd w:val="clear" w:color="auto" w:fill="auto"/>
            <w:noWrap/>
            <w:hideMark/>
          </w:tcPr>
          <w:p w14:paraId="167007E5" w14:textId="77777777"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w:t>
            </w:r>
          </w:p>
        </w:tc>
        <w:tc>
          <w:tcPr>
            <w:tcW w:w="478" w:type="pct"/>
            <w:tcBorders>
              <w:top w:val="nil"/>
              <w:left w:val="nil"/>
              <w:bottom w:val="nil"/>
              <w:right w:val="nil"/>
            </w:tcBorders>
            <w:shd w:val="clear" w:color="auto" w:fill="auto"/>
            <w:noWrap/>
            <w:hideMark/>
          </w:tcPr>
          <w:p w14:paraId="62EB8E2B" w14:textId="77777777" w:rsidR="00105D8A" w:rsidRPr="00555A65" w:rsidRDefault="00105D8A" w:rsidP="00A057F0">
            <w:pPr>
              <w:spacing w:after="0" w:line="240" w:lineRule="auto"/>
              <w:contextualSpacing/>
              <w:jc w:val="right"/>
              <w:rPr>
                <w:rFonts w:cs="Calibri"/>
                <w:sz w:val="17"/>
                <w:szCs w:val="17"/>
                <w:lang w:eastAsia="en-AU"/>
              </w:rPr>
            </w:pPr>
          </w:p>
        </w:tc>
        <w:tc>
          <w:tcPr>
            <w:tcW w:w="333" w:type="pct"/>
            <w:tcBorders>
              <w:top w:val="nil"/>
              <w:left w:val="nil"/>
              <w:bottom w:val="nil"/>
              <w:right w:val="nil"/>
            </w:tcBorders>
            <w:shd w:val="clear" w:color="auto" w:fill="auto"/>
            <w:noWrap/>
            <w:hideMark/>
          </w:tcPr>
          <w:p w14:paraId="01B9E762" w14:textId="77777777" w:rsidR="00105D8A" w:rsidRPr="00555A65" w:rsidRDefault="00105D8A" w:rsidP="00A057F0">
            <w:pPr>
              <w:spacing w:after="0" w:line="240" w:lineRule="auto"/>
              <w:contextualSpacing/>
              <w:jc w:val="right"/>
              <w:rPr>
                <w:rFonts w:cs="Calibri"/>
                <w:sz w:val="17"/>
                <w:szCs w:val="17"/>
                <w:lang w:eastAsia="en-AU"/>
              </w:rPr>
            </w:pPr>
          </w:p>
        </w:tc>
        <w:tc>
          <w:tcPr>
            <w:tcW w:w="294" w:type="pct"/>
            <w:tcBorders>
              <w:top w:val="nil"/>
              <w:left w:val="nil"/>
              <w:bottom w:val="nil"/>
              <w:right w:val="nil"/>
            </w:tcBorders>
            <w:shd w:val="clear" w:color="auto" w:fill="auto"/>
            <w:noWrap/>
            <w:hideMark/>
          </w:tcPr>
          <w:p w14:paraId="53EE5352" w14:textId="6B909791"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w:t>
            </w:r>
          </w:p>
        </w:tc>
        <w:tc>
          <w:tcPr>
            <w:tcW w:w="322" w:type="pct"/>
            <w:tcBorders>
              <w:top w:val="nil"/>
              <w:left w:val="nil"/>
              <w:bottom w:val="nil"/>
              <w:right w:val="nil"/>
            </w:tcBorders>
            <w:shd w:val="clear" w:color="auto" w:fill="auto"/>
            <w:noWrap/>
            <w:hideMark/>
          </w:tcPr>
          <w:p w14:paraId="78FF5DE2" w14:textId="251383BF" w:rsidR="00105D8A" w:rsidRPr="00555A65" w:rsidRDefault="00105D8A" w:rsidP="00A057F0">
            <w:pPr>
              <w:spacing w:after="0" w:line="240" w:lineRule="auto"/>
              <w:contextualSpacing/>
              <w:jc w:val="right"/>
              <w:rPr>
                <w:rFonts w:cs="Calibri"/>
                <w:sz w:val="17"/>
                <w:szCs w:val="17"/>
                <w:lang w:eastAsia="en-AU"/>
              </w:rPr>
            </w:pPr>
          </w:p>
        </w:tc>
        <w:tc>
          <w:tcPr>
            <w:tcW w:w="353" w:type="pct"/>
            <w:tcBorders>
              <w:top w:val="nil"/>
              <w:left w:val="nil"/>
              <w:bottom w:val="nil"/>
              <w:right w:val="nil"/>
            </w:tcBorders>
            <w:shd w:val="clear" w:color="auto" w:fill="auto"/>
            <w:noWrap/>
            <w:hideMark/>
          </w:tcPr>
          <w:p w14:paraId="77C1A9EC" w14:textId="77777777"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w:t>
            </w:r>
          </w:p>
        </w:tc>
        <w:tc>
          <w:tcPr>
            <w:tcW w:w="427" w:type="pct"/>
            <w:tcBorders>
              <w:top w:val="nil"/>
              <w:left w:val="nil"/>
              <w:bottom w:val="nil"/>
              <w:right w:val="nil"/>
            </w:tcBorders>
            <w:shd w:val="clear" w:color="auto" w:fill="auto"/>
            <w:noWrap/>
            <w:hideMark/>
          </w:tcPr>
          <w:p w14:paraId="5BA0C8A1" w14:textId="78B209C7"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2</w:t>
            </w:r>
          </w:p>
        </w:tc>
        <w:tc>
          <w:tcPr>
            <w:tcW w:w="438" w:type="pct"/>
            <w:tcBorders>
              <w:top w:val="nil"/>
              <w:left w:val="nil"/>
              <w:bottom w:val="nil"/>
              <w:right w:val="nil"/>
            </w:tcBorders>
            <w:shd w:val="clear" w:color="auto" w:fill="auto"/>
            <w:noWrap/>
            <w:hideMark/>
          </w:tcPr>
          <w:p w14:paraId="423DB91B" w14:textId="612E1DDD" w:rsidR="00105D8A" w:rsidRPr="00555A65" w:rsidRDefault="00105D8A" w:rsidP="00A057F0">
            <w:pPr>
              <w:spacing w:after="0" w:line="240" w:lineRule="auto"/>
              <w:contextualSpacing/>
              <w:jc w:val="right"/>
              <w:rPr>
                <w:rFonts w:cs="Calibri"/>
                <w:sz w:val="17"/>
                <w:szCs w:val="17"/>
                <w:lang w:eastAsia="en-AU"/>
              </w:rPr>
            </w:pPr>
          </w:p>
        </w:tc>
        <w:tc>
          <w:tcPr>
            <w:tcW w:w="443" w:type="pct"/>
            <w:tcBorders>
              <w:top w:val="nil"/>
              <w:left w:val="nil"/>
              <w:bottom w:val="nil"/>
              <w:right w:val="nil"/>
            </w:tcBorders>
            <w:shd w:val="clear" w:color="auto" w:fill="auto"/>
            <w:noWrap/>
            <w:hideMark/>
          </w:tcPr>
          <w:p w14:paraId="54F31ADF" w14:textId="77777777" w:rsidR="00105D8A" w:rsidRPr="00555A65" w:rsidRDefault="00105D8A" w:rsidP="00A057F0">
            <w:pPr>
              <w:spacing w:after="0" w:line="240" w:lineRule="auto"/>
              <w:contextualSpacing/>
              <w:jc w:val="right"/>
              <w:rPr>
                <w:rFonts w:cs="Calibri"/>
                <w:sz w:val="17"/>
                <w:szCs w:val="17"/>
                <w:lang w:eastAsia="en-AU"/>
              </w:rPr>
            </w:pPr>
          </w:p>
        </w:tc>
        <w:tc>
          <w:tcPr>
            <w:tcW w:w="381" w:type="pct"/>
            <w:tcBorders>
              <w:top w:val="nil"/>
              <w:left w:val="nil"/>
              <w:bottom w:val="nil"/>
              <w:right w:val="nil"/>
            </w:tcBorders>
            <w:shd w:val="clear" w:color="auto" w:fill="auto"/>
            <w:noWrap/>
            <w:hideMark/>
          </w:tcPr>
          <w:p w14:paraId="0D5AC398" w14:textId="413C89D1"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2</w:t>
            </w:r>
          </w:p>
        </w:tc>
        <w:tc>
          <w:tcPr>
            <w:tcW w:w="380" w:type="pct"/>
            <w:tcBorders>
              <w:top w:val="nil"/>
              <w:left w:val="nil"/>
              <w:bottom w:val="nil"/>
              <w:right w:val="nil"/>
            </w:tcBorders>
            <w:shd w:val="clear" w:color="auto" w:fill="auto"/>
            <w:noWrap/>
            <w:vAlign w:val="bottom"/>
            <w:hideMark/>
          </w:tcPr>
          <w:p w14:paraId="6E0E44E1" w14:textId="77777777" w:rsidR="00105D8A" w:rsidRPr="00555A65" w:rsidRDefault="00105D8A" w:rsidP="00A057F0">
            <w:pPr>
              <w:spacing w:after="0" w:line="240" w:lineRule="auto"/>
              <w:contextualSpacing/>
              <w:jc w:val="right"/>
              <w:rPr>
                <w:rFonts w:cs="Calibri"/>
                <w:b/>
                <w:bCs/>
                <w:sz w:val="17"/>
                <w:szCs w:val="17"/>
                <w:lang w:eastAsia="en-AU"/>
              </w:rPr>
            </w:pPr>
            <w:r w:rsidRPr="00555A65">
              <w:rPr>
                <w:b/>
                <w:sz w:val="17"/>
                <w:szCs w:val="17"/>
              </w:rPr>
              <w:t>7</w:t>
            </w:r>
          </w:p>
        </w:tc>
      </w:tr>
      <w:tr w:rsidR="00396077" w:rsidRPr="00555A65" w14:paraId="607F4CD6" w14:textId="77777777" w:rsidTr="00396077">
        <w:trPr>
          <w:trHeight w:val="227"/>
        </w:trPr>
        <w:tc>
          <w:tcPr>
            <w:tcW w:w="650" w:type="pct"/>
            <w:tcBorders>
              <w:top w:val="nil"/>
              <w:left w:val="nil"/>
              <w:bottom w:val="nil"/>
              <w:right w:val="nil"/>
            </w:tcBorders>
            <w:shd w:val="clear" w:color="auto" w:fill="auto"/>
            <w:noWrap/>
            <w:vAlign w:val="bottom"/>
            <w:hideMark/>
          </w:tcPr>
          <w:p w14:paraId="16286068"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Murray cod</w:t>
            </w:r>
          </w:p>
        </w:tc>
        <w:tc>
          <w:tcPr>
            <w:tcW w:w="501" w:type="pct"/>
            <w:tcBorders>
              <w:top w:val="nil"/>
              <w:left w:val="nil"/>
              <w:bottom w:val="nil"/>
              <w:right w:val="nil"/>
            </w:tcBorders>
            <w:shd w:val="clear" w:color="auto" w:fill="auto"/>
            <w:noWrap/>
            <w:hideMark/>
          </w:tcPr>
          <w:p w14:paraId="26073147" w14:textId="4A7FEB4B" w:rsidR="00105D8A" w:rsidRPr="00555A65" w:rsidRDefault="00105D8A" w:rsidP="00A057F0">
            <w:pPr>
              <w:spacing w:after="0" w:line="240" w:lineRule="auto"/>
              <w:contextualSpacing/>
              <w:jc w:val="right"/>
              <w:rPr>
                <w:rFonts w:cs="Calibri"/>
                <w:sz w:val="17"/>
                <w:szCs w:val="17"/>
                <w:lang w:eastAsia="en-AU"/>
              </w:rPr>
            </w:pPr>
          </w:p>
        </w:tc>
        <w:tc>
          <w:tcPr>
            <w:tcW w:w="478" w:type="pct"/>
            <w:tcBorders>
              <w:top w:val="nil"/>
              <w:left w:val="nil"/>
              <w:bottom w:val="nil"/>
              <w:right w:val="nil"/>
            </w:tcBorders>
            <w:shd w:val="clear" w:color="auto" w:fill="auto"/>
            <w:noWrap/>
            <w:hideMark/>
          </w:tcPr>
          <w:p w14:paraId="7CFA2CCF" w14:textId="77777777"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3</w:t>
            </w:r>
          </w:p>
        </w:tc>
        <w:tc>
          <w:tcPr>
            <w:tcW w:w="333" w:type="pct"/>
            <w:tcBorders>
              <w:top w:val="nil"/>
              <w:left w:val="nil"/>
              <w:bottom w:val="nil"/>
              <w:right w:val="nil"/>
            </w:tcBorders>
            <w:shd w:val="clear" w:color="auto" w:fill="auto"/>
            <w:noWrap/>
            <w:hideMark/>
          </w:tcPr>
          <w:p w14:paraId="2495EDFF" w14:textId="28728A51"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w:t>
            </w:r>
          </w:p>
        </w:tc>
        <w:tc>
          <w:tcPr>
            <w:tcW w:w="294" w:type="pct"/>
            <w:tcBorders>
              <w:top w:val="nil"/>
              <w:left w:val="nil"/>
              <w:bottom w:val="nil"/>
              <w:right w:val="nil"/>
            </w:tcBorders>
            <w:shd w:val="clear" w:color="auto" w:fill="auto"/>
            <w:noWrap/>
            <w:hideMark/>
          </w:tcPr>
          <w:p w14:paraId="26D81F96" w14:textId="4D3118BF"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2</w:t>
            </w:r>
          </w:p>
        </w:tc>
        <w:tc>
          <w:tcPr>
            <w:tcW w:w="322" w:type="pct"/>
            <w:tcBorders>
              <w:top w:val="nil"/>
              <w:left w:val="nil"/>
              <w:bottom w:val="nil"/>
              <w:right w:val="nil"/>
            </w:tcBorders>
            <w:shd w:val="clear" w:color="auto" w:fill="auto"/>
            <w:noWrap/>
            <w:hideMark/>
          </w:tcPr>
          <w:p w14:paraId="4C409010" w14:textId="77777777" w:rsidR="00105D8A" w:rsidRPr="00555A65" w:rsidRDefault="00105D8A" w:rsidP="00A057F0">
            <w:pPr>
              <w:spacing w:after="0" w:line="240" w:lineRule="auto"/>
              <w:contextualSpacing/>
              <w:jc w:val="right"/>
              <w:rPr>
                <w:rFonts w:cs="Calibri"/>
                <w:sz w:val="17"/>
                <w:szCs w:val="17"/>
                <w:lang w:eastAsia="en-AU"/>
              </w:rPr>
            </w:pPr>
          </w:p>
        </w:tc>
        <w:tc>
          <w:tcPr>
            <w:tcW w:w="353" w:type="pct"/>
            <w:tcBorders>
              <w:top w:val="nil"/>
              <w:left w:val="nil"/>
              <w:bottom w:val="nil"/>
              <w:right w:val="nil"/>
            </w:tcBorders>
            <w:shd w:val="clear" w:color="auto" w:fill="auto"/>
            <w:noWrap/>
            <w:hideMark/>
          </w:tcPr>
          <w:p w14:paraId="63E39618" w14:textId="6F8F30A0"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w:t>
            </w:r>
          </w:p>
        </w:tc>
        <w:tc>
          <w:tcPr>
            <w:tcW w:w="427" w:type="pct"/>
            <w:tcBorders>
              <w:top w:val="nil"/>
              <w:left w:val="nil"/>
              <w:bottom w:val="nil"/>
              <w:right w:val="nil"/>
            </w:tcBorders>
            <w:shd w:val="clear" w:color="auto" w:fill="auto"/>
            <w:noWrap/>
            <w:hideMark/>
          </w:tcPr>
          <w:p w14:paraId="2D020038" w14:textId="634950C6"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2</w:t>
            </w:r>
          </w:p>
        </w:tc>
        <w:tc>
          <w:tcPr>
            <w:tcW w:w="438" w:type="pct"/>
            <w:tcBorders>
              <w:top w:val="nil"/>
              <w:left w:val="nil"/>
              <w:bottom w:val="nil"/>
              <w:right w:val="nil"/>
            </w:tcBorders>
            <w:shd w:val="clear" w:color="auto" w:fill="auto"/>
            <w:noWrap/>
            <w:hideMark/>
          </w:tcPr>
          <w:p w14:paraId="40CF3498" w14:textId="0EACB671"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3</w:t>
            </w:r>
          </w:p>
        </w:tc>
        <w:tc>
          <w:tcPr>
            <w:tcW w:w="443" w:type="pct"/>
            <w:tcBorders>
              <w:top w:val="nil"/>
              <w:left w:val="nil"/>
              <w:bottom w:val="nil"/>
              <w:right w:val="nil"/>
            </w:tcBorders>
            <w:shd w:val="clear" w:color="auto" w:fill="auto"/>
            <w:noWrap/>
            <w:hideMark/>
          </w:tcPr>
          <w:p w14:paraId="6821734C" w14:textId="12DFBFDB"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2</w:t>
            </w:r>
          </w:p>
        </w:tc>
        <w:tc>
          <w:tcPr>
            <w:tcW w:w="381" w:type="pct"/>
            <w:tcBorders>
              <w:top w:val="nil"/>
              <w:left w:val="nil"/>
              <w:bottom w:val="nil"/>
              <w:right w:val="nil"/>
            </w:tcBorders>
            <w:shd w:val="clear" w:color="auto" w:fill="auto"/>
            <w:noWrap/>
            <w:hideMark/>
          </w:tcPr>
          <w:p w14:paraId="665120C5" w14:textId="2CCFEDE1"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2</w:t>
            </w:r>
          </w:p>
        </w:tc>
        <w:tc>
          <w:tcPr>
            <w:tcW w:w="380" w:type="pct"/>
            <w:tcBorders>
              <w:top w:val="nil"/>
              <w:left w:val="nil"/>
              <w:bottom w:val="nil"/>
              <w:right w:val="nil"/>
            </w:tcBorders>
            <w:shd w:val="clear" w:color="auto" w:fill="auto"/>
            <w:noWrap/>
            <w:vAlign w:val="bottom"/>
            <w:hideMark/>
          </w:tcPr>
          <w:p w14:paraId="51631090" w14:textId="77777777" w:rsidR="00105D8A" w:rsidRPr="00555A65" w:rsidRDefault="00105D8A" w:rsidP="00A057F0">
            <w:pPr>
              <w:spacing w:after="0" w:line="240" w:lineRule="auto"/>
              <w:contextualSpacing/>
              <w:jc w:val="right"/>
              <w:rPr>
                <w:rFonts w:cs="Calibri"/>
                <w:b/>
                <w:bCs/>
                <w:sz w:val="17"/>
                <w:szCs w:val="17"/>
                <w:lang w:eastAsia="en-AU"/>
              </w:rPr>
            </w:pPr>
            <w:r w:rsidRPr="00555A65">
              <w:rPr>
                <w:b/>
                <w:sz w:val="17"/>
                <w:szCs w:val="17"/>
              </w:rPr>
              <w:t>16</w:t>
            </w:r>
          </w:p>
        </w:tc>
      </w:tr>
      <w:tr w:rsidR="00396077" w:rsidRPr="00555A65" w14:paraId="0ACA51AA" w14:textId="77777777" w:rsidTr="00396077">
        <w:trPr>
          <w:trHeight w:val="227"/>
        </w:trPr>
        <w:tc>
          <w:tcPr>
            <w:tcW w:w="650" w:type="pct"/>
            <w:tcBorders>
              <w:top w:val="nil"/>
              <w:left w:val="nil"/>
              <w:bottom w:val="nil"/>
              <w:right w:val="nil"/>
            </w:tcBorders>
            <w:shd w:val="clear" w:color="auto" w:fill="auto"/>
            <w:noWrap/>
            <w:vAlign w:val="bottom"/>
            <w:hideMark/>
          </w:tcPr>
          <w:p w14:paraId="0EB3967F"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Bony herring</w:t>
            </w:r>
          </w:p>
        </w:tc>
        <w:tc>
          <w:tcPr>
            <w:tcW w:w="501" w:type="pct"/>
            <w:tcBorders>
              <w:top w:val="nil"/>
              <w:left w:val="nil"/>
              <w:bottom w:val="nil"/>
              <w:right w:val="nil"/>
            </w:tcBorders>
            <w:shd w:val="clear" w:color="auto" w:fill="auto"/>
            <w:noWrap/>
            <w:hideMark/>
          </w:tcPr>
          <w:p w14:paraId="1AA13711" w14:textId="3FE5A8DB"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991</w:t>
            </w:r>
          </w:p>
        </w:tc>
        <w:tc>
          <w:tcPr>
            <w:tcW w:w="478" w:type="pct"/>
            <w:tcBorders>
              <w:top w:val="nil"/>
              <w:left w:val="nil"/>
              <w:bottom w:val="nil"/>
              <w:right w:val="nil"/>
            </w:tcBorders>
            <w:shd w:val="clear" w:color="auto" w:fill="auto"/>
            <w:noWrap/>
            <w:hideMark/>
          </w:tcPr>
          <w:p w14:paraId="35CA521B" w14:textId="688BA469"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820</w:t>
            </w:r>
          </w:p>
        </w:tc>
        <w:tc>
          <w:tcPr>
            <w:tcW w:w="333" w:type="pct"/>
            <w:tcBorders>
              <w:top w:val="nil"/>
              <w:left w:val="nil"/>
              <w:bottom w:val="nil"/>
              <w:right w:val="nil"/>
            </w:tcBorders>
            <w:shd w:val="clear" w:color="auto" w:fill="auto"/>
            <w:noWrap/>
            <w:hideMark/>
          </w:tcPr>
          <w:p w14:paraId="2DBCA1DD" w14:textId="502F3B97"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1,680</w:t>
            </w:r>
          </w:p>
        </w:tc>
        <w:tc>
          <w:tcPr>
            <w:tcW w:w="294" w:type="pct"/>
            <w:tcBorders>
              <w:top w:val="nil"/>
              <w:left w:val="nil"/>
              <w:bottom w:val="nil"/>
              <w:right w:val="nil"/>
            </w:tcBorders>
            <w:shd w:val="clear" w:color="auto" w:fill="auto"/>
            <w:noWrap/>
            <w:hideMark/>
          </w:tcPr>
          <w:p w14:paraId="389A5CC6" w14:textId="3F0DFBD4"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536</w:t>
            </w:r>
          </w:p>
        </w:tc>
        <w:tc>
          <w:tcPr>
            <w:tcW w:w="322" w:type="pct"/>
            <w:tcBorders>
              <w:top w:val="nil"/>
              <w:left w:val="nil"/>
              <w:bottom w:val="nil"/>
              <w:right w:val="nil"/>
            </w:tcBorders>
            <w:shd w:val="clear" w:color="auto" w:fill="auto"/>
            <w:noWrap/>
            <w:hideMark/>
          </w:tcPr>
          <w:p w14:paraId="14E5E855" w14:textId="1682C40B"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60</w:t>
            </w:r>
          </w:p>
        </w:tc>
        <w:tc>
          <w:tcPr>
            <w:tcW w:w="353" w:type="pct"/>
            <w:tcBorders>
              <w:top w:val="nil"/>
              <w:left w:val="nil"/>
              <w:bottom w:val="nil"/>
              <w:right w:val="nil"/>
            </w:tcBorders>
            <w:shd w:val="clear" w:color="auto" w:fill="auto"/>
            <w:noWrap/>
            <w:hideMark/>
          </w:tcPr>
          <w:p w14:paraId="530EB488" w14:textId="31A78D2C"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743</w:t>
            </w:r>
          </w:p>
        </w:tc>
        <w:tc>
          <w:tcPr>
            <w:tcW w:w="427" w:type="pct"/>
            <w:tcBorders>
              <w:top w:val="nil"/>
              <w:left w:val="nil"/>
              <w:bottom w:val="nil"/>
              <w:right w:val="nil"/>
            </w:tcBorders>
            <w:shd w:val="clear" w:color="auto" w:fill="auto"/>
            <w:noWrap/>
            <w:hideMark/>
          </w:tcPr>
          <w:p w14:paraId="7630B353" w14:textId="03DFAD26"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700</w:t>
            </w:r>
          </w:p>
        </w:tc>
        <w:tc>
          <w:tcPr>
            <w:tcW w:w="438" w:type="pct"/>
            <w:tcBorders>
              <w:top w:val="nil"/>
              <w:left w:val="nil"/>
              <w:bottom w:val="nil"/>
              <w:right w:val="nil"/>
            </w:tcBorders>
            <w:shd w:val="clear" w:color="auto" w:fill="auto"/>
            <w:noWrap/>
            <w:hideMark/>
          </w:tcPr>
          <w:p w14:paraId="455C62E6" w14:textId="37024E51"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745</w:t>
            </w:r>
          </w:p>
        </w:tc>
        <w:tc>
          <w:tcPr>
            <w:tcW w:w="443" w:type="pct"/>
            <w:tcBorders>
              <w:top w:val="nil"/>
              <w:left w:val="nil"/>
              <w:bottom w:val="nil"/>
              <w:right w:val="nil"/>
            </w:tcBorders>
            <w:shd w:val="clear" w:color="auto" w:fill="auto"/>
            <w:noWrap/>
            <w:hideMark/>
          </w:tcPr>
          <w:p w14:paraId="044AF331" w14:textId="6E834626"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605</w:t>
            </w:r>
          </w:p>
        </w:tc>
        <w:tc>
          <w:tcPr>
            <w:tcW w:w="381" w:type="pct"/>
            <w:tcBorders>
              <w:top w:val="nil"/>
              <w:left w:val="nil"/>
              <w:bottom w:val="nil"/>
              <w:right w:val="nil"/>
            </w:tcBorders>
            <w:shd w:val="clear" w:color="auto" w:fill="auto"/>
            <w:noWrap/>
            <w:hideMark/>
          </w:tcPr>
          <w:p w14:paraId="4A6045EA" w14:textId="3D272002"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547</w:t>
            </w:r>
          </w:p>
        </w:tc>
        <w:tc>
          <w:tcPr>
            <w:tcW w:w="380" w:type="pct"/>
            <w:tcBorders>
              <w:top w:val="nil"/>
              <w:left w:val="nil"/>
              <w:bottom w:val="nil"/>
              <w:right w:val="nil"/>
            </w:tcBorders>
            <w:shd w:val="clear" w:color="auto" w:fill="auto"/>
            <w:noWrap/>
            <w:vAlign w:val="bottom"/>
            <w:hideMark/>
          </w:tcPr>
          <w:p w14:paraId="6A66F4CD" w14:textId="77777777" w:rsidR="00105D8A" w:rsidRPr="00555A65" w:rsidRDefault="00105D8A" w:rsidP="00A057F0">
            <w:pPr>
              <w:spacing w:after="0" w:line="240" w:lineRule="auto"/>
              <w:contextualSpacing/>
              <w:jc w:val="right"/>
              <w:rPr>
                <w:rFonts w:cs="Calibri"/>
                <w:b/>
                <w:bCs/>
                <w:sz w:val="17"/>
                <w:szCs w:val="17"/>
                <w:lang w:eastAsia="en-AU"/>
              </w:rPr>
            </w:pPr>
            <w:r w:rsidRPr="00555A65">
              <w:rPr>
                <w:b/>
                <w:sz w:val="17"/>
                <w:szCs w:val="17"/>
              </w:rPr>
              <w:t>7,427</w:t>
            </w:r>
          </w:p>
        </w:tc>
      </w:tr>
      <w:tr w:rsidR="00396077" w:rsidRPr="00555A65" w14:paraId="52814B54" w14:textId="77777777" w:rsidTr="00396077">
        <w:trPr>
          <w:trHeight w:val="227"/>
        </w:trPr>
        <w:tc>
          <w:tcPr>
            <w:tcW w:w="650" w:type="pct"/>
            <w:tcBorders>
              <w:top w:val="nil"/>
              <w:left w:val="nil"/>
              <w:bottom w:val="nil"/>
              <w:right w:val="nil"/>
            </w:tcBorders>
            <w:shd w:val="clear" w:color="auto" w:fill="auto"/>
            <w:noWrap/>
            <w:vAlign w:val="bottom"/>
            <w:hideMark/>
          </w:tcPr>
          <w:p w14:paraId="0EAB9D89"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Common carp</w:t>
            </w:r>
          </w:p>
        </w:tc>
        <w:tc>
          <w:tcPr>
            <w:tcW w:w="501" w:type="pct"/>
            <w:tcBorders>
              <w:top w:val="nil"/>
              <w:left w:val="nil"/>
              <w:bottom w:val="nil"/>
              <w:right w:val="nil"/>
            </w:tcBorders>
            <w:shd w:val="clear" w:color="auto" w:fill="auto"/>
            <w:noWrap/>
            <w:hideMark/>
          </w:tcPr>
          <w:p w14:paraId="68C73BC7" w14:textId="2103BE7A"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13</w:t>
            </w:r>
          </w:p>
        </w:tc>
        <w:tc>
          <w:tcPr>
            <w:tcW w:w="478" w:type="pct"/>
            <w:tcBorders>
              <w:top w:val="nil"/>
              <w:left w:val="nil"/>
              <w:bottom w:val="nil"/>
              <w:right w:val="nil"/>
            </w:tcBorders>
            <w:shd w:val="clear" w:color="auto" w:fill="auto"/>
            <w:noWrap/>
            <w:hideMark/>
          </w:tcPr>
          <w:p w14:paraId="3E4D252C" w14:textId="27AF0851"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39</w:t>
            </w:r>
          </w:p>
        </w:tc>
        <w:tc>
          <w:tcPr>
            <w:tcW w:w="333" w:type="pct"/>
            <w:tcBorders>
              <w:top w:val="nil"/>
              <w:left w:val="nil"/>
              <w:bottom w:val="nil"/>
              <w:right w:val="nil"/>
            </w:tcBorders>
            <w:shd w:val="clear" w:color="auto" w:fill="auto"/>
            <w:noWrap/>
            <w:hideMark/>
          </w:tcPr>
          <w:p w14:paraId="3097E7B2" w14:textId="00DED589"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35</w:t>
            </w:r>
          </w:p>
        </w:tc>
        <w:tc>
          <w:tcPr>
            <w:tcW w:w="294" w:type="pct"/>
            <w:tcBorders>
              <w:top w:val="nil"/>
              <w:left w:val="nil"/>
              <w:bottom w:val="nil"/>
              <w:right w:val="nil"/>
            </w:tcBorders>
            <w:shd w:val="clear" w:color="auto" w:fill="auto"/>
            <w:noWrap/>
            <w:hideMark/>
          </w:tcPr>
          <w:p w14:paraId="4EA061EB" w14:textId="7FB28E88"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33</w:t>
            </w:r>
          </w:p>
        </w:tc>
        <w:tc>
          <w:tcPr>
            <w:tcW w:w="322" w:type="pct"/>
            <w:tcBorders>
              <w:top w:val="nil"/>
              <w:left w:val="nil"/>
              <w:bottom w:val="nil"/>
              <w:right w:val="nil"/>
            </w:tcBorders>
            <w:shd w:val="clear" w:color="auto" w:fill="auto"/>
            <w:noWrap/>
            <w:hideMark/>
          </w:tcPr>
          <w:p w14:paraId="79D94E6F" w14:textId="0012E63B"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21</w:t>
            </w:r>
          </w:p>
        </w:tc>
        <w:tc>
          <w:tcPr>
            <w:tcW w:w="353" w:type="pct"/>
            <w:tcBorders>
              <w:top w:val="nil"/>
              <w:left w:val="nil"/>
              <w:bottom w:val="nil"/>
              <w:right w:val="nil"/>
            </w:tcBorders>
            <w:shd w:val="clear" w:color="auto" w:fill="auto"/>
            <w:noWrap/>
            <w:hideMark/>
          </w:tcPr>
          <w:p w14:paraId="20A2DEE7" w14:textId="701716F5"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22</w:t>
            </w:r>
          </w:p>
        </w:tc>
        <w:tc>
          <w:tcPr>
            <w:tcW w:w="427" w:type="pct"/>
            <w:tcBorders>
              <w:top w:val="nil"/>
              <w:left w:val="nil"/>
              <w:bottom w:val="nil"/>
              <w:right w:val="nil"/>
            </w:tcBorders>
            <w:shd w:val="clear" w:color="auto" w:fill="auto"/>
            <w:noWrap/>
            <w:hideMark/>
          </w:tcPr>
          <w:p w14:paraId="234E1105" w14:textId="40D8B7AE"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20</w:t>
            </w:r>
          </w:p>
        </w:tc>
        <w:tc>
          <w:tcPr>
            <w:tcW w:w="438" w:type="pct"/>
            <w:tcBorders>
              <w:top w:val="nil"/>
              <w:left w:val="nil"/>
              <w:bottom w:val="nil"/>
              <w:right w:val="nil"/>
            </w:tcBorders>
            <w:shd w:val="clear" w:color="auto" w:fill="auto"/>
            <w:noWrap/>
            <w:hideMark/>
          </w:tcPr>
          <w:p w14:paraId="04EFC323" w14:textId="550B6D72"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15</w:t>
            </w:r>
          </w:p>
        </w:tc>
        <w:tc>
          <w:tcPr>
            <w:tcW w:w="443" w:type="pct"/>
            <w:tcBorders>
              <w:top w:val="nil"/>
              <w:left w:val="nil"/>
              <w:bottom w:val="nil"/>
              <w:right w:val="nil"/>
            </w:tcBorders>
            <w:shd w:val="clear" w:color="auto" w:fill="auto"/>
            <w:noWrap/>
            <w:hideMark/>
          </w:tcPr>
          <w:p w14:paraId="7D1DD2C7" w14:textId="32728316"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25</w:t>
            </w:r>
          </w:p>
        </w:tc>
        <w:tc>
          <w:tcPr>
            <w:tcW w:w="381" w:type="pct"/>
            <w:tcBorders>
              <w:top w:val="nil"/>
              <w:left w:val="nil"/>
              <w:bottom w:val="nil"/>
              <w:right w:val="nil"/>
            </w:tcBorders>
            <w:shd w:val="clear" w:color="auto" w:fill="auto"/>
            <w:noWrap/>
            <w:hideMark/>
          </w:tcPr>
          <w:p w14:paraId="7C2C1DEA" w14:textId="6E1BA035"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23</w:t>
            </w:r>
          </w:p>
        </w:tc>
        <w:tc>
          <w:tcPr>
            <w:tcW w:w="380" w:type="pct"/>
            <w:tcBorders>
              <w:top w:val="nil"/>
              <w:left w:val="nil"/>
              <w:bottom w:val="nil"/>
              <w:right w:val="nil"/>
            </w:tcBorders>
            <w:shd w:val="clear" w:color="auto" w:fill="auto"/>
            <w:noWrap/>
            <w:vAlign w:val="bottom"/>
            <w:hideMark/>
          </w:tcPr>
          <w:p w14:paraId="4384A380" w14:textId="77777777" w:rsidR="00105D8A" w:rsidRPr="00555A65" w:rsidRDefault="00105D8A" w:rsidP="00A057F0">
            <w:pPr>
              <w:spacing w:after="0" w:line="240" w:lineRule="auto"/>
              <w:contextualSpacing/>
              <w:jc w:val="right"/>
              <w:rPr>
                <w:rFonts w:cs="Calibri"/>
                <w:b/>
                <w:bCs/>
                <w:sz w:val="17"/>
                <w:szCs w:val="17"/>
                <w:lang w:eastAsia="en-AU"/>
              </w:rPr>
            </w:pPr>
            <w:r w:rsidRPr="00555A65">
              <w:rPr>
                <w:b/>
                <w:sz w:val="17"/>
                <w:szCs w:val="17"/>
              </w:rPr>
              <w:t>246</w:t>
            </w:r>
          </w:p>
        </w:tc>
      </w:tr>
      <w:tr w:rsidR="00396077" w:rsidRPr="00555A65" w14:paraId="0524B547" w14:textId="77777777" w:rsidTr="00396077">
        <w:trPr>
          <w:trHeight w:val="227"/>
        </w:trPr>
        <w:tc>
          <w:tcPr>
            <w:tcW w:w="650" w:type="pct"/>
            <w:tcBorders>
              <w:top w:val="nil"/>
              <w:left w:val="nil"/>
              <w:bottom w:val="nil"/>
              <w:right w:val="nil"/>
            </w:tcBorders>
            <w:shd w:val="clear" w:color="auto" w:fill="auto"/>
            <w:noWrap/>
            <w:vAlign w:val="bottom"/>
            <w:hideMark/>
          </w:tcPr>
          <w:p w14:paraId="4533A996"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Goldfish</w:t>
            </w:r>
          </w:p>
        </w:tc>
        <w:tc>
          <w:tcPr>
            <w:tcW w:w="501" w:type="pct"/>
            <w:tcBorders>
              <w:top w:val="nil"/>
              <w:left w:val="nil"/>
              <w:bottom w:val="nil"/>
              <w:right w:val="nil"/>
            </w:tcBorders>
            <w:shd w:val="clear" w:color="auto" w:fill="auto"/>
            <w:noWrap/>
            <w:hideMark/>
          </w:tcPr>
          <w:p w14:paraId="69FDB1B0" w14:textId="34DDFA74"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w:t>
            </w:r>
          </w:p>
        </w:tc>
        <w:tc>
          <w:tcPr>
            <w:tcW w:w="478" w:type="pct"/>
            <w:tcBorders>
              <w:top w:val="nil"/>
              <w:left w:val="nil"/>
              <w:bottom w:val="nil"/>
              <w:right w:val="nil"/>
            </w:tcBorders>
            <w:shd w:val="clear" w:color="auto" w:fill="auto"/>
            <w:noWrap/>
            <w:hideMark/>
          </w:tcPr>
          <w:p w14:paraId="449690BE" w14:textId="42DE0EE1"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8</w:t>
            </w:r>
          </w:p>
        </w:tc>
        <w:tc>
          <w:tcPr>
            <w:tcW w:w="333" w:type="pct"/>
            <w:tcBorders>
              <w:top w:val="nil"/>
              <w:left w:val="nil"/>
              <w:bottom w:val="nil"/>
              <w:right w:val="nil"/>
            </w:tcBorders>
            <w:shd w:val="clear" w:color="auto" w:fill="auto"/>
            <w:noWrap/>
            <w:hideMark/>
          </w:tcPr>
          <w:p w14:paraId="5F3BA0C3" w14:textId="5BEDA64D"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4</w:t>
            </w:r>
          </w:p>
        </w:tc>
        <w:tc>
          <w:tcPr>
            <w:tcW w:w="294" w:type="pct"/>
            <w:tcBorders>
              <w:top w:val="nil"/>
              <w:left w:val="nil"/>
              <w:bottom w:val="nil"/>
              <w:right w:val="nil"/>
            </w:tcBorders>
            <w:shd w:val="clear" w:color="auto" w:fill="auto"/>
            <w:noWrap/>
            <w:hideMark/>
          </w:tcPr>
          <w:p w14:paraId="0D934D95" w14:textId="4711CCA3"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5</w:t>
            </w:r>
          </w:p>
        </w:tc>
        <w:tc>
          <w:tcPr>
            <w:tcW w:w="322" w:type="pct"/>
            <w:tcBorders>
              <w:top w:val="nil"/>
              <w:left w:val="nil"/>
              <w:bottom w:val="nil"/>
              <w:right w:val="nil"/>
            </w:tcBorders>
            <w:shd w:val="clear" w:color="auto" w:fill="auto"/>
            <w:noWrap/>
            <w:hideMark/>
          </w:tcPr>
          <w:p w14:paraId="67140074" w14:textId="10E45BF0"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9</w:t>
            </w:r>
          </w:p>
        </w:tc>
        <w:tc>
          <w:tcPr>
            <w:tcW w:w="353" w:type="pct"/>
            <w:tcBorders>
              <w:top w:val="nil"/>
              <w:left w:val="nil"/>
              <w:bottom w:val="nil"/>
              <w:right w:val="nil"/>
            </w:tcBorders>
            <w:shd w:val="clear" w:color="auto" w:fill="auto"/>
            <w:noWrap/>
            <w:hideMark/>
          </w:tcPr>
          <w:p w14:paraId="05624C3E" w14:textId="23A7CE0C"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4</w:t>
            </w:r>
          </w:p>
        </w:tc>
        <w:tc>
          <w:tcPr>
            <w:tcW w:w="427" w:type="pct"/>
            <w:tcBorders>
              <w:top w:val="nil"/>
              <w:left w:val="nil"/>
              <w:bottom w:val="nil"/>
              <w:right w:val="nil"/>
            </w:tcBorders>
            <w:shd w:val="clear" w:color="auto" w:fill="auto"/>
            <w:noWrap/>
            <w:hideMark/>
          </w:tcPr>
          <w:p w14:paraId="2713A1CB" w14:textId="77985D40"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25</w:t>
            </w:r>
          </w:p>
        </w:tc>
        <w:tc>
          <w:tcPr>
            <w:tcW w:w="438" w:type="pct"/>
            <w:tcBorders>
              <w:top w:val="nil"/>
              <w:left w:val="nil"/>
              <w:bottom w:val="nil"/>
              <w:right w:val="nil"/>
            </w:tcBorders>
            <w:shd w:val="clear" w:color="auto" w:fill="auto"/>
            <w:noWrap/>
            <w:hideMark/>
          </w:tcPr>
          <w:p w14:paraId="3732B639" w14:textId="2B3E579D"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16</w:t>
            </w:r>
          </w:p>
        </w:tc>
        <w:tc>
          <w:tcPr>
            <w:tcW w:w="443" w:type="pct"/>
            <w:tcBorders>
              <w:top w:val="nil"/>
              <w:left w:val="nil"/>
              <w:bottom w:val="nil"/>
              <w:right w:val="nil"/>
            </w:tcBorders>
            <w:shd w:val="clear" w:color="auto" w:fill="auto"/>
            <w:noWrap/>
            <w:hideMark/>
          </w:tcPr>
          <w:p w14:paraId="2F857B81" w14:textId="11B3E327"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16</w:t>
            </w:r>
          </w:p>
        </w:tc>
        <w:tc>
          <w:tcPr>
            <w:tcW w:w="381" w:type="pct"/>
            <w:tcBorders>
              <w:top w:val="nil"/>
              <w:left w:val="nil"/>
              <w:bottom w:val="nil"/>
              <w:right w:val="nil"/>
            </w:tcBorders>
            <w:shd w:val="clear" w:color="auto" w:fill="auto"/>
            <w:noWrap/>
            <w:hideMark/>
          </w:tcPr>
          <w:p w14:paraId="2EDFD2B0" w14:textId="3D1DFCBA" w:rsidR="00105D8A" w:rsidRPr="00555A65" w:rsidRDefault="00105D8A" w:rsidP="00A057F0">
            <w:pPr>
              <w:spacing w:after="0" w:line="240" w:lineRule="auto"/>
              <w:contextualSpacing/>
              <w:jc w:val="right"/>
              <w:rPr>
                <w:rFonts w:cs="Calibri"/>
                <w:sz w:val="17"/>
                <w:szCs w:val="17"/>
                <w:lang w:eastAsia="en-AU"/>
              </w:rPr>
            </w:pPr>
            <w:r w:rsidRPr="00555A65">
              <w:rPr>
                <w:sz w:val="17"/>
                <w:szCs w:val="17"/>
              </w:rPr>
              <w:t>30</w:t>
            </w:r>
          </w:p>
        </w:tc>
        <w:tc>
          <w:tcPr>
            <w:tcW w:w="380" w:type="pct"/>
            <w:tcBorders>
              <w:top w:val="nil"/>
              <w:left w:val="nil"/>
              <w:bottom w:val="nil"/>
              <w:right w:val="nil"/>
            </w:tcBorders>
            <w:shd w:val="clear" w:color="auto" w:fill="auto"/>
            <w:noWrap/>
            <w:vAlign w:val="bottom"/>
            <w:hideMark/>
          </w:tcPr>
          <w:p w14:paraId="5BA28712" w14:textId="77777777" w:rsidR="00105D8A" w:rsidRPr="00555A65" w:rsidRDefault="00105D8A" w:rsidP="00A057F0">
            <w:pPr>
              <w:spacing w:after="0" w:line="240" w:lineRule="auto"/>
              <w:contextualSpacing/>
              <w:jc w:val="right"/>
              <w:rPr>
                <w:rFonts w:cs="Calibri"/>
                <w:b/>
                <w:bCs/>
                <w:sz w:val="17"/>
                <w:szCs w:val="17"/>
                <w:lang w:eastAsia="en-AU"/>
              </w:rPr>
            </w:pPr>
            <w:r w:rsidRPr="00555A65">
              <w:rPr>
                <w:b/>
                <w:sz w:val="17"/>
                <w:szCs w:val="17"/>
              </w:rPr>
              <w:t>118</w:t>
            </w:r>
          </w:p>
        </w:tc>
      </w:tr>
      <w:tr w:rsidR="00396077" w:rsidRPr="00555A65" w14:paraId="6E487C4B" w14:textId="77777777" w:rsidTr="00396077">
        <w:trPr>
          <w:trHeight w:val="227"/>
        </w:trPr>
        <w:tc>
          <w:tcPr>
            <w:tcW w:w="650" w:type="pct"/>
            <w:tcBorders>
              <w:top w:val="nil"/>
              <w:left w:val="nil"/>
              <w:bottom w:val="nil"/>
              <w:right w:val="nil"/>
            </w:tcBorders>
            <w:shd w:val="clear" w:color="auto" w:fill="auto"/>
            <w:noWrap/>
            <w:vAlign w:val="bottom"/>
            <w:hideMark/>
          </w:tcPr>
          <w:p w14:paraId="6C4B224F" w14:textId="77777777" w:rsidR="00105D8A" w:rsidRPr="00555A65" w:rsidRDefault="00105D8A" w:rsidP="00A057F0">
            <w:pPr>
              <w:spacing w:after="0" w:line="240" w:lineRule="auto"/>
              <w:contextualSpacing/>
              <w:rPr>
                <w:rFonts w:cs="Calibri"/>
                <w:sz w:val="17"/>
                <w:szCs w:val="17"/>
                <w:lang w:eastAsia="en-AU"/>
              </w:rPr>
            </w:pPr>
            <w:r w:rsidRPr="00555A65">
              <w:rPr>
                <w:rFonts w:cs="Calibri"/>
                <w:sz w:val="17"/>
                <w:szCs w:val="17"/>
                <w:lang w:eastAsia="en-AU"/>
              </w:rPr>
              <w:t>Redfin perch</w:t>
            </w:r>
          </w:p>
        </w:tc>
        <w:tc>
          <w:tcPr>
            <w:tcW w:w="501" w:type="pct"/>
            <w:tcBorders>
              <w:top w:val="nil"/>
              <w:left w:val="nil"/>
              <w:bottom w:val="nil"/>
              <w:right w:val="nil"/>
            </w:tcBorders>
            <w:shd w:val="clear" w:color="auto" w:fill="auto"/>
            <w:noWrap/>
            <w:hideMark/>
          </w:tcPr>
          <w:p w14:paraId="19700F69" w14:textId="77777777" w:rsidR="00105D8A" w:rsidRPr="00555A65" w:rsidRDefault="00105D8A" w:rsidP="00A057F0">
            <w:pPr>
              <w:spacing w:after="0" w:line="240" w:lineRule="auto"/>
              <w:contextualSpacing/>
              <w:jc w:val="right"/>
              <w:rPr>
                <w:rFonts w:cs="Calibri"/>
                <w:sz w:val="17"/>
                <w:szCs w:val="17"/>
                <w:lang w:eastAsia="en-AU"/>
              </w:rPr>
            </w:pPr>
          </w:p>
        </w:tc>
        <w:tc>
          <w:tcPr>
            <w:tcW w:w="478" w:type="pct"/>
            <w:tcBorders>
              <w:top w:val="nil"/>
              <w:left w:val="nil"/>
              <w:bottom w:val="nil"/>
              <w:right w:val="nil"/>
            </w:tcBorders>
            <w:shd w:val="clear" w:color="auto" w:fill="auto"/>
            <w:noWrap/>
            <w:hideMark/>
          </w:tcPr>
          <w:p w14:paraId="7B0BF965" w14:textId="77777777" w:rsidR="00105D8A" w:rsidRPr="00555A65" w:rsidRDefault="00105D8A" w:rsidP="00A057F0">
            <w:pPr>
              <w:spacing w:after="0" w:line="240" w:lineRule="auto"/>
              <w:contextualSpacing/>
              <w:jc w:val="right"/>
              <w:rPr>
                <w:rFonts w:cs="Calibri"/>
                <w:sz w:val="17"/>
                <w:szCs w:val="17"/>
                <w:lang w:eastAsia="en-AU"/>
              </w:rPr>
            </w:pPr>
          </w:p>
        </w:tc>
        <w:tc>
          <w:tcPr>
            <w:tcW w:w="333" w:type="pct"/>
            <w:tcBorders>
              <w:top w:val="nil"/>
              <w:left w:val="nil"/>
              <w:bottom w:val="nil"/>
              <w:right w:val="nil"/>
            </w:tcBorders>
            <w:shd w:val="clear" w:color="auto" w:fill="auto"/>
            <w:noWrap/>
            <w:hideMark/>
          </w:tcPr>
          <w:p w14:paraId="156B981F" w14:textId="77777777" w:rsidR="00105D8A" w:rsidRPr="00555A65" w:rsidRDefault="00105D8A" w:rsidP="00A057F0">
            <w:pPr>
              <w:spacing w:after="0" w:line="240" w:lineRule="auto"/>
              <w:contextualSpacing/>
              <w:jc w:val="right"/>
              <w:rPr>
                <w:rFonts w:cs="Calibri"/>
                <w:sz w:val="17"/>
                <w:szCs w:val="17"/>
                <w:lang w:eastAsia="en-AU"/>
              </w:rPr>
            </w:pPr>
          </w:p>
        </w:tc>
        <w:tc>
          <w:tcPr>
            <w:tcW w:w="294" w:type="pct"/>
            <w:tcBorders>
              <w:top w:val="nil"/>
              <w:left w:val="nil"/>
              <w:bottom w:val="nil"/>
              <w:right w:val="nil"/>
            </w:tcBorders>
            <w:shd w:val="clear" w:color="auto" w:fill="auto"/>
            <w:noWrap/>
            <w:hideMark/>
          </w:tcPr>
          <w:p w14:paraId="5BB79DA0" w14:textId="77777777" w:rsidR="00105D8A" w:rsidRPr="00555A65" w:rsidRDefault="00105D8A" w:rsidP="00A057F0">
            <w:pPr>
              <w:spacing w:after="0" w:line="240" w:lineRule="auto"/>
              <w:contextualSpacing/>
              <w:jc w:val="right"/>
              <w:rPr>
                <w:rFonts w:cs="Calibri"/>
                <w:sz w:val="17"/>
                <w:szCs w:val="17"/>
                <w:lang w:eastAsia="en-AU"/>
              </w:rPr>
            </w:pPr>
          </w:p>
        </w:tc>
        <w:tc>
          <w:tcPr>
            <w:tcW w:w="322" w:type="pct"/>
            <w:tcBorders>
              <w:top w:val="nil"/>
              <w:left w:val="nil"/>
              <w:bottom w:val="nil"/>
              <w:right w:val="nil"/>
            </w:tcBorders>
            <w:shd w:val="clear" w:color="auto" w:fill="auto"/>
            <w:noWrap/>
            <w:hideMark/>
          </w:tcPr>
          <w:p w14:paraId="2E26DE17" w14:textId="77777777" w:rsidR="00105D8A" w:rsidRPr="00555A65" w:rsidRDefault="00105D8A" w:rsidP="00A057F0">
            <w:pPr>
              <w:spacing w:after="0" w:line="240" w:lineRule="auto"/>
              <w:contextualSpacing/>
              <w:jc w:val="right"/>
              <w:rPr>
                <w:rFonts w:cs="Calibri"/>
                <w:sz w:val="17"/>
                <w:szCs w:val="17"/>
                <w:lang w:eastAsia="en-AU"/>
              </w:rPr>
            </w:pPr>
          </w:p>
        </w:tc>
        <w:tc>
          <w:tcPr>
            <w:tcW w:w="353" w:type="pct"/>
            <w:tcBorders>
              <w:top w:val="nil"/>
              <w:left w:val="nil"/>
              <w:bottom w:val="nil"/>
              <w:right w:val="nil"/>
            </w:tcBorders>
            <w:shd w:val="clear" w:color="auto" w:fill="auto"/>
            <w:noWrap/>
            <w:hideMark/>
          </w:tcPr>
          <w:p w14:paraId="2422DF77" w14:textId="77777777" w:rsidR="00105D8A" w:rsidRPr="00555A65" w:rsidRDefault="00105D8A" w:rsidP="00A057F0">
            <w:pPr>
              <w:spacing w:after="0" w:line="240" w:lineRule="auto"/>
              <w:contextualSpacing/>
              <w:jc w:val="right"/>
              <w:rPr>
                <w:rFonts w:cs="Calibri"/>
                <w:sz w:val="17"/>
                <w:szCs w:val="17"/>
                <w:lang w:eastAsia="en-AU"/>
              </w:rPr>
            </w:pPr>
          </w:p>
        </w:tc>
        <w:tc>
          <w:tcPr>
            <w:tcW w:w="427" w:type="pct"/>
            <w:tcBorders>
              <w:top w:val="nil"/>
              <w:left w:val="nil"/>
              <w:bottom w:val="nil"/>
              <w:right w:val="nil"/>
            </w:tcBorders>
            <w:shd w:val="clear" w:color="auto" w:fill="auto"/>
            <w:noWrap/>
            <w:hideMark/>
          </w:tcPr>
          <w:p w14:paraId="68E39A2A" w14:textId="77777777" w:rsidR="00105D8A" w:rsidRPr="00555A65" w:rsidRDefault="00105D8A" w:rsidP="00A057F0">
            <w:pPr>
              <w:spacing w:after="0" w:line="240" w:lineRule="auto"/>
              <w:contextualSpacing/>
              <w:jc w:val="right"/>
              <w:rPr>
                <w:rFonts w:cs="Calibri"/>
                <w:sz w:val="17"/>
                <w:szCs w:val="17"/>
                <w:lang w:eastAsia="en-AU"/>
              </w:rPr>
            </w:pPr>
          </w:p>
        </w:tc>
        <w:tc>
          <w:tcPr>
            <w:tcW w:w="438" w:type="pct"/>
            <w:tcBorders>
              <w:top w:val="nil"/>
              <w:left w:val="nil"/>
              <w:bottom w:val="nil"/>
              <w:right w:val="nil"/>
            </w:tcBorders>
            <w:shd w:val="clear" w:color="auto" w:fill="auto"/>
            <w:noWrap/>
            <w:hideMark/>
          </w:tcPr>
          <w:p w14:paraId="7E9E3776" w14:textId="77777777" w:rsidR="00105D8A" w:rsidRPr="00555A65" w:rsidRDefault="00105D8A" w:rsidP="00A057F0">
            <w:pPr>
              <w:spacing w:after="0" w:line="240" w:lineRule="auto"/>
              <w:contextualSpacing/>
              <w:jc w:val="right"/>
              <w:rPr>
                <w:rFonts w:cs="Calibri"/>
                <w:sz w:val="17"/>
                <w:szCs w:val="17"/>
                <w:lang w:eastAsia="en-AU"/>
              </w:rPr>
            </w:pPr>
          </w:p>
        </w:tc>
        <w:tc>
          <w:tcPr>
            <w:tcW w:w="443" w:type="pct"/>
            <w:tcBorders>
              <w:top w:val="nil"/>
              <w:left w:val="nil"/>
              <w:bottom w:val="nil"/>
              <w:right w:val="nil"/>
            </w:tcBorders>
            <w:shd w:val="clear" w:color="auto" w:fill="auto"/>
            <w:noWrap/>
            <w:hideMark/>
          </w:tcPr>
          <w:p w14:paraId="16C2B3E3" w14:textId="77777777" w:rsidR="00105D8A" w:rsidRPr="00555A65" w:rsidRDefault="00105D8A" w:rsidP="00A057F0">
            <w:pPr>
              <w:spacing w:after="0" w:line="240" w:lineRule="auto"/>
              <w:contextualSpacing/>
              <w:jc w:val="right"/>
              <w:rPr>
                <w:rFonts w:cs="Calibri"/>
                <w:sz w:val="17"/>
                <w:szCs w:val="17"/>
                <w:lang w:eastAsia="en-AU"/>
              </w:rPr>
            </w:pPr>
          </w:p>
        </w:tc>
        <w:tc>
          <w:tcPr>
            <w:tcW w:w="381" w:type="pct"/>
            <w:tcBorders>
              <w:top w:val="nil"/>
              <w:left w:val="nil"/>
              <w:bottom w:val="nil"/>
              <w:right w:val="nil"/>
            </w:tcBorders>
            <w:shd w:val="clear" w:color="auto" w:fill="auto"/>
            <w:noWrap/>
            <w:hideMark/>
          </w:tcPr>
          <w:p w14:paraId="467BD56B" w14:textId="77777777" w:rsidR="00105D8A" w:rsidRPr="00555A65" w:rsidRDefault="00105D8A" w:rsidP="00A057F0">
            <w:pPr>
              <w:spacing w:after="0" w:line="240" w:lineRule="auto"/>
              <w:contextualSpacing/>
              <w:jc w:val="right"/>
              <w:rPr>
                <w:rFonts w:cs="Calibri"/>
                <w:sz w:val="17"/>
                <w:szCs w:val="17"/>
                <w:lang w:eastAsia="en-AU"/>
              </w:rPr>
            </w:pPr>
          </w:p>
        </w:tc>
        <w:tc>
          <w:tcPr>
            <w:tcW w:w="380" w:type="pct"/>
            <w:tcBorders>
              <w:top w:val="nil"/>
              <w:left w:val="nil"/>
              <w:bottom w:val="nil"/>
              <w:right w:val="nil"/>
            </w:tcBorders>
            <w:shd w:val="clear" w:color="auto" w:fill="auto"/>
            <w:noWrap/>
            <w:vAlign w:val="bottom"/>
            <w:hideMark/>
          </w:tcPr>
          <w:p w14:paraId="17B74E6D" w14:textId="77777777" w:rsidR="00105D8A" w:rsidRPr="00555A65" w:rsidRDefault="00105D8A" w:rsidP="00A057F0">
            <w:pPr>
              <w:spacing w:after="0" w:line="240" w:lineRule="auto"/>
              <w:contextualSpacing/>
              <w:jc w:val="right"/>
              <w:rPr>
                <w:rFonts w:cs="Calibri"/>
                <w:b/>
                <w:bCs/>
                <w:sz w:val="17"/>
                <w:szCs w:val="17"/>
                <w:lang w:eastAsia="en-AU"/>
              </w:rPr>
            </w:pPr>
            <w:r w:rsidRPr="00555A65">
              <w:rPr>
                <w:b/>
                <w:sz w:val="17"/>
                <w:szCs w:val="17"/>
              </w:rPr>
              <w:t>0</w:t>
            </w:r>
          </w:p>
        </w:tc>
      </w:tr>
      <w:tr w:rsidR="00396077" w:rsidRPr="00555A65" w14:paraId="1751AD1D" w14:textId="77777777" w:rsidTr="00396077">
        <w:trPr>
          <w:trHeight w:val="227"/>
        </w:trPr>
        <w:tc>
          <w:tcPr>
            <w:tcW w:w="650" w:type="pct"/>
            <w:tcBorders>
              <w:top w:val="nil"/>
              <w:left w:val="nil"/>
              <w:bottom w:val="single" w:sz="4" w:space="0" w:color="auto"/>
              <w:right w:val="nil"/>
            </w:tcBorders>
            <w:shd w:val="clear" w:color="auto" w:fill="auto"/>
            <w:noWrap/>
            <w:vAlign w:val="bottom"/>
            <w:hideMark/>
          </w:tcPr>
          <w:p w14:paraId="6DD53B22" w14:textId="77777777" w:rsidR="00105D8A" w:rsidRPr="00555A65" w:rsidRDefault="00105D8A" w:rsidP="00A057F0">
            <w:pPr>
              <w:spacing w:after="0" w:line="240" w:lineRule="auto"/>
              <w:contextualSpacing/>
              <w:jc w:val="right"/>
              <w:rPr>
                <w:rFonts w:cs="Calibri"/>
                <w:b/>
                <w:bCs/>
                <w:sz w:val="17"/>
                <w:szCs w:val="17"/>
                <w:lang w:eastAsia="en-AU"/>
              </w:rPr>
            </w:pPr>
            <w:r w:rsidRPr="00555A65">
              <w:rPr>
                <w:rFonts w:cs="Calibri"/>
                <w:b/>
                <w:bCs/>
                <w:sz w:val="17"/>
                <w:szCs w:val="17"/>
                <w:lang w:eastAsia="en-AU"/>
              </w:rPr>
              <w:t>Total</w:t>
            </w:r>
          </w:p>
        </w:tc>
        <w:tc>
          <w:tcPr>
            <w:tcW w:w="501" w:type="pct"/>
            <w:tcBorders>
              <w:top w:val="nil"/>
              <w:left w:val="nil"/>
              <w:bottom w:val="single" w:sz="4" w:space="0" w:color="auto"/>
              <w:right w:val="nil"/>
            </w:tcBorders>
            <w:shd w:val="clear" w:color="auto" w:fill="auto"/>
            <w:noWrap/>
            <w:hideMark/>
          </w:tcPr>
          <w:p w14:paraId="284A8B27" w14:textId="42752FD5" w:rsidR="00105D8A" w:rsidRPr="00555A65" w:rsidRDefault="00105D8A" w:rsidP="00A057F0">
            <w:pPr>
              <w:spacing w:after="0" w:line="240" w:lineRule="auto"/>
              <w:contextualSpacing/>
              <w:jc w:val="right"/>
              <w:rPr>
                <w:rFonts w:cs="Calibri"/>
                <w:b/>
                <w:bCs/>
                <w:sz w:val="17"/>
                <w:szCs w:val="17"/>
                <w:lang w:eastAsia="en-AU"/>
              </w:rPr>
            </w:pPr>
            <w:r w:rsidRPr="00555A65">
              <w:rPr>
                <w:b/>
                <w:sz w:val="17"/>
                <w:szCs w:val="17"/>
              </w:rPr>
              <w:t>1,027</w:t>
            </w:r>
          </w:p>
        </w:tc>
        <w:tc>
          <w:tcPr>
            <w:tcW w:w="478" w:type="pct"/>
            <w:tcBorders>
              <w:top w:val="nil"/>
              <w:left w:val="nil"/>
              <w:bottom w:val="single" w:sz="4" w:space="0" w:color="auto"/>
              <w:right w:val="nil"/>
            </w:tcBorders>
            <w:shd w:val="clear" w:color="auto" w:fill="auto"/>
            <w:noWrap/>
            <w:hideMark/>
          </w:tcPr>
          <w:p w14:paraId="4EC91E20" w14:textId="24B8C410" w:rsidR="00105D8A" w:rsidRPr="00555A65" w:rsidRDefault="00105D8A" w:rsidP="00A057F0">
            <w:pPr>
              <w:spacing w:after="0" w:line="240" w:lineRule="auto"/>
              <w:contextualSpacing/>
              <w:jc w:val="right"/>
              <w:rPr>
                <w:rFonts w:cs="Calibri"/>
                <w:b/>
                <w:bCs/>
                <w:sz w:val="17"/>
                <w:szCs w:val="17"/>
                <w:lang w:eastAsia="en-AU"/>
              </w:rPr>
            </w:pPr>
            <w:r w:rsidRPr="00555A65">
              <w:rPr>
                <w:b/>
                <w:sz w:val="17"/>
                <w:szCs w:val="17"/>
              </w:rPr>
              <w:t>884</w:t>
            </w:r>
          </w:p>
        </w:tc>
        <w:tc>
          <w:tcPr>
            <w:tcW w:w="333" w:type="pct"/>
            <w:tcBorders>
              <w:top w:val="nil"/>
              <w:left w:val="nil"/>
              <w:bottom w:val="single" w:sz="4" w:space="0" w:color="auto"/>
              <w:right w:val="nil"/>
            </w:tcBorders>
            <w:shd w:val="clear" w:color="auto" w:fill="auto"/>
            <w:noWrap/>
            <w:hideMark/>
          </w:tcPr>
          <w:p w14:paraId="14958BFE" w14:textId="5F4670CD" w:rsidR="00105D8A" w:rsidRPr="00555A65" w:rsidRDefault="00105D8A" w:rsidP="00A057F0">
            <w:pPr>
              <w:spacing w:after="0" w:line="240" w:lineRule="auto"/>
              <w:contextualSpacing/>
              <w:jc w:val="right"/>
              <w:rPr>
                <w:rFonts w:cs="Calibri"/>
                <w:b/>
                <w:bCs/>
                <w:sz w:val="17"/>
                <w:szCs w:val="17"/>
                <w:lang w:eastAsia="en-AU"/>
              </w:rPr>
            </w:pPr>
            <w:r w:rsidRPr="00555A65">
              <w:rPr>
                <w:b/>
                <w:sz w:val="17"/>
                <w:szCs w:val="17"/>
              </w:rPr>
              <w:t>1,728</w:t>
            </w:r>
          </w:p>
        </w:tc>
        <w:tc>
          <w:tcPr>
            <w:tcW w:w="294" w:type="pct"/>
            <w:tcBorders>
              <w:top w:val="nil"/>
              <w:left w:val="nil"/>
              <w:bottom w:val="single" w:sz="4" w:space="0" w:color="auto"/>
              <w:right w:val="nil"/>
            </w:tcBorders>
            <w:shd w:val="clear" w:color="auto" w:fill="auto"/>
            <w:noWrap/>
            <w:hideMark/>
          </w:tcPr>
          <w:p w14:paraId="482844FF" w14:textId="2C626441" w:rsidR="00105D8A" w:rsidRPr="00555A65" w:rsidRDefault="00105D8A" w:rsidP="00A057F0">
            <w:pPr>
              <w:spacing w:after="0" w:line="240" w:lineRule="auto"/>
              <w:contextualSpacing/>
              <w:jc w:val="right"/>
              <w:rPr>
                <w:rFonts w:cs="Calibri"/>
                <w:b/>
                <w:bCs/>
                <w:sz w:val="17"/>
                <w:szCs w:val="17"/>
                <w:lang w:eastAsia="en-AU"/>
              </w:rPr>
            </w:pPr>
            <w:r w:rsidRPr="00555A65">
              <w:rPr>
                <w:b/>
                <w:sz w:val="17"/>
                <w:szCs w:val="17"/>
              </w:rPr>
              <w:t>596</w:t>
            </w:r>
          </w:p>
        </w:tc>
        <w:tc>
          <w:tcPr>
            <w:tcW w:w="322" w:type="pct"/>
            <w:tcBorders>
              <w:top w:val="nil"/>
              <w:left w:val="nil"/>
              <w:bottom w:val="single" w:sz="4" w:space="0" w:color="auto"/>
              <w:right w:val="nil"/>
            </w:tcBorders>
            <w:shd w:val="clear" w:color="auto" w:fill="auto"/>
            <w:noWrap/>
            <w:hideMark/>
          </w:tcPr>
          <w:p w14:paraId="4BEBCD8B" w14:textId="55ACEE26" w:rsidR="00105D8A" w:rsidRPr="00555A65" w:rsidRDefault="00105D8A" w:rsidP="00A057F0">
            <w:pPr>
              <w:spacing w:after="0" w:line="240" w:lineRule="auto"/>
              <w:contextualSpacing/>
              <w:jc w:val="right"/>
              <w:rPr>
                <w:rFonts w:cs="Calibri"/>
                <w:b/>
                <w:bCs/>
                <w:sz w:val="17"/>
                <w:szCs w:val="17"/>
                <w:lang w:eastAsia="en-AU"/>
              </w:rPr>
            </w:pPr>
            <w:r w:rsidRPr="00555A65">
              <w:rPr>
                <w:b/>
                <w:sz w:val="17"/>
                <w:szCs w:val="17"/>
              </w:rPr>
              <w:t>112</w:t>
            </w:r>
          </w:p>
        </w:tc>
        <w:tc>
          <w:tcPr>
            <w:tcW w:w="353" w:type="pct"/>
            <w:tcBorders>
              <w:top w:val="nil"/>
              <w:left w:val="nil"/>
              <w:bottom w:val="single" w:sz="4" w:space="0" w:color="auto"/>
              <w:right w:val="nil"/>
            </w:tcBorders>
            <w:shd w:val="clear" w:color="auto" w:fill="auto"/>
            <w:noWrap/>
            <w:hideMark/>
          </w:tcPr>
          <w:p w14:paraId="30391E58" w14:textId="66390E28" w:rsidR="00105D8A" w:rsidRPr="00555A65" w:rsidRDefault="00105D8A" w:rsidP="00A057F0">
            <w:pPr>
              <w:spacing w:after="0" w:line="240" w:lineRule="auto"/>
              <w:contextualSpacing/>
              <w:jc w:val="right"/>
              <w:rPr>
                <w:rFonts w:cs="Calibri"/>
                <w:b/>
                <w:bCs/>
                <w:sz w:val="17"/>
                <w:szCs w:val="17"/>
                <w:lang w:eastAsia="en-AU"/>
              </w:rPr>
            </w:pPr>
            <w:r w:rsidRPr="00555A65">
              <w:rPr>
                <w:b/>
                <w:sz w:val="17"/>
                <w:szCs w:val="17"/>
              </w:rPr>
              <w:t>790</w:t>
            </w:r>
          </w:p>
        </w:tc>
        <w:tc>
          <w:tcPr>
            <w:tcW w:w="427" w:type="pct"/>
            <w:tcBorders>
              <w:top w:val="nil"/>
              <w:left w:val="nil"/>
              <w:bottom w:val="single" w:sz="4" w:space="0" w:color="auto"/>
              <w:right w:val="nil"/>
            </w:tcBorders>
            <w:shd w:val="clear" w:color="auto" w:fill="auto"/>
            <w:noWrap/>
            <w:hideMark/>
          </w:tcPr>
          <w:p w14:paraId="1A4DEF70" w14:textId="35E0F304" w:rsidR="00105D8A" w:rsidRPr="00555A65" w:rsidRDefault="00105D8A" w:rsidP="00A057F0">
            <w:pPr>
              <w:spacing w:after="0" w:line="240" w:lineRule="auto"/>
              <w:contextualSpacing/>
              <w:jc w:val="right"/>
              <w:rPr>
                <w:rFonts w:cs="Calibri"/>
                <w:b/>
                <w:bCs/>
                <w:sz w:val="17"/>
                <w:szCs w:val="17"/>
                <w:lang w:eastAsia="en-AU"/>
              </w:rPr>
            </w:pPr>
            <w:r w:rsidRPr="00555A65">
              <w:rPr>
                <w:b/>
                <w:sz w:val="17"/>
                <w:szCs w:val="17"/>
              </w:rPr>
              <w:t>763</w:t>
            </w:r>
          </w:p>
        </w:tc>
        <w:tc>
          <w:tcPr>
            <w:tcW w:w="438" w:type="pct"/>
            <w:tcBorders>
              <w:top w:val="nil"/>
              <w:left w:val="nil"/>
              <w:bottom w:val="single" w:sz="4" w:space="0" w:color="auto"/>
              <w:right w:val="nil"/>
            </w:tcBorders>
            <w:shd w:val="clear" w:color="auto" w:fill="auto"/>
            <w:noWrap/>
            <w:hideMark/>
          </w:tcPr>
          <w:p w14:paraId="3AE74A85" w14:textId="11D7BC2B" w:rsidR="00105D8A" w:rsidRPr="00555A65" w:rsidRDefault="00105D8A" w:rsidP="00A057F0">
            <w:pPr>
              <w:spacing w:after="0" w:line="240" w:lineRule="auto"/>
              <w:contextualSpacing/>
              <w:jc w:val="right"/>
              <w:rPr>
                <w:rFonts w:cs="Calibri"/>
                <w:b/>
                <w:bCs/>
                <w:sz w:val="17"/>
                <w:szCs w:val="17"/>
                <w:lang w:eastAsia="en-AU"/>
              </w:rPr>
            </w:pPr>
            <w:r w:rsidRPr="00555A65">
              <w:rPr>
                <w:b/>
                <w:sz w:val="17"/>
                <w:szCs w:val="17"/>
              </w:rPr>
              <w:t>806</w:t>
            </w:r>
          </w:p>
        </w:tc>
        <w:tc>
          <w:tcPr>
            <w:tcW w:w="443" w:type="pct"/>
            <w:tcBorders>
              <w:top w:val="nil"/>
              <w:left w:val="nil"/>
              <w:bottom w:val="single" w:sz="4" w:space="0" w:color="auto"/>
              <w:right w:val="nil"/>
            </w:tcBorders>
            <w:shd w:val="clear" w:color="auto" w:fill="auto"/>
            <w:noWrap/>
            <w:hideMark/>
          </w:tcPr>
          <w:p w14:paraId="562297F2" w14:textId="1C5A7DB0" w:rsidR="00105D8A" w:rsidRPr="00555A65" w:rsidRDefault="00105D8A" w:rsidP="00A057F0">
            <w:pPr>
              <w:spacing w:after="0" w:line="240" w:lineRule="auto"/>
              <w:contextualSpacing/>
              <w:jc w:val="right"/>
              <w:rPr>
                <w:rFonts w:cs="Calibri"/>
                <w:b/>
                <w:bCs/>
                <w:sz w:val="17"/>
                <w:szCs w:val="17"/>
                <w:lang w:eastAsia="en-AU"/>
              </w:rPr>
            </w:pPr>
            <w:r w:rsidRPr="00555A65">
              <w:rPr>
                <w:b/>
                <w:sz w:val="17"/>
                <w:szCs w:val="17"/>
              </w:rPr>
              <w:t>664</w:t>
            </w:r>
          </w:p>
        </w:tc>
        <w:tc>
          <w:tcPr>
            <w:tcW w:w="381" w:type="pct"/>
            <w:tcBorders>
              <w:top w:val="nil"/>
              <w:left w:val="nil"/>
              <w:bottom w:val="single" w:sz="4" w:space="0" w:color="auto"/>
              <w:right w:val="nil"/>
            </w:tcBorders>
            <w:shd w:val="clear" w:color="auto" w:fill="auto"/>
            <w:noWrap/>
            <w:hideMark/>
          </w:tcPr>
          <w:p w14:paraId="082C11A2" w14:textId="56948807" w:rsidR="00105D8A" w:rsidRPr="00555A65" w:rsidRDefault="00105D8A" w:rsidP="00A057F0">
            <w:pPr>
              <w:spacing w:after="0" w:line="240" w:lineRule="auto"/>
              <w:contextualSpacing/>
              <w:jc w:val="right"/>
              <w:rPr>
                <w:rFonts w:cs="Calibri"/>
                <w:b/>
                <w:bCs/>
                <w:sz w:val="17"/>
                <w:szCs w:val="17"/>
                <w:lang w:eastAsia="en-AU"/>
              </w:rPr>
            </w:pPr>
            <w:r w:rsidRPr="00555A65">
              <w:rPr>
                <w:b/>
                <w:sz w:val="17"/>
                <w:szCs w:val="17"/>
              </w:rPr>
              <w:t>622</w:t>
            </w:r>
          </w:p>
        </w:tc>
        <w:tc>
          <w:tcPr>
            <w:tcW w:w="380" w:type="pct"/>
            <w:tcBorders>
              <w:top w:val="nil"/>
              <w:left w:val="nil"/>
              <w:bottom w:val="single" w:sz="4" w:space="0" w:color="auto"/>
              <w:right w:val="nil"/>
            </w:tcBorders>
            <w:shd w:val="clear" w:color="auto" w:fill="auto"/>
            <w:noWrap/>
            <w:vAlign w:val="bottom"/>
            <w:hideMark/>
          </w:tcPr>
          <w:p w14:paraId="1DAD2ADA" w14:textId="77777777" w:rsidR="00105D8A" w:rsidRPr="00555A65" w:rsidRDefault="00105D8A" w:rsidP="00A057F0">
            <w:pPr>
              <w:spacing w:after="0" w:line="240" w:lineRule="auto"/>
              <w:contextualSpacing/>
              <w:jc w:val="right"/>
              <w:rPr>
                <w:rFonts w:cs="Calibri"/>
                <w:b/>
                <w:bCs/>
                <w:sz w:val="17"/>
                <w:szCs w:val="17"/>
                <w:lang w:eastAsia="en-AU"/>
              </w:rPr>
            </w:pPr>
            <w:r w:rsidRPr="00555A65">
              <w:rPr>
                <w:b/>
                <w:sz w:val="17"/>
                <w:szCs w:val="17"/>
              </w:rPr>
              <w:t>7,992</w:t>
            </w:r>
          </w:p>
        </w:tc>
      </w:tr>
    </w:tbl>
    <w:p w14:paraId="7DA4AE70" w14:textId="77777777" w:rsidR="00805881" w:rsidRDefault="00805881" w:rsidP="00805881"/>
    <w:p w14:paraId="31C501AA" w14:textId="77777777" w:rsidR="00805881" w:rsidRPr="00285A61" w:rsidRDefault="00805881" w:rsidP="00805881">
      <w:pPr>
        <w:rPr>
          <w:highlight w:val="yellow"/>
        </w:rPr>
      </w:pPr>
    </w:p>
    <w:p w14:paraId="6DDD9DB6" w14:textId="77777777" w:rsidR="00805881" w:rsidRDefault="00805881" w:rsidP="00805881">
      <w:pPr>
        <w:spacing w:before="0" w:after="200" w:line="276" w:lineRule="auto"/>
        <w:rPr>
          <w:highlight w:val="yellow"/>
        </w:rPr>
        <w:sectPr w:rsidR="00805881" w:rsidSect="007C2425">
          <w:pgSz w:w="16840" w:h="11900" w:orient="landscape" w:code="9"/>
          <w:pgMar w:top="1440" w:right="1440" w:bottom="1440" w:left="1440" w:header="709" w:footer="709" w:gutter="0"/>
          <w:cols w:space="708"/>
          <w:docGrid w:linePitch="360"/>
        </w:sectPr>
      </w:pPr>
    </w:p>
    <w:p w14:paraId="69F84FD7" w14:textId="77777777" w:rsidR="00805881" w:rsidRPr="00641F42" w:rsidRDefault="00805881" w:rsidP="00B46038">
      <w:pPr>
        <w:pStyle w:val="Captions"/>
      </w:pPr>
      <w:r>
        <w:lastRenderedPageBreak/>
        <w:t>Table D2</w:t>
      </w:r>
      <w:r w:rsidRPr="00641F42">
        <w:t xml:space="preserve">. </w:t>
      </w:r>
      <w:r>
        <w:t>Fyke net c</w:t>
      </w:r>
      <w:r w:rsidRPr="00641F42">
        <w:t>atch summary (total catch</w:t>
      </w:r>
      <w:r>
        <w:t>, 10 nets per site</w:t>
      </w:r>
      <w:r w:rsidRPr="00641F42">
        <w:t>) for small-bodied fish species in the gorge geomorphic zone of the LMR Selected Area</w:t>
      </w:r>
      <w:r>
        <w:t xml:space="preserve"> for autumn 2015 and 2016</w:t>
      </w:r>
      <w:r w:rsidRPr="00641F42">
        <w:t>. Site numbering increases with distance upstream.</w:t>
      </w:r>
    </w:p>
    <w:tbl>
      <w:tblPr>
        <w:tblW w:w="4689" w:type="pct"/>
        <w:tblLook w:val="04A0" w:firstRow="1" w:lastRow="0" w:firstColumn="1" w:lastColumn="0" w:noHBand="0" w:noVBand="1"/>
      </w:tblPr>
      <w:tblGrid>
        <w:gridCol w:w="2517"/>
        <w:gridCol w:w="1306"/>
        <w:gridCol w:w="1246"/>
        <w:gridCol w:w="869"/>
        <w:gridCol w:w="766"/>
        <w:gridCol w:w="839"/>
        <w:gridCol w:w="921"/>
        <w:gridCol w:w="1113"/>
        <w:gridCol w:w="1142"/>
        <w:gridCol w:w="990"/>
        <w:gridCol w:w="990"/>
        <w:gridCol w:w="740"/>
      </w:tblGrid>
      <w:tr w:rsidR="00805881" w:rsidRPr="00555A65" w14:paraId="39259F4B" w14:textId="77777777" w:rsidTr="003D371F">
        <w:trPr>
          <w:trHeight w:val="227"/>
        </w:trPr>
        <w:tc>
          <w:tcPr>
            <w:tcW w:w="910" w:type="pct"/>
            <w:tcBorders>
              <w:top w:val="single" w:sz="4" w:space="0" w:color="auto"/>
              <w:left w:val="nil"/>
              <w:bottom w:val="nil"/>
              <w:right w:val="nil"/>
            </w:tcBorders>
            <w:shd w:val="clear" w:color="auto" w:fill="auto"/>
            <w:noWrap/>
            <w:vAlign w:val="bottom"/>
            <w:hideMark/>
          </w:tcPr>
          <w:p w14:paraId="761BEDB4" w14:textId="77777777" w:rsidR="00805881" w:rsidRPr="00555A65" w:rsidRDefault="00805881" w:rsidP="003D371F">
            <w:pPr>
              <w:spacing w:after="0" w:line="240" w:lineRule="auto"/>
              <w:contextualSpacing/>
              <w:rPr>
                <w:rFonts w:cs="Calibri"/>
                <w:b/>
                <w:bCs/>
                <w:sz w:val="17"/>
                <w:szCs w:val="17"/>
                <w:lang w:eastAsia="en-AU"/>
              </w:rPr>
            </w:pPr>
            <w:r w:rsidRPr="00555A65">
              <w:rPr>
                <w:rFonts w:cs="Calibri"/>
                <w:b/>
                <w:bCs/>
                <w:sz w:val="17"/>
                <w:szCs w:val="17"/>
                <w:lang w:eastAsia="en-AU"/>
              </w:rPr>
              <w:t>Site No.</w:t>
            </w:r>
          </w:p>
        </w:tc>
        <w:tc>
          <w:tcPr>
            <w:tcW w:w="479" w:type="pct"/>
            <w:tcBorders>
              <w:top w:val="single" w:sz="4" w:space="0" w:color="auto"/>
              <w:left w:val="nil"/>
              <w:bottom w:val="nil"/>
              <w:right w:val="nil"/>
            </w:tcBorders>
            <w:shd w:val="clear" w:color="auto" w:fill="auto"/>
            <w:noWrap/>
            <w:vAlign w:val="bottom"/>
            <w:hideMark/>
          </w:tcPr>
          <w:p w14:paraId="287B033C"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1</w:t>
            </w:r>
          </w:p>
        </w:tc>
        <w:tc>
          <w:tcPr>
            <w:tcW w:w="457" w:type="pct"/>
            <w:tcBorders>
              <w:top w:val="single" w:sz="4" w:space="0" w:color="auto"/>
              <w:left w:val="nil"/>
              <w:bottom w:val="nil"/>
              <w:right w:val="nil"/>
            </w:tcBorders>
            <w:shd w:val="clear" w:color="auto" w:fill="auto"/>
            <w:noWrap/>
            <w:vAlign w:val="bottom"/>
            <w:hideMark/>
          </w:tcPr>
          <w:p w14:paraId="1237DD8E"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2</w:t>
            </w:r>
          </w:p>
        </w:tc>
        <w:tc>
          <w:tcPr>
            <w:tcW w:w="320" w:type="pct"/>
            <w:tcBorders>
              <w:top w:val="single" w:sz="4" w:space="0" w:color="auto"/>
              <w:left w:val="nil"/>
              <w:bottom w:val="nil"/>
              <w:right w:val="nil"/>
            </w:tcBorders>
            <w:shd w:val="clear" w:color="auto" w:fill="auto"/>
            <w:noWrap/>
            <w:vAlign w:val="bottom"/>
            <w:hideMark/>
          </w:tcPr>
          <w:p w14:paraId="043B5261"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3</w:t>
            </w:r>
          </w:p>
        </w:tc>
        <w:tc>
          <w:tcPr>
            <w:tcW w:w="280" w:type="pct"/>
            <w:tcBorders>
              <w:top w:val="single" w:sz="4" w:space="0" w:color="auto"/>
              <w:left w:val="nil"/>
              <w:bottom w:val="nil"/>
              <w:right w:val="nil"/>
            </w:tcBorders>
            <w:shd w:val="clear" w:color="auto" w:fill="auto"/>
            <w:noWrap/>
            <w:vAlign w:val="bottom"/>
            <w:hideMark/>
          </w:tcPr>
          <w:p w14:paraId="72D3F2C8"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4</w:t>
            </w:r>
          </w:p>
        </w:tc>
        <w:tc>
          <w:tcPr>
            <w:tcW w:w="307" w:type="pct"/>
            <w:tcBorders>
              <w:top w:val="single" w:sz="4" w:space="0" w:color="auto"/>
              <w:left w:val="nil"/>
              <w:bottom w:val="nil"/>
              <w:right w:val="nil"/>
            </w:tcBorders>
            <w:shd w:val="clear" w:color="auto" w:fill="auto"/>
            <w:noWrap/>
            <w:vAlign w:val="bottom"/>
            <w:hideMark/>
          </w:tcPr>
          <w:p w14:paraId="4815CE8E"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5</w:t>
            </w:r>
          </w:p>
        </w:tc>
        <w:tc>
          <w:tcPr>
            <w:tcW w:w="351" w:type="pct"/>
            <w:tcBorders>
              <w:top w:val="single" w:sz="4" w:space="0" w:color="auto"/>
              <w:left w:val="nil"/>
              <w:bottom w:val="nil"/>
              <w:right w:val="nil"/>
            </w:tcBorders>
            <w:shd w:val="clear" w:color="auto" w:fill="auto"/>
            <w:noWrap/>
            <w:vAlign w:val="bottom"/>
            <w:hideMark/>
          </w:tcPr>
          <w:p w14:paraId="07A1E6A5"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6</w:t>
            </w:r>
          </w:p>
        </w:tc>
        <w:tc>
          <w:tcPr>
            <w:tcW w:w="411" w:type="pct"/>
            <w:tcBorders>
              <w:top w:val="single" w:sz="4" w:space="0" w:color="auto"/>
              <w:left w:val="nil"/>
              <w:bottom w:val="nil"/>
              <w:right w:val="nil"/>
            </w:tcBorders>
            <w:shd w:val="clear" w:color="auto" w:fill="auto"/>
            <w:noWrap/>
            <w:vAlign w:val="bottom"/>
            <w:hideMark/>
          </w:tcPr>
          <w:p w14:paraId="6919FF3C"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7</w:t>
            </w:r>
          </w:p>
        </w:tc>
        <w:tc>
          <w:tcPr>
            <w:tcW w:w="415" w:type="pct"/>
            <w:tcBorders>
              <w:top w:val="single" w:sz="4" w:space="0" w:color="auto"/>
              <w:left w:val="nil"/>
              <w:bottom w:val="nil"/>
              <w:right w:val="nil"/>
            </w:tcBorders>
            <w:shd w:val="clear" w:color="auto" w:fill="auto"/>
            <w:noWrap/>
            <w:vAlign w:val="bottom"/>
            <w:hideMark/>
          </w:tcPr>
          <w:p w14:paraId="2561A2F3"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8</w:t>
            </w:r>
          </w:p>
        </w:tc>
        <w:tc>
          <w:tcPr>
            <w:tcW w:w="361" w:type="pct"/>
            <w:tcBorders>
              <w:top w:val="single" w:sz="4" w:space="0" w:color="auto"/>
              <w:left w:val="nil"/>
              <w:bottom w:val="nil"/>
              <w:right w:val="nil"/>
            </w:tcBorders>
            <w:shd w:val="clear" w:color="auto" w:fill="auto"/>
            <w:noWrap/>
            <w:vAlign w:val="bottom"/>
            <w:hideMark/>
          </w:tcPr>
          <w:p w14:paraId="2DB50B50"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9</w:t>
            </w:r>
          </w:p>
        </w:tc>
        <w:tc>
          <w:tcPr>
            <w:tcW w:w="361" w:type="pct"/>
            <w:tcBorders>
              <w:top w:val="single" w:sz="4" w:space="0" w:color="auto"/>
              <w:left w:val="nil"/>
              <w:bottom w:val="nil"/>
              <w:right w:val="nil"/>
            </w:tcBorders>
            <w:shd w:val="clear" w:color="auto" w:fill="auto"/>
            <w:noWrap/>
            <w:vAlign w:val="bottom"/>
            <w:hideMark/>
          </w:tcPr>
          <w:p w14:paraId="157FB709"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10</w:t>
            </w:r>
          </w:p>
        </w:tc>
        <w:tc>
          <w:tcPr>
            <w:tcW w:w="348" w:type="pct"/>
            <w:vMerge w:val="restart"/>
            <w:tcBorders>
              <w:top w:val="single" w:sz="4" w:space="0" w:color="auto"/>
              <w:left w:val="nil"/>
              <w:right w:val="nil"/>
            </w:tcBorders>
            <w:shd w:val="clear" w:color="auto" w:fill="auto"/>
            <w:noWrap/>
            <w:vAlign w:val="bottom"/>
            <w:hideMark/>
          </w:tcPr>
          <w:p w14:paraId="5F9D85DF" w14:textId="77777777" w:rsidR="00805881" w:rsidRPr="00555A65" w:rsidRDefault="00805881" w:rsidP="003D371F">
            <w:pPr>
              <w:spacing w:after="0" w:line="240" w:lineRule="auto"/>
              <w:contextualSpacing/>
              <w:rPr>
                <w:rFonts w:cs="Calibri"/>
                <w:b/>
                <w:bCs/>
                <w:sz w:val="17"/>
                <w:szCs w:val="17"/>
                <w:lang w:eastAsia="en-AU"/>
              </w:rPr>
            </w:pPr>
            <w:r w:rsidRPr="00555A65">
              <w:rPr>
                <w:rFonts w:cs="Calibri"/>
                <w:sz w:val="17"/>
                <w:szCs w:val="17"/>
                <w:lang w:eastAsia="en-AU"/>
              </w:rPr>
              <w:t> </w:t>
            </w:r>
            <w:r w:rsidRPr="00555A65">
              <w:rPr>
                <w:rFonts w:cs="Calibri"/>
                <w:b/>
                <w:bCs/>
                <w:sz w:val="17"/>
                <w:szCs w:val="17"/>
                <w:lang w:eastAsia="en-AU"/>
              </w:rPr>
              <w:t xml:space="preserve">Total </w:t>
            </w:r>
          </w:p>
        </w:tc>
      </w:tr>
      <w:tr w:rsidR="00805881" w:rsidRPr="00555A65" w14:paraId="335C3717" w14:textId="77777777" w:rsidTr="003D371F">
        <w:trPr>
          <w:trHeight w:val="227"/>
        </w:trPr>
        <w:tc>
          <w:tcPr>
            <w:tcW w:w="910" w:type="pct"/>
            <w:tcBorders>
              <w:top w:val="nil"/>
              <w:left w:val="nil"/>
              <w:bottom w:val="single" w:sz="4" w:space="0" w:color="auto"/>
              <w:right w:val="nil"/>
            </w:tcBorders>
            <w:shd w:val="clear" w:color="auto" w:fill="auto"/>
            <w:noWrap/>
            <w:vAlign w:val="bottom"/>
            <w:hideMark/>
          </w:tcPr>
          <w:p w14:paraId="735CCD92" w14:textId="77777777" w:rsidR="00805881" w:rsidRPr="00555A65" w:rsidRDefault="00805881" w:rsidP="003D371F">
            <w:pPr>
              <w:spacing w:after="0" w:line="240" w:lineRule="auto"/>
              <w:contextualSpacing/>
              <w:rPr>
                <w:rFonts w:cs="Calibri"/>
                <w:b/>
                <w:bCs/>
                <w:sz w:val="17"/>
                <w:szCs w:val="17"/>
                <w:lang w:eastAsia="en-AU"/>
              </w:rPr>
            </w:pPr>
            <w:r w:rsidRPr="00555A65">
              <w:rPr>
                <w:rFonts w:cs="Calibri"/>
                <w:b/>
                <w:bCs/>
                <w:sz w:val="17"/>
                <w:szCs w:val="17"/>
                <w:lang w:eastAsia="en-AU"/>
              </w:rPr>
              <w:t>Site Name</w:t>
            </w:r>
          </w:p>
        </w:tc>
        <w:tc>
          <w:tcPr>
            <w:tcW w:w="479" w:type="pct"/>
            <w:tcBorders>
              <w:top w:val="nil"/>
              <w:left w:val="nil"/>
              <w:bottom w:val="single" w:sz="4" w:space="0" w:color="auto"/>
              <w:right w:val="nil"/>
            </w:tcBorders>
            <w:shd w:val="clear" w:color="auto" w:fill="auto"/>
            <w:noWrap/>
            <w:vAlign w:val="bottom"/>
            <w:hideMark/>
          </w:tcPr>
          <w:p w14:paraId="4A474543"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Blanchetown</w:t>
            </w:r>
          </w:p>
        </w:tc>
        <w:tc>
          <w:tcPr>
            <w:tcW w:w="457" w:type="pct"/>
            <w:tcBorders>
              <w:top w:val="nil"/>
              <w:left w:val="nil"/>
              <w:bottom w:val="single" w:sz="4" w:space="0" w:color="auto"/>
              <w:right w:val="nil"/>
            </w:tcBorders>
            <w:shd w:val="clear" w:color="auto" w:fill="auto"/>
            <w:noWrap/>
            <w:vAlign w:val="bottom"/>
            <w:hideMark/>
          </w:tcPr>
          <w:p w14:paraId="2B38F27C"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Scotts Creek</w:t>
            </w:r>
          </w:p>
        </w:tc>
        <w:tc>
          <w:tcPr>
            <w:tcW w:w="320" w:type="pct"/>
            <w:tcBorders>
              <w:top w:val="nil"/>
              <w:left w:val="nil"/>
              <w:bottom w:val="single" w:sz="4" w:space="0" w:color="auto"/>
              <w:right w:val="nil"/>
            </w:tcBorders>
            <w:shd w:val="clear" w:color="auto" w:fill="auto"/>
            <w:noWrap/>
            <w:vAlign w:val="bottom"/>
            <w:hideMark/>
          </w:tcPr>
          <w:p w14:paraId="42BB3C0A"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Morgan</w:t>
            </w:r>
          </w:p>
        </w:tc>
        <w:tc>
          <w:tcPr>
            <w:tcW w:w="280" w:type="pct"/>
            <w:tcBorders>
              <w:top w:val="nil"/>
              <w:left w:val="nil"/>
              <w:bottom w:val="single" w:sz="4" w:space="0" w:color="auto"/>
              <w:right w:val="nil"/>
            </w:tcBorders>
            <w:shd w:val="clear" w:color="auto" w:fill="auto"/>
            <w:noWrap/>
            <w:vAlign w:val="bottom"/>
            <w:hideMark/>
          </w:tcPr>
          <w:p w14:paraId="23FB1FEE"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Cadell</w:t>
            </w:r>
          </w:p>
        </w:tc>
        <w:tc>
          <w:tcPr>
            <w:tcW w:w="307" w:type="pct"/>
            <w:tcBorders>
              <w:top w:val="nil"/>
              <w:left w:val="nil"/>
              <w:bottom w:val="single" w:sz="4" w:space="0" w:color="auto"/>
              <w:right w:val="nil"/>
            </w:tcBorders>
            <w:shd w:val="clear" w:color="auto" w:fill="auto"/>
            <w:noWrap/>
            <w:vAlign w:val="bottom"/>
            <w:hideMark/>
          </w:tcPr>
          <w:p w14:paraId="7404AE32"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Qualco</w:t>
            </w:r>
          </w:p>
        </w:tc>
        <w:tc>
          <w:tcPr>
            <w:tcW w:w="351" w:type="pct"/>
            <w:tcBorders>
              <w:top w:val="nil"/>
              <w:left w:val="nil"/>
              <w:bottom w:val="single" w:sz="4" w:space="0" w:color="auto"/>
              <w:right w:val="nil"/>
            </w:tcBorders>
            <w:shd w:val="clear" w:color="auto" w:fill="auto"/>
            <w:noWrap/>
            <w:vAlign w:val="bottom"/>
            <w:hideMark/>
          </w:tcPr>
          <w:p w14:paraId="729BB1F7"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Waikerie</w:t>
            </w:r>
          </w:p>
        </w:tc>
        <w:tc>
          <w:tcPr>
            <w:tcW w:w="411" w:type="pct"/>
            <w:tcBorders>
              <w:top w:val="nil"/>
              <w:left w:val="nil"/>
              <w:bottom w:val="single" w:sz="4" w:space="0" w:color="auto"/>
              <w:right w:val="nil"/>
            </w:tcBorders>
            <w:shd w:val="clear" w:color="auto" w:fill="auto"/>
            <w:noWrap/>
            <w:vAlign w:val="bottom"/>
            <w:hideMark/>
          </w:tcPr>
          <w:p w14:paraId="5A075008"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Lowbank B</w:t>
            </w:r>
          </w:p>
        </w:tc>
        <w:tc>
          <w:tcPr>
            <w:tcW w:w="415" w:type="pct"/>
            <w:tcBorders>
              <w:top w:val="nil"/>
              <w:left w:val="nil"/>
              <w:bottom w:val="single" w:sz="4" w:space="0" w:color="auto"/>
              <w:right w:val="nil"/>
            </w:tcBorders>
            <w:shd w:val="clear" w:color="auto" w:fill="auto"/>
            <w:noWrap/>
            <w:vAlign w:val="bottom"/>
            <w:hideMark/>
          </w:tcPr>
          <w:p w14:paraId="6596341F"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Lowbank A</w:t>
            </w:r>
          </w:p>
        </w:tc>
        <w:tc>
          <w:tcPr>
            <w:tcW w:w="361" w:type="pct"/>
            <w:tcBorders>
              <w:top w:val="nil"/>
              <w:left w:val="nil"/>
              <w:bottom w:val="single" w:sz="4" w:space="0" w:color="auto"/>
              <w:right w:val="nil"/>
            </w:tcBorders>
            <w:shd w:val="clear" w:color="auto" w:fill="auto"/>
            <w:noWrap/>
            <w:vAlign w:val="bottom"/>
            <w:hideMark/>
          </w:tcPr>
          <w:p w14:paraId="4E5A74B5"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 xml:space="preserve">Overland </w:t>
            </w:r>
          </w:p>
          <w:p w14:paraId="7F3C2FB9"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Corner B</w:t>
            </w:r>
          </w:p>
        </w:tc>
        <w:tc>
          <w:tcPr>
            <w:tcW w:w="361" w:type="pct"/>
            <w:tcBorders>
              <w:top w:val="nil"/>
              <w:left w:val="nil"/>
              <w:bottom w:val="single" w:sz="4" w:space="0" w:color="auto"/>
              <w:right w:val="nil"/>
            </w:tcBorders>
            <w:shd w:val="clear" w:color="auto" w:fill="auto"/>
            <w:noWrap/>
            <w:vAlign w:val="bottom"/>
            <w:hideMark/>
          </w:tcPr>
          <w:p w14:paraId="42FFC298"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 xml:space="preserve">Overland </w:t>
            </w:r>
          </w:p>
          <w:p w14:paraId="68D91AC2"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Corner A</w:t>
            </w:r>
          </w:p>
        </w:tc>
        <w:tc>
          <w:tcPr>
            <w:tcW w:w="348" w:type="pct"/>
            <w:vMerge/>
            <w:tcBorders>
              <w:left w:val="nil"/>
              <w:bottom w:val="single" w:sz="4" w:space="0" w:color="auto"/>
              <w:right w:val="nil"/>
            </w:tcBorders>
            <w:shd w:val="clear" w:color="auto" w:fill="auto"/>
            <w:noWrap/>
            <w:vAlign w:val="bottom"/>
            <w:hideMark/>
          </w:tcPr>
          <w:p w14:paraId="6BE460A3" w14:textId="77777777" w:rsidR="00805881" w:rsidRPr="00555A65" w:rsidRDefault="00805881" w:rsidP="003D371F">
            <w:pPr>
              <w:spacing w:after="0" w:line="240" w:lineRule="auto"/>
              <w:contextualSpacing/>
              <w:rPr>
                <w:rFonts w:cs="Calibri"/>
                <w:b/>
                <w:bCs/>
                <w:sz w:val="17"/>
                <w:szCs w:val="17"/>
                <w:lang w:eastAsia="en-AU"/>
              </w:rPr>
            </w:pPr>
          </w:p>
        </w:tc>
      </w:tr>
      <w:tr w:rsidR="00805881" w:rsidRPr="00555A65" w14:paraId="597254CA" w14:textId="77777777" w:rsidTr="003D371F">
        <w:trPr>
          <w:trHeight w:val="227"/>
        </w:trPr>
        <w:tc>
          <w:tcPr>
            <w:tcW w:w="910" w:type="pct"/>
            <w:tcBorders>
              <w:top w:val="nil"/>
              <w:left w:val="nil"/>
              <w:bottom w:val="nil"/>
              <w:right w:val="nil"/>
            </w:tcBorders>
            <w:shd w:val="clear" w:color="auto" w:fill="auto"/>
            <w:noWrap/>
            <w:vAlign w:val="bottom"/>
            <w:hideMark/>
          </w:tcPr>
          <w:p w14:paraId="73BA3A27" w14:textId="77777777" w:rsidR="00805881" w:rsidRPr="00555A65" w:rsidRDefault="00805881" w:rsidP="003D371F">
            <w:pPr>
              <w:spacing w:after="0" w:line="240" w:lineRule="auto"/>
              <w:contextualSpacing/>
              <w:jc w:val="right"/>
              <w:rPr>
                <w:rFonts w:cs="Calibri"/>
                <w:b/>
                <w:bCs/>
                <w:sz w:val="17"/>
                <w:szCs w:val="17"/>
                <w:lang w:eastAsia="en-AU"/>
              </w:rPr>
            </w:pPr>
          </w:p>
        </w:tc>
        <w:tc>
          <w:tcPr>
            <w:tcW w:w="479" w:type="pct"/>
            <w:tcBorders>
              <w:top w:val="nil"/>
              <w:left w:val="nil"/>
              <w:bottom w:val="nil"/>
              <w:right w:val="nil"/>
            </w:tcBorders>
            <w:shd w:val="clear" w:color="auto" w:fill="auto"/>
            <w:noWrap/>
            <w:vAlign w:val="bottom"/>
            <w:hideMark/>
          </w:tcPr>
          <w:p w14:paraId="4A55F157" w14:textId="77777777" w:rsidR="00805881" w:rsidRPr="00555A65" w:rsidRDefault="00805881" w:rsidP="003D371F">
            <w:pPr>
              <w:spacing w:after="0" w:line="240" w:lineRule="auto"/>
              <w:contextualSpacing/>
              <w:rPr>
                <w:rFonts w:cs="Calibri"/>
                <w:sz w:val="17"/>
                <w:szCs w:val="17"/>
                <w:lang w:eastAsia="en-AU"/>
              </w:rPr>
            </w:pPr>
          </w:p>
        </w:tc>
        <w:tc>
          <w:tcPr>
            <w:tcW w:w="457" w:type="pct"/>
            <w:tcBorders>
              <w:top w:val="nil"/>
              <w:left w:val="nil"/>
              <w:bottom w:val="nil"/>
              <w:right w:val="nil"/>
            </w:tcBorders>
            <w:shd w:val="clear" w:color="auto" w:fill="auto"/>
            <w:noWrap/>
            <w:vAlign w:val="bottom"/>
            <w:hideMark/>
          </w:tcPr>
          <w:p w14:paraId="5E186428" w14:textId="77777777" w:rsidR="00805881" w:rsidRPr="00555A65" w:rsidRDefault="00805881" w:rsidP="003D371F">
            <w:pPr>
              <w:spacing w:after="0" w:line="240" w:lineRule="auto"/>
              <w:contextualSpacing/>
              <w:rPr>
                <w:rFonts w:cs="Calibri"/>
                <w:sz w:val="17"/>
                <w:szCs w:val="17"/>
                <w:lang w:eastAsia="en-AU"/>
              </w:rPr>
            </w:pPr>
          </w:p>
        </w:tc>
        <w:tc>
          <w:tcPr>
            <w:tcW w:w="320" w:type="pct"/>
            <w:tcBorders>
              <w:top w:val="nil"/>
              <w:left w:val="nil"/>
              <w:bottom w:val="nil"/>
              <w:right w:val="nil"/>
            </w:tcBorders>
            <w:shd w:val="clear" w:color="auto" w:fill="auto"/>
            <w:noWrap/>
            <w:vAlign w:val="bottom"/>
            <w:hideMark/>
          </w:tcPr>
          <w:p w14:paraId="68C72C4B" w14:textId="77777777" w:rsidR="00805881" w:rsidRPr="00555A65" w:rsidRDefault="00805881" w:rsidP="003D371F">
            <w:pPr>
              <w:spacing w:after="0" w:line="240" w:lineRule="auto"/>
              <w:contextualSpacing/>
              <w:rPr>
                <w:rFonts w:cs="Calibri"/>
                <w:sz w:val="17"/>
                <w:szCs w:val="17"/>
                <w:lang w:eastAsia="en-AU"/>
              </w:rPr>
            </w:pPr>
          </w:p>
        </w:tc>
        <w:tc>
          <w:tcPr>
            <w:tcW w:w="280" w:type="pct"/>
            <w:tcBorders>
              <w:top w:val="nil"/>
              <w:left w:val="nil"/>
              <w:bottom w:val="nil"/>
              <w:right w:val="nil"/>
            </w:tcBorders>
            <w:shd w:val="clear" w:color="auto" w:fill="auto"/>
            <w:noWrap/>
            <w:vAlign w:val="bottom"/>
            <w:hideMark/>
          </w:tcPr>
          <w:p w14:paraId="3BFB2A50" w14:textId="77777777" w:rsidR="00805881" w:rsidRPr="00555A65" w:rsidRDefault="00805881" w:rsidP="003D371F">
            <w:pPr>
              <w:spacing w:after="0" w:line="240" w:lineRule="auto"/>
              <w:contextualSpacing/>
              <w:rPr>
                <w:rFonts w:cs="Calibri"/>
                <w:sz w:val="17"/>
                <w:szCs w:val="17"/>
                <w:lang w:eastAsia="en-AU"/>
              </w:rPr>
            </w:pPr>
          </w:p>
        </w:tc>
        <w:tc>
          <w:tcPr>
            <w:tcW w:w="307" w:type="pct"/>
            <w:tcBorders>
              <w:top w:val="nil"/>
              <w:left w:val="nil"/>
              <w:bottom w:val="nil"/>
              <w:right w:val="nil"/>
            </w:tcBorders>
            <w:shd w:val="clear" w:color="auto" w:fill="auto"/>
            <w:noWrap/>
            <w:vAlign w:val="bottom"/>
            <w:hideMark/>
          </w:tcPr>
          <w:p w14:paraId="2D931C93" w14:textId="77777777" w:rsidR="00805881" w:rsidRPr="00555A65" w:rsidRDefault="00805881" w:rsidP="003D371F">
            <w:pPr>
              <w:spacing w:after="0" w:line="240" w:lineRule="auto"/>
              <w:contextualSpacing/>
              <w:rPr>
                <w:rFonts w:cs="Calibri"/>
                <w:sz w:val="17"/>
                <w:szCs w:val="17"/>
                <w:lang w:eastAsia="en-AU"/>
              </w:rPr>
            </w:pPr>
          </w:p>
        </w:tc>
        <w:tc>
          <w:tcPr>
            <w:tcW w:w="351" w:type="pct"/>
            <w:tcBorders>
              <w:top w:val="nil"/>
              <w:left w:val="nil"/>
              <w:bottom w:val="nil"/>
              <w:right w:val="nil"/>
            </w:tcBorders>
            <w:shd w:val="clear" w:color="auto" w:fill="auto"/>
            <w:noWrap/>
            <w:vAlign w:val="bottom"/>
            <w:hideMark/>
          </w:tcPr>
          <w:p w14:paraId="7FBC0140" w14:textId="77777777" w:rsidR="00805881" w:rsidRPr="00555A65" w:rsidRDefault="00805881" w:rsidP="003D371F">
            <w:pPr>
              <w:spacing w:after="0" w:line="240" w:lineRule="auto"/>
              <w:contextualSpacing/>
              <w:rPr>
                <w:rFonts w:cs="Calibri"/>
                <w:sz w:val="17"/>
                <w:szCs w:val="17"/>
                <w:lang w:eastAsia="en-AU"/>
              </w:rPr>
            </w:pPr>
          </w:p>
        </w:tc>
        <w:tc>
          <w:tcPr>
            <w:tcW w:w="411" w:type="pct"/>
            <w:tcBorders>
              <w:top w:val="nil"/>
              <w:left w:val="nil"/>
              <w:bottom w:val="nil"/>
              <w:right w:val="nil"/>
            </w:tcBorders>
            <w:shd w:val="clear" w:color="auto" w:fill="auto"/>
            <w:noWrap/>
            <w:vAlign w:val="bottom"/>
            <w:hideMark/>
          </w:tcPr>
          <w:p w14:paraId="6A88E9E3" w14:textId="77777777" w:rsidR="00805881" w:rsidRPr="00555A65" w:rsidRDefault="00805881" w:rsidP="003D371F">
            <w:pPr>
              <w:spacing w:after="0" w:line="240" w:lineRule="auto"/>
              <w:contextualSpacing/>
              <w:rPr>
                <w:rFonts w:cs="Calibri"/>
                <w:sz w:val="17"/>
                <w:szCs w:val="17"/>
                <w:lang w:eastAsia="en-AU"/>
              </w:rPr>
            </w:pPr>
          </w:p>
        </w:tc>
        <w:tc>
          <w:tcPr>
            <w:tcW w:w="415" w:type="pct"/>
            <w:tcBorders>
              <w:top w:val="nil"/>
              <w:left w:val="nil"/>
              <w:bottom w:val="nil"/>
              <w:right w:val="nil"/>
            </w:tcBorders>
            <w:shd w:val="clear" w:color="auto" w:fill="auto"/>
            <w:noWrap/>
            <w:vAlign w:val="bottom"/>
            <w:hideMark/>
          </w:tcPr>
          <w:p w14:paraId="21818A33" w14:textId="77777777" w:rsidR="00805881" w:rsidRPr="00555A65" w:rsidRDefault="00805881" w:rsidP="003D371F">
            <w:pPr>
              <w:spacing w:after="0" w:line="240" w:lineRule="auto"/>
              <w:contextualSpacing/>
              <w:rPr>
                <w:rFonts w:cs="Calibri"/>
                <w:sz w:val="17"/>
                <w:szCs w:val="17"/>
                <w:lang w:eastAsia="en-AU"/>
              </w:rPr>
            </w:pPr>
          </w:p>
        </w:tc>
        <w:tc>
          <w:tcPr>
            <w:tcW w:w="361" w:type="pct"/>
            <w:tcBorders>
              <w:top w:val="nil"/>
              <w:left w:val="nil"/>
              <w:bottom w:val="nil"/>
              <w:right w:val="nil"/>
            </w:tcBorders>
            <w:shd w:val="clear" w:color="auto" w:fill="auto"/>
            <w:noWrap/>
            <w:vAlign w:val="bottom"/>
            <w:hideMark/>
          </w:tcPr>
          <w:p w14:paraId="019F8D1D" w14:textId="77777777" w:rsidR="00805881" w:rsidRPr="00555A65" w:rsidRDefault="00805881" w:rsidP="003D371F">
            <w:pPr>
              <w:spacing w:after="0" w:line="240" w:lineRule="auto"/>
              <w:contextualSpacing/>
              <w:rPr>
                <w:rFonts w:cs="Calibri"/>
                <w:sz w:val="17"/>
                <w:szCs w:val="17"/>
                <w:lang w:eastAsia="en-AU"/>
              </w:rPr>
            </w:pPr>
          </w:p>
        </w:tc>
        <w:tc>
          <w:tcPr>
            <w:tcW w:w="361" w:type="pct"/>
            <w:tcBorders>
              <w:top w:val="nil"/>
              <w:left w:val="nil"/>
              <w:bottom w:val="nil"/>
              <w:right w:val="nil"/>
            </w:tcBorders>
            <w:shd w:val="clear" w:color="auto" w:fill="auto"/>
            <w:noWrap/>
            <w:vAlign w:val="bottom"/>
            <w:hideMark/>
          </w:tcPr>
          <w:p w14:paraId="60F5490E" w14:textId="77777777" w:rsidR="00805881" w:rsidRPr="00555A65" w:rsidRDefault="00805881" w:rsidP="003D371F">
            <w:pPr>
              <w:spacing w:after="0" w:line="240" w:lineRule="auto"/>
              <w:contextualSpacing/>
              <w:rPr>
                <w:rFonts w:cs="Calibri"/>
                <w:sz w:val="17"/>
                <w:szCs w:val="17"/>
                <w:lang w:eastAsia="en-AU"/>
              </w:rPr>
            </w:pPr>
          </w:p>
        </w:tc>
        <w:tc>
          <w:tcPr>
            <w:tcW w:w="348" w:type="pct"/>
            <w:tcBorders>
              <w:top w:val="nil"/>
              <w:left w:val="nil"/>
              <w:bottom w:val="nil"/>
              <w:right w:val="nil"/>
            </w:tcBorders>
            <w:shd w:val="clear" w:color="auto" w:fill="auto"/>
            <w:noWrap/>
            <w:vAlign w:val="bottom"/>
            <w:hideMark/>
          </w:tcPr>
          <w:p w14:paraId="3D008EC8" w14:textId="77777777" w:rsidR="00805881" w:rsidRPr="00555A65" w:rsidRDefault="00805881" w:rsidP="003D371F">
            <w:pPr>
              <w:spacing w:after="0" w:line="240" w:lineRule="auto"/>
              <w:contextualSpacing/>
              <w:rPr>
                <w:rFonts w:cs="Calibri"/>
                <w:b/>
                <w:bCs/>
                <w:sz w:val="17"/>
                <w:szCs w:val="17"/>
                <w:lang w:eastAsia="en-AU"/>
              </w:rPr>
            </w:pPr>
          </w:p>
        </w:tc>
      </w:tr>
      <w:tr w:rsidR="00805881" w:rsidRPr="00555A65" w14:paraId="19A8DA26" w14:textId="77777777" w:rsidTr="003D371F">
        <w:trPr>
          <w:trHeight w:val="227"/>
        </w:trPr>
        <w:tc>
          <w:tcPr>
            <w:tcW w:w="910" w:type="pct"/>
            <w:tcBorders>
              <w:top w:val="nil"/>
              <w:left w:val="nil"/>
              <w:bottom w:val="nil"/>
              <w:right w:val="nil"/>
            </w:tcBorders>
            <w:shd w:val="clear" w:color="auto" w:fill="auto"/>
            <w:noWrap/>
            <w:vAlign w:val="bottom"/>
            <w:hideMark/>
          </w:tcPr>
          <w:p w14:paraId="122BA3D3" w14:textId="77777777" w:rsidR="00805881" w:rsidRPr="00555A65" w:rsidRDefault="00805881" w:rsidP="003D371F">
            <w:pPr>
              <w:spacing w:after="0" w:line="240" w:lineRule="auto"/>
              <w:contextualSpacing/>
              <w:rPr>
                <w:rFonts w:cs="Calibri"/>
                <w:sz w:val="17"/>
                <w:szCs w:val="17"/>
                <w:u w:val="single"/>
                <w:lang w:eastAsia="en-AU"/>
              </w:rPr>
            </w:pPr>
            <w:r w:rsidRPr="00555A65">
              <w:rPr>
                <w:rFonts w:cs="Calibri"/>
                <w:sz w:val="17"/>
                <w:szCs w:val="17"/>
                <w:u w:val="single"/>
                <w:lang w:eastAsia="en-AU"/>
              </w:rPr>
              <w:t>2015</w:t>
            </w:r>
          </w:p>
        </w:tc>
        <w:tc>
          <w:tcPr>
            <w:tcW w:w="479" w:type="pct"/>
            <w:tcBorders>
              <w:top w:val="nil"/>
              <w:left w:val="nil"/>
              <w:bottom w:val="nil"/>
              <w:right w:val="nil"/>
            </w:tcBorders>
            <w:shd w:val="clear" w:color="auto" w:fill="auto"/>
            <w:noWrap/>
            <w:vAlign w:val="bottom"/>
            <w:hideMark/>
          </w:tcPr>
          <w:p w14:paraId="2F389258" w14:textId="77777777" w:rsidR="00805881" w:rsidRPr="00555A65" w:rsidRDefault="00805881" w:rsidP="003D371F">
            <w:pPr>
              <w:spacing w:after="0" w:line="240" w:lineRule="auto"/>
              <w:contextualSpacing/>
              <w:rPr>
                <w:rFonts w:cs="Calibri"/>
                <w:sz w:val="17"/>
                <w:szCs w:val="17"/>
                <w:lang w:eastAsia="en-AU"/>
              </w:rPr>
            </w:pPr>
          </w:p>
        </w:tc>
        <w:tc>
          <w:tcPr>
            <w:tcW w:w="457" w:type="pct"/>
            <w:tcBorders>
              <w:top w:val="nil"/>
              <w:left w:val="nil"/>
              <w:bottom w:val="nil"/>
              <w:right w:val="nil"/>
            </w:tcBorders>
            <w:shd w:val="clear" w:color="auto" w:fill="auto"/>
            <w:noWrap/>
            <w:vAlign w:val="bottom"/>
            <w:hideMark/>
          </w:tcPr>
          <w:p w14:paraId="285318C1" w14:textId="77777777" w:rsidR="00805881" w:rsidRPr="00555A65" w:rsidRDefault="00805881" w:rsidP="003D371F">
            <w:pPr>
              <w:spacing w:after="0" w:line="240" w:lineRule="auto"/>
              <w:contextualSpacing/>
              <w:rPr>
                <w:rFonts w:cs="Calibri"/>
                <w:sz w:val="17"/>
                <w:szCs w:val="17"/>
                <w:lang w:eastAsia="en-AU"/>
              </w:rPr>
            </w:pPr>
          </w:p>
        </w:tc>
        <w:tc>
          <w:tcPr>
            <w:tcW w:w="320" w:type="pct"/>
            <w:tcBorders>
              <w:top w:val="nil"/>
              <w:left w:val="nil"/>
              <w:bottom w:val="nil"/>
              <w:right w:val="nil"/>
            </w:tcBorders>
            <w:shd w:val="clear" w:color="auto" w:fill="auto"/>
            <w:noWrap/>
            <w:vAlign w:val="bottom"/>
            <w:hideMark/>
          </w:tcPr>
          <w:p w14:paraId="16E97557" w14:textId="77777777" w:rsidR="00805881" w:rsidRPr="00555A65" w:rsidRDefault="00805881" w:rsidP="003D371F">
            <w:pPr>
              <w:spacing w:after="0" w:line="240" w:lineRule="auto"/>
              <w:contextualSpacing/>
              <w:rPr>
                <w:rFonts w:cs="Calibri"/>
                <w:sz w:val="17"/>
                <w:szCs w:val="17"/>
                <w:lang w:eastAsia="en-AU"/>
              </w:rPr>
            </w:pPr>
          </w:p>
        </w:tc>
        <w:tc>
          <w:tcPr>
            <w:tcW w:w="280" w:type="pct"/>
            <w:tcBorders>
              <w:top w:val="nil"/>
              <w:left w:val="nil"/>
              <w:bottom w:val="nil"/>
              <w:right w:val="nil"/>
            </w:tcBorders>
            <w:shd w:val="clear" w:color="auto" w:fill="auto"/>
            <w:noWrap/>
            <w:vAlign w:val="bottom"/>
            <w:hideMark/>
          </w:tcPr>
          <w:p w14:paraId="15473A30" w14:textId="77777777" w:rsidR="00805881" w:rsidRPr="00555A65" w:rsidRDefault="00805881" w:rsidP="003D371F">
            <w:pPr>
              <w:spacing w:after="0" w:line="240" w:lineRule="auto"/>
              <w:contextualSpacing/>
              <w:rPr>
                <w:rFonts w:cs="Calibri"/>
                <w:sz w:val="17"/>
                <w:szCs w:val="17"/>
                <w:lang w:eastAsia="en-AU"/>
              </w:rPr>
            </w:pPr>
          </w:p>
        </w:tc>
        <w:tc>
          <w:tcPr>
            <w:tcW w:w="307" w:type="pct"/>
            <w:tcBorders>
              <w:top w:val="nil"/>
              <w:left w:val="nil"/>
              <w:bottom w:val="nil"/>
              <w:right w:val="nil"/>
            </w:tcBorders>
            <w:shd w:val="clear" w:color="auto" w:fill="auto"/>
            <w:noWrap/>
            <w:vAlign w:val="bottom"/>
            <w:hideMark/>
          </w:tcPr>
          <w:p w14:paraId="68900406" w14:textId="77777777" w:rsidR="00805881" w:rsidRPr="00555A65" w:rsidRDefault="00805881" w:rsidP="003D371F">
            <w:pPr>
              <w:spacing w:after="0" w:line="240" w:lineRule="auto"/>
              <w:contextualSpacing/>
              <w:rPr>
                <w:rFonts w:cs="Calibri"/>
                <w:sz w:val="17"/>
                <w:szCs w:val="17"/>
                <w:lang w:eastAsia="en-AU"/>
              </w:rPr>
            </w:pPr>
          </w:p>
        </w:tc>
        <w:tc>
          <w:tcPr>
            <w:tcW w:w="351" w:type="pct"/>
            <w:tcBorders>
              <w:top w:val="nil"/>
              <w:left w:val="nil"/>
              <w:bottom w:val="nil"/>
              <w:right w:val="nil"/>
            </w:tcBorders>
            <w:shd w:val="clear" w:color="auto" w:fill="auto"/>
            <w:noWrap/>
            <w:vAlign w:val="bottom"/>
            <w:hideMark/>
          </w:tcPr>
          <w:p w14:paraId="77F74A0B" w14:textId="77777777" w:rsidR="00805881" w:rsidRPr="00555A65" w:rsidRDefault="00805881" w:rsidP="003D371F">
            <w:pPr>
              <w:spacing w:after="0" w:line="240" w:lineRule="auto"/>
              <w:contextualSpacing/>
              <w:rPr>
                <w:rFonts w:cs="Calibri"/>
                <w:sz w:val="17"/>
                <w:szCs w:val="17"/>
                <w:lang w:eastAsia="en-AU"/>
              </w:rPr>
            </w:pPr>
          </w:p>
        </w:tc>
        <w:tc>
          <w:tcPr>
            <w:tcW w:w="411" w:type="pct"/>
            <w:tcBorders>
              <w:top w:val="nil"/>
              <w:left w:val="nil"/>
              <w:bottom w:val="nil"/>
              <w:right w:val="nil"/>
            </w:tcBorders>
            <w:shd w:val="clear" w:color="auto" w:fill="auto"/>
            <w:noWrap/>
            <w:vAlign w:val="bottom"/>
            <w:hideMark/>
          </w:tcPr>
          <w:p w14:paraId="64E08F77" w14:textId="77777777" w:rsidR="00805881" w:rsidRPr="00555A65" w:rsidRDefault="00805881" w:rsidP="003D371F">
            <w:pPr>
              <w:spacing w:after="0" w:line="240" w:lineRule="auto"/>
              <w:contextualSpacing/>
              <w:rPr>
                <w:rFonts w:cs="Calibri"/>
                <w:sz w:val="17"/>
                <w:szCs w:val="17"/>
                <w:lang w:eastAsia="en-AU"/>
              </w:rPr>
            </w:pPr>
          </w:p>
        </w:tc>
        <w:tc>
          <w:tcPr>
            <w:tcW w:w="415" w:type="pct"/>
            <w:tcBorders>
              <w:top w:val="nil"/>
              <w:left w:val="nil"/>
              <w:bottom w:val="nil"/>
              <w:right w:val="nil"/>
            </w:tcBorders>
            <w:shd w:val="clear" w:color="auto" w:fill="auto"/>
            <w:noWrap/>
            <w:vAlign w:val="bottom"/>
            <w:hideMark/>
          </w:tcPr>
          <w:p w14:paraId="15ECB1A8" w14:textId="77777777" w:rsidR="00805881" w:rsidRPr="00555A65" w:rsidRDefault="00805881" w:rsidP="003D371F">
            <w:pPr>
              <w:spacing w:after="0" w:line="240" w:lineRule="auto"/>
              <w:contextualSpacing/>
              <w:rPr>
                <w:rFonts w:cs="Calibri"/>
                <w:sz w:val="17"/>
                <w:szCs w:val="17"/>
                <w:lang w:eastAsia="en-AU"/>
              </w:rPr>
            </w:pPr>
          </w:p>
        </w:tc>
        <w:tc>
          <w:tcPr>
            <w:tcW w:w="361" w:type="pct"/>
            <w:tcBorders>
              <w:top w:val="nil"/>
              <w:left w:val="nil"/>
              <w:bottom w:val="nil"/>
              <w:right w:val="nil"/>
            </w:tcBorders>
            <w:shd w:val="clear" w:color="auto" w:fill="auto"/>
            <w:noWrap/>
            <w:vAlign w:val="bottom"/>
            <w:hideMark/>
          </w:tcPr>
          <w:p w14:paraId="34684350" w14:textId="77777777" w:rsidR="00805881" w:rsidRPr="00555A65" w:rsidRDefault="00805881" w:rsidP="003D371F">
            <w:pPr>
              <w:spacing w:after="0" w:line="240" w:lineRule="auto"/>
              <w:contextualSpacing/>
              <w:rPr>
                <w:rFonts w:cs="Calibri"/>
                <w:sz w:val="17"/>
                <w:szCs w:val="17"/>
                <w:lang w:eastAsia="en-AU"/>
              </w:rPr>
            </w:pPr>
          </w:p>
        </w:tc>
        <w:tc>
          <w:tcPr>
            <w:tcW w:w="361" w:type="pct"/>
            <w:tcBorders>
              <w:top w:val="nil"/>
              <w:left w:val="nil"/>
              <w:bottom w:val="nil"/>
              <w:right w:val="nil"/>
            </w:tcBorders>
            <w:shd w:val="clear" w:color="auto" w:fill="auto"/>
            <w:noWrap/>
            <w:vAlign w:val="bottom"/>
            <w:hideMark/>
          </w:tcPr>
          <w:p w14:paraId="1EEB2044" w14:textId="77777777" w:rsidR="00805881" w:rsidRPr="00555A65" w:rsidRDefault="00805881" w:rsidP="003D371F">
            <w:pPr>
              <w:spacing w:after="0" w:line="240" w:lineRule="auto"/>
              <w:contextualSpacing/>
              <w:rPr>
                <w:rFonts w:cs="Calibri"/>
                <w:sz w:val="17"/>
                <w:szCs w:val="17"/>
                <w:lang w:eastAsia="en-AU"/>
              </w:rPr>
            </w:pPr>
          </w:p>
        </w:tc>
        <w:tc>
          <w:tcPr>
            <w:tcW w:w="348" w:type="pct"/>
            <w:tcBorders>
              <w:top w:val="nil"/>
              <w:left w:val="nil"/>
              <w:bottom w:val="nil"/>
              <w:right w:val="nil"/>
            </w:tcBorders>
            <w:shd w:val="clear" w:color="auto" w:fill="auto"/>
            <w:noWrap/>
            <w:vAlign w:val="bottom"/>
            <w:hideMark/>
          </w:tcPr>
          <w:p w14:paraId="3D41A021" w14:textId="77777777" w:rsidR="00805881" w:rsidRPr="00555A65" w:rsidRDefault="00805881" w:rsidP="003D371F">
            <w:pPr>
              <w:spacing w:after="0" w:line="240" w:lineRule="auto"/>
              <w:contextualSpacing/>
              <w:rPr>
                <w:rFonts w:cs="Calibri"/>
                <w:b/>
                <w:bCs/>
                <w:sz w:val="17"/>
                <w:szCs w:val="17"/>
                <w:lang w:eastAsia="en-AU"/>
              </w:rPr>
            </w:pPr>
          </w:p>
        </w:tc>
      </w:tr>
      <w:tr w:rsidR="00805881" w:rsidRPr="00555A65" w14:paraId="150E1524" w14:textId="77777777" w:rsidTr="003D371F">
        <w:trPr>
          <w:trHeight w:val="227"/>
        </w:trPr>
        <w:tc>
          <w:tcPr>
            <w:tcW w:w="910" w:type="pct"/>
            <w:tcBorders>
              <w:top w:val="nil"/>
              <w:left w:val="nil"/>
              <w:bottom w:val="nil"/>
              <w:right w:val="nil"/>
            </w:tcBorders>
            <w:shd w:val="clear" w:color="auto" w:fill="auto"/>
            <w:noWrap/>
            <w:vAlign w:val="bottom"/>
            <w:hideMark/>
          </w:tcPr>
          <w:p w14:paraId="7DC59434"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Carp gudgeon</w:t>
            </w:r>
          </w:p>
        </w:tc>
        <w:tc>
          <w:tcPr>
            <w:tcW w:w="479" w:type="pct"/>
            <w:tcBorders>
              <w:top w:val="nil"/>
              <w:left w:val="nil"/>
              <w:bottom w:val="nil"/>
              <w:right w:val="nil"/>
            </w:tcBorders>
            <w:shd w:val="clear" w:color="auto" w:fill="auto"/>
            <w:noWrap/>
            <w:vAlign w:val="bottom"/>
          </w:tcPr>
          <w:p w14:paraId="1FD39C22"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577</w:t>
            </w:r>
          </w:p>
        </w:tc>
        <w:tc>
          <w:tcPr>
            <w:tcW w:w="457" w:type="pct"/>
            <w:tcBorders>
              <w:top w:val="nil"/>
              <w:left w:val="nil"/>
              <w:bottom w:val="nil"/>
              <w:right w:val="nil"/>
            </w:tcBorders>
            <w:shd w:val="clear" w:color="auto" w:fill="auto"/>
            <w:noWrap/>
            <w:vAlign w:val="bottom"/>
          </w:tcPr>
          <w:p w14:paraId="141986F7"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2,003</w:t>
            </w:r>
          </w:p>
        </w:tc>
        <w:tc>
          <w:tcPr>
            <w:tcW w:w="320" w:type="pct"/>
            <w:tcBorders>
              <w:top w:val="nil"/>
              <w:left w:val="nil"/>
              <w:bottom w:val="nil"/>
              <w:right w:val="nil"/>
            </w:tcBorders>
            <w:shd w:val="clear" w:color="auto" w:fill="auto"/>
            <w:noWrap/>
            <w:vAlign w:val="bottom"/>
          </w:tcPr>
          <w:p w14:paraId="325B7791"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275</w:t>
            </w:r>
          </w:p>
        </w:tc>
        <w:tc>
          <w:tcPr>
            <w:tcW w:w="280" w:type="pct"/>
            <w:tcBorders>
              <w:top w:val="nil"/>
              <w:left w:val="nil"/>
              <w:bottom w:val="nil"/>
              <w:right w:val="nil"/>
            </w:tcBorders>
            <w:shd w:val="clear" w:color="auto" w:fill="auto"/>
            <w:noWrap/>
            <w:vAlign w:val="bottom"/>
          </w:tcPr>
          <w:p w14:paraId="7A06B43D"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550</w:t>
            </w:r>
          </w:p>
        </w:tc>
        <w:tc>
          <w:tcPr>
            <w:tcW w:w="307" w:type="pct"/>
            <w:tcBorders>
              <w:top w:val="nil"/>
              <w:left w:val="nil"/>
              <w:bottom w:val="nil"/>
              <w:right w:val="nil"/>
            </w:tcBorders>
            <w:shd w:val="clear" w:color="auto" w:fill="auto"/>
            <w:noWrap/>
            <w:vAlign w:val="bottom"/>
          </w:tcPr>
          <w:p w14:paraId="6E3D7BB2"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480</w:t>
            </w:r>
          </w:p>
        </w:tc>
        <w:tc>
          <w:tcPr>
            <w:tcW w:w="351" w:type="pct"/>
            <w:tcBorders>
              <w:top w:val="nil"/>
              <w:left w:val="nil"/>
              <w:bottom w:val="nil"/>
              <w:right w:val="nil"/>
            </w:tcBorders>
            <w:shd w:val="clear" w:color="auto" w:fill="auto"/>
            <w:noWrap/>
            <w:vAlign w:val="bottom"/>
          </w:tcPr>
          <w:p w14:paraId="47BF5F76"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860</w:t>
            </w:r>
          </w:p>
        </w:tc>
        <w:tc>
          <w:tcPr>
            <w:tcW w:w="411" w:type="pct"/>
            <w:tcBorders>
              <w:top w:val="nil"/>
              <w:left w:val="nil"/>
              <w:bottom w:val="nil"/>
              <w:right w:val="nil"/>
            </w:tcBorders>
            <w:shd w:val="clear" w:color="auto" w:fill="auto"/>
            <w:noWrap/>
            <w:vAlign w:val="bottom"/>
          </w:tcPr>
          <w:p w14:paraId="13BE1F31"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3,080</w:t>
            </w:r>
          </w:p>
        </w:tc>
        <w:tc>
          <w:tcPr>
            <w:tcW w:w="415" w:type="pct"/>
            <w:tcBorders>
              <w:top w:val="nil"/>
              <w:left w:val="nil"/>
              <w:bottom w:val="nil"/>
              <w:right w:val="nil"/>
            </w:tcBorders>
            <w:shd w:val="clear" w:color="auto" w:fill="auto"/>
            <w:noWrap/>
            <w:vAlign w:val="bottom"/>
          </w:tcPr>
          <w:p w14:paraId="7FBF4ECC"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655</w:t>
            </w:r>
          </w:p>
        </w:tc>
        <w:tc>
          <w:tcPr>
            <w:tcW w:w="361" w:type="pct"/>
            <w:tcBorders>
              <w:top w:val="nil"/>
              <w:left w:val="nil"/>
              <w:bottom w:val="nil"/>
              <w:right w:val="nil"/>
            </w:tcBorders>
            <w:shd w:val="clear" w:color="auto" w:fill="auto"/>
            <w:noWrap/>
            <w:vAlign w:val="bottom"/>
          </w:tcPr>
          <w:p w14:paraId="693EEA8F"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5,649</w:t>
            </w:r>
          </w:p>
        </w:tc>
        <w:tc>
          <w:tcPr>
            <w:tcW w:w="361" w:type="pct"/>
            <w:tcBorders>
              <w:top w:val="nil"/>
              <w:left w:val="nil"/>
              <w:bottom w:val="nil"/>
              <w:right w:val="nil"/>
            </w:tcBorders>
            <w:shd w:val="clear" w:color="auto" w:fill="auto"/>
            <w:noWrap/>
            <w:vAlign w:val="bottom"/>
          </w:tcPr>
          <w:p w14:paraId="2DB952EE"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4,697</w:t>
            </w:r>
          </w:p>
        </w:tc>
        <w:tc>
          <w:tcPr>
            <w:tcW w:w="348" w:type="pct"/>
            <w:tcBorders>
              <w:top w:val="nil"/>
              <w:left w:val="nil"/>
              <w:bottom w:val="nil"/>
              <w:right w:val="nil"/>
            </w:tcBorders>
            <w:shd w:val="clear" w:color="auto" w:fill="auto"/>
            <w:noWrap/>
            <w:vAlign w:val="bottom"/>
          </w:tcPr>
          <w:p w14:paraId="39AF4C47"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18,826</w:t>
            </w:r>
          </w:p>
        </w:tc>
      </w:tr>
      <w:tr w:rsidR="00805881" w:rsidRPr="00555A65" w14:paraId="0B1A6DA5" w14:textId="77777777" w:rsidTr="003D371F">
        <w:trPr>
          <w:trHeight w:val="227"/>
        </w:trPr>
        <w:tc>
          <w:tcPr>
            <w:tcW w:w="910" w:type="pct"/>
            <w:tcBorders>
              <w:top w:val="nil"/>
              <w:left w:val="nil"/>
              <w:bottom w:val="nil"/>
              <w:right w:val="nil"/>
            </w:tcBorders>
            <w:shd w:val="clear" w:color="auto" w:fill="auto"/>
            <w:noWrap/>
            <w:vAlign w:val="bottom"/>
            <w:hideMark/>
          </w:tcPr>
          <w:p w14:paraId="584DB548"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Murray rainbowfish</w:t>
            </w:r>
          </w:p>
        </w:tc>
        <w:tc>
          <w:tcPr>
            <w:tcW w:w="479" w:type="pct"/>
            <w:tcBorders>
              <w:top w:val="nil"/>
              <w:left w:val="nil"/>
              <w:bottom w:val="nil"/>
              <w:right w:val="nil"/>
            </w:tcBorders>
            <w:shd w:val="clear" w:color="auto" w:fill="auto"/>
            <w:noWrap/>
            <w:vAlign w:val="bottom"/>
          </w:tcPr>
          <w:p w14:paraId="383075A1"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6</w:t>
            </w:r>
          </w:p>
        </w:tc>
        <w:tc>
          <w:tcPr>
            <w:tcW w:w="457" w:type="pct"/>
            <w:tcBorders>
              <w:top w:val="nil"/>
              <w:left w:val="nil"/>
              <w:bottom w:val="nil"/>
              <w:right w:val="nil"/>
            </w:tcBorders>
            <w:shd w:val="clear" w:color="auto" w:fill="auto"/>
            <w:noWrap/>
            <w:vAlign w:val="bottom"/>
          </w:tcPr>
          <w:p w14:paraId="361D7F99"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59</w:t>
            </w:r>
          </w:p>
        </w:tc>
        <w:tc>
          <w:tcPr>
            <w:tcW w:w="320" w:type="pct"/>
            <w:tcBorders>
              <w:top w:val="nil"/>
              <w:left w:val="nil"/>
              <w:bottom w:val="nil"/>
              <w:right w:val="nil"/>
            </w:tcBorders>
            <w:shd w:val="clear" w:color="auto" w:fill="auto"/>
            <w:noWrap/>
            <w:vAlign w:val="bottom"/>
          </w:tcPr>
          <w:p w14:paraId="24B4EFD1"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68</w:t>
            </w:r>
          </w:p>
        </w:tc>
        <w:tc>
          <w:tcPr>
            <w:tcW w:w="280" w:type="pct"/>
            <w:tcBorders>
              <w:top w:val="nil"/>
              <w:left w:val="nil"/>
              <w:bottom w:val="nil"/>
              <w:right w:val="nil"/>
            </w:tcBorders>
            <w:shd w:val="clear" w:color="auto" w:fill="auto"/>
            <w:noWrap/>
            <w:vAlign w:val="bottom"/>
          </w:tcPr>
          <w:p w14:paraId="4C60F998"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91</w:t>
            </w:r>
          </w:p>
        </w:tc>
        <w:tc>
          <w:tcPr>
            <w:tcW w:w="307" w:type="pct"/>
            <w:tcBorders>
              <w:top w:val="nil"/>
              <w:left w:val="nil"/>
              <w:bottom w:val="nil"/>
              <w:right w:val="nil"/>
            </w:tcBorders>
            <w:shd w:val="clear" w:color="auto" w:fill="auto"/>
            <w:noWrap/>
            <w:vAlign w:val="bottom"/>
          </w:tcPr>
          <w:p w14:paraId="3F541FCC"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29</w:t>
            </w:r>
          </w:p>
        </w:tc>
        <w:tc>
          <w:tcPr>
            <w:tcW w:w="351" w:type="pct"/>
            <w:tcBorders>
              <w:top w:val="nil"/>
              <w:left w:val="nil"/>
              <w:bottom w:val="nil"/>
              <w:right w:val="nil"/>
            </w:tcBorders>
            <w:shd w:val="clear" w:color="auto" w:fill="auto"/>
            <w:noWrap/>
            <w:vAlign w:val="bottom"/>
          </w:tcPr>
          <w:p w14:paraId="1954BE50"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8</w:t>
            </w:r>
          </w:p>
        </w:tc>
        <w:tc>
          <w:tcPr>
            <w:tcW w:w="411" w:type="pct"/>
            <w:tcBorders>
              <w:top w:val="nil"/>
              <w:left w:val="nil"/>
              <w:bottom w:val="nil"/>
              <w:right w:val="nil"/>
            </w:tcBorders>
            <w:shd w:val="clear" w:color="auto" w:fill="auto"/>
            <w:noWrap/>
            <w:vAlign w:val="bottom"/>
          </w:tcPr>
          <w:p w14:paraId="6315B770"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17</w:t>
            </w:r>
          </w:p>
        </w:tc>
        <w:tc>
          <w:tcPr>
            <w:tcW w:w="415" w:type="pct"/>
            <w:tcBorders>
              <w:top w:val="nil"/>
              <w:left w:val="nil"/>
              <w:bottom w:val="nil"/>
              <w:right w:val="nil"/>
            </w:tcBorders>
            <w:shd w:val="clear" w:color="auto" w:fill="auto"/>
            <w:noWrap/>
            <w:vAlign w:val="bottom"/>
          </w:tcPr>
          <w:p w14:paraId="532B1C40"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37</w:t>
            </w:r>
          </w:p>
        </w:tc>
        <w:tc>
          <w:tcPr>
            <w:tcW w:w="361" w:type="pct"/>
            <w:tcBorders>
              <w:top w:val="nil"/>
              <w:left w:val="nil"/>
              <w:bottom w:val="nil"/>
              <w:right w:val="nil"/>
            </w:tcBorders>
            <w:shd w:val="clear" w:color="auto" w:fill="auto"/>
            <w:noWrap/>
            <w:vAlign w:val="bottom"/>
          </w:tcPr>
          <w:p w14:paraId="37E7B7EA"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3</w:t>
            </w:r>
          </w:p>
        </w:tc>
        <w:tc>
          <w:tcPr>
            <w:tcW w:w="361" w:type="pct"/>
            <w:tcBorders>
              <w:top w:val="nil"/>
              <w:left w:val="nil"/>
              <w:bottom w:val="nil"/>
              <w:right w:val="nil"/>
            </w:tcBorders>
            <w:shd w:val="clear" w:color="auto" w:fill="auto"/>
            <w:noWrap/>
            <w:vAlign w:val="bottom"/>
          </w:tcPr>
          <w:p w14:paraId="4F875EBA"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32</w:t>
            </w:r>
          </w:p>
        </w:tc>
        <w:tc>
          <w:tcPr>
            <w:tcW w:w="348" w:type="pct"/>
            <w:tcBorders>
              <w:top w:val="nil"/>
              <w:left w:val="nil"/>
              <w:bottom w:val="nil"/>
              <w:right w:val="nil"/>
            </w:tcBorders>
            <w:shd w:val="clear" w:color="auto" w:fill="auto"/>
            <w:noWrap/>
            <w:vAlign w:val="bottom"/>
          </w:tcPr>
          <w:p w14:paraId="1749F3CB"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350</w:t>
            </w:r>
          </w:p>
        </w:tc>
      </w:tr>
      <w:tr w:rsidR="00805881" w:rsidRPr="00555A65" w14:paraId="67A286BC" w14:textId="77777777" w:rsidTr="003D371F">
        <w:trPr>
          <w:trHeight w:val="227"/>
        </w:trPr>
        <w:tc>
          <w:tcPr>
            <w:tcW w:w="910" w:type="pct"/>
            <w:tcBorders>
              <w:top w:val="nil"/>
              <w:left w:val="nil"/>
              <w:bottom w:val="nil"/>
              <w:right w:val="nil"/>
            </w:tcBorders>
            <w:shd w:val="clear" w:color="auto" w:fill="auto"/>
            <w:noWrap/>
            <w:vAlign w:val="bottom"/>
            <w:hideMark/>
          </w:tcPr>
          <w:p w14:paraId="0FECFD94"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Unspecked hardyhead</w:t>
            </w:r>
          </w:p>
        </w:tc>
        <w:tc>
          <w:tcPr>
            <w:tcW w:w="479" w:type="pct"/>
            <w:tcBorders>
              <w:top w:val="nil"/>
              <w:left w:val="nil"/>
              <w:bottom w:val="nil"/>
              <w:right w:val="nil"/>
            </w:tcBorders>
            <w:shd w:val="clear" w:color="auto" w:fill="auto"/>
            <w:noWrap/>
            <w:vAlign w:val="bottom"/>
          </w:tcPr>
          <w:p w14:paraId="11C8D7CE"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18</w:t>
            </w:r>
          </w:p>
        </w:tc>
        <w:tc>
          <w:tcPr>
            <w:tcW w:w="457" w:type="pct"/>
            <w:tcBorders>
              <w:top w:val="nil"/>
              <w:left w:val="nil"/>
              <w:bottom w:val="nil"/>
              <w:right w:val="nil"/>
            </w:tcBorders>
            <w:shd w:val="clear" w:color="auto" w:fill="auto"/>
            <w:noWrap/>
            <w:vAlign w:val="bottom"/>
          </w:tcPr>
          <w:p w14:paraId="610BC6C9"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87</w:t>
            </w:r>
          </w:p>
        </w:tc>
        <w:tc>
          <w:tcPr>
            <w:tcW w:w="320" w:type="pct"/>
            <w:tcBorders>
              <w:top w:val="nil"/>
              <w:left w:val="nil"/>
              <w:bottom w:val="nil"/>
              <w:right w:val="nil"/>
            </w:tcBorders>
            <w:shd w:val="clear" w:color="auto" w:fill="auto"/>
            <w:noWrap/>
            <w:vAlign w:val="bottom"/>
          </w:tcPr>
          <w:p w14:paraId="1BD5FBC4"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2</w:t>
            </w:r>
          </w:p>
        </w:tc>
        <w:tc>
          <w:tcPr>
            <w:tcW w:w="280" w:type="pct"/>
            <w:tcBorders>
              <w:top w:val="nil"/>
              <w:left w:val="nil"/>
              <w:bottom w:val="nil"/>
              <w:right w:val="nil"/>
            </w:tcBorders>
            <w:shd w:val="clear" w:color="auto" w:fill="auto"/>
            <w:noWrap/>
            <w:vAlign w:val="bottom"/>
          </w:tcPr>
          <w:p w14:paraId="7B285382"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23</w:t>
            </w:r>
          </w:p>
        </w:tc>
        <w:tc>
          <w:tcPr>
            <w:tcW w:w="307" w:type="pct"/>
            <w:tcBorders>
              <w:top w:val="nil"/>
              <w:left w:val="nil"/>
              <w:bottom w:val="nil"/>
              <w:right w:val="nil"/>
            </w:tcBorders>
            <w:shd w:val="clear" w:color="auto" w:fill="auto"/>
            <w:noWrap/>
            <w:vAlign w:val="bottom"/>
          </w:tcPr>
          <w:p w14:paraId="5518A31A"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7</w:t>
            </w:r>
          </w:p>
        </w:tc>
        <w:tc>
          <w:tcPr>
            <w:tcW w:w="351" w:type="pct"/>
            <w:tcBorders>
              <w:top w:val="nil"/>
              <w:left w:val="nil"/>
              <w:bottom w:val="nil"/>
              <w:right w:val="nil"/>
            </w:tcBorders>
            <w:shd w:val="clear" w:color="auto" w:fill="auto"/>
            <w:noWrap/>
            <w:vAlign w:val="bottom"/>
          </w:tcPr>
          <w:p w14:paraId="2D360678"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5</w:t>
            </w:r>
          </w:p>
        </w:tc>
        <w:tc>
          <w:tcPr>
            <w:tcW w:w="411" w:type="pct"/>
            <w:tcBorders>
              <w:top w:val="nil"/>
              <w:left w:val="nil"/>
              <w:bottom w:val="nil"/>
              <w:right w:val="nil"/>
            </w:tcBorders>
            <w:shd w:val="clear" w:color="auto" w:fill="auto"/>
            <w:noWrap/>
            <w:vAlign w:val="bottom"/>
          </w:tcPr>
          <w:p w14:paraId="0CA30443"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2</w:t>
            </w:r>
          </w:p>
        </w:tc>
        <w:tc>
          <w:tcPr>
            <w:tcW w:w="415" w:type="pct"/>
            <w:tcBorders>
              <w:top w:val="nil"/>
              <w:left w:val="nil"/>
              <w:bottom w:val="nil"/>
              <w:right w:val="nil"/>
            </w:tcBorders>
            <w:shd w:val="clear" w:color="auto" w:fill="auto"/>
            <w:noWrap/>
            <w:vAlign w:val="bottom"/>
          </w:tcPr>
          <w:p w14:paraId="64E72992"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20</w:t>
            </w:r>
          </w:p>
        </w:tc>
        <w:tc>
          <w:tcPr>
            <w:tcW w:w="361" w:type="pct"/>
            <w:tcBorders>
              <w:top w:val="nil"/>
              <w:left w:val="nil"/>
              <w:bottom w:val="nil"/>
              <w:right w:val="nil"/>
            </w:tcBorders>
            <w:shd w:val="clear" w:color="auto" w:fill="auto"/>
            <w:noWrap/>
            <w:vAlign w:val="bottom"/>
          </w:tcPr>
          <w:p w14:paraId="1332BED4"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13</w:t>
            </w:r>
          </w:p>
        </w:tc>
        <w:tc>
          <w:tcPr>
            <w:tcW w:w="361" w:type="pct"/>
            <w:tcBorders>
              <w:top w:val="nil"/>
              <w:left w:val="nil"/>
              <w:bottom w:val="nil"/>
              <w:right w:val="nil"/>
            </w:tcBorders>
            <w:shd w:val="clear" w:color="auto" w:fill="auto"/>
            <w:noWrap/>
            <w:vAlign w:val="bottom"/>
          </w:tcPr>
          <w:p w14:paraId="1CCF7700"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248</w:t>
            </w:r>
          </w:p>
        </w:tc>
        <w:tc>
          <w:tcPr>
            <w:tcW w:w="348" w:type="pct"/>
            <w:tcBorders>
              <w:top w:val="nil"/>
              <w:left w:val="nil"/>
              <w:bottom w:val="nil"/>
              <w:right w:val="nil"/>
            </w:tcBorders>
            <w:shd w:val="clear" w:color="auto" w:fill="auto"/>
            <w:noWrap/>
            <w:vAlign w:val="bottom"/>
          </w:tcPr>
          <w:p w14:paraId="5E150660"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425</w:t>
            </w:r>
          </w:p>
        </w:tc>
      </w:tr>
      <w:tr w:rsidR="00805881" w:rsidRPr="00555A65" w14:paraId="24468974" w14:textId="77777777" w:rsidTr="003D371F">
        <w:trPr>
          <w:trHeight w:val="227"/>
        </w:trPr>
        <w:tc>
          <w:tcPr>
            <w:tcW w:w="910" w:type="pct"/>
            <w:tcBorders>
              <w:top w:val="nil"/>
              <w:left w:val="nil"/>
              <w:bottom w:val="nil"/>
              <w:right w:val="nil"/>
            </w:tcBorders>
            <w:shd w:val="clear" w:color="auto" w:fill="auto"/>
            <w:noWrap/>
            <w:vAlign w:val="bottom"/>
            <w:hideMark/>
          </w:tcPr>
          <w:p w14:paraId="6117CFC8"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Flatheaded gudgeon</w:t>
            </w:r>
          </w:p>
        </w:tc>
        <w:tc>
          <w:tcPr>
            <w:tcW w:w="479" w:type="pct"/>
            <w:tcBorders>
              <w:top w:val="nil"/>
              <w:left w:val="nil"/>
              <w:bottom w:val="nil"/>
              <w:right w:val="nil"/>
            </w:tcBorders>
            <w:shd w:val="clear" w:color="auto" w:fill="auto"/>
            <w:noWrap/>
            <w:vAlign w:val="bottom"/>
          </w:tcPr>
          <w:p w14:paraId="698B24AA"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15</w:t>
            </w:r>
          </w:p>
        </w:tc>
        <w:tc>
          <w:tcPr>
            <w:tcW w:w="457" w:type="pct"/>
            <w:tcBorders>
              <w:top w:val="nil"/>
              <w:left w:val="nil"/>
              <w:bottom w:val="nil"/>
              <w:right w:val="nil"/>
            </w:tcBorders>
            <w:shd w:val="clear" w:color="auto" w:fill="auto"/>
            <w:noWrap/>
            <w:vAlign w:val="bottom"/>
          </w:tcPr>
          <w:p w14:paraId="1A0A7503"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1</w:t>
            </w:r>
          </w:p>
        </w:tc>
        <w:tc>
          <w:tcPr>
            <w:tcW w:w="320" w:type="pct"/>
            <w:tcBorders>
              <w:top w:val="nil"/>
              <w:left w:val="nil"/>
              <w:bottom w:val="nil"/>
              <w:right w:val="nil"/>
            </w:tcBorders>
            <w:shd w:val="clear" w:color="auto" w:fill="auto"/>
            <w:noWrap/>
            <w:vAlign w:val="bottom"/>
          </w:tcPr>
          <w:p w14:paraId="1E37B31B" w14:textId="77777777" w:rsidR="00805881" w:rsidRPr="00555A65" w:rsidRDefault="00805881" w:rsidP="003D371F">
            <w:pPr>
              <w:spacing w:after="0" w:line="240" w:lineRule="auto"/>
              <w:contextualSpacing/>
              <w:jc w:val="right"/>
              <w:rPr>
                <w:rFonts w:cs="Calibri"/>
                <w:sz w:val="17"/>
                <w:szCs w:val="17"/>
                <w:lang w:eastAsia="en-AU"/>
              </w:rPr>
            </w:pPr>
          </w:p>
        </w:tc>
        <w:tc>
          <w:tcPr>
            <w:tcW w:w="280" w:type="pct"/>
            <w:tcBorders>
              <w:top w:val="nil"/>
              <w:left w:val="nil"/>
              <w:bottom w:val="nil"/>
              <w:right w:val="nil"/>
            </w:tcBorders>
            <w:shd w:val="clear" w:color="auto" w:fill="auto"/>
            <w:noWrap/>
            <w:vAlign w:val="bottom"/>
          </w:tcPr>
          <w:p w14:paraId="59DEE36E"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1</w:t>
            </w:r>
          </w:p>
        </w:tc>
        <w:tc>
          <w:tcPr>
            <w:tcW w:w="307" w:type="pct"/>
            <w:tcBorders>
              <w:top w:val="nil"/>
              <w:left w:val="nil"/>
              <w:bottom w:val="nil"/>
              <w:right w:val="nil"/>
            </w:tcBorders>
            <w:shd w:val="clear" w:color="auto" w:fill="auto"/>
            <w:noWrap/>
            <w:vAlign w:val="bottom"/>
          </w:tcPr>
          <w:p w14:paraId="56C7DDE2" w14:textId="77777777" w:rsidR="00805881" w:rsidRPr="00555A65" w:rsidRDefault="00805881" w:rsidP="003D371F">
            <w:pPr>
              <w:spacing w:after="0" w:line="240" w:lineRule="auto"/>
              <w:contextualSpacing/>
              <w:jc w:val="right"/>
              <w:rPr>
                <w:rFonts w:cs="Calibri"/>
                <w:sz w:val="17"/>
                <w:szCs w:val="17"/>
                <w:lang w:eastAsia="en-AU"/>
              </w:rPr>
            </w:pPr>
          </w:p>
        </w:tc>
        <w:tc>
          <w:tcPr>
            <w:tcW w:w="351" w:type="pct"/>
            <w:tcBorders>
              <w:top w:val="nil"/>
              <w:left w:val="nil"/>
              <w:bottom w:val="nil"/>
              <w:right w:val="nil"/>
            </w:tcBorders>
            <w:shd w:val="clear" w:color="auto" w:fill="auto"/>
            <w:noWrap/>
            <w:vAlign w:val="bottom"/>
          </w:tcPr>
          <w:p w14:paraId="4C9808A8" w14:textId="77777777" w:rsidR="00805881" w:rsidRPr="00555A65" w:rsidRDefault="00805881" w:rsidP="003D371F">
            <w:pPr>
              <w:spacing w:after="0" w:line="240" w:lineRule="auto"/>
              <w:contextualSpacing/>
              <w:jc w:val="right"/>
              <w:rPr>
                <w:rFonts w:cs="Calibri"/>
                <w:sz w:val="17"/>
                <w:szCs w:val="17"/>
                <w:lang w:eastAsia="en-AU"/>
              </w:rPr>
            </w:pPr>
          </w:p>
        </w:tc>
        <w:tc>
          <w:tcPr>
            <w:tcW w:w="411" w:type="pct"/>
            <w:tcBorders>
              <w:top w:val="nil"/>
              <w:left w:val="nil"/>
              <w:bottom w:val="nil"/>
              <w:right w:val="nil"/>
            </w:tcBorders>
            <w:shd w:val="clear" w:color="auto" w:fill="auto"/>
            <w:noWrap/>
            <w:vAlign w:val="bottom"/>
          </w:tcPr>
          <w:p w14:paraId="7F9101E6" w14:textId="77777777" w:rsidR="00805881" w:rsidRPr="00555A65" w:rsidRDefault="00805881" w:rsidP="003D371F">
            <w:pPr>
              <w:spacing w:after="0" w:line="240" w:lineRule="auto"/>
              <w:contextualSpacing/>
              <w:jc w:val="right"/>
              <w:rPr>
                <w:rFonts w:cs="Calibri"/>
                <w:sz w:val="17"/>
                <w:szCs w:val="17"/>
                <w:lang w:eastAsia="en-AU"/>
              </w:rPr>
            </w:pPr>
          </w:p>
        </w:tc>
        <w:tc>
          <w:tcPr>
            <w:tcW w:w="415" w:type="pct"/>
            <w:tcBorders>
              <w:top w:val="nil"/>
              <w:left w:val="nil"/>
              <w:bottom w:val="nil"/>
              <w:right w:val="nil"/>
            </w:tcBorders>
            <w:shd w:val="clear" w:color="auto" w:fill="auto"/>
            <w:noWrap/>
            <w:vAlign w:val="bottom"/>
          </w:tcPr>
          <w:p w14:paraId="7902D1D5" w14:textId="77777777" w:rsidR="00805881" w:rsidRPr="00555A65" w:rsidRDefault="00805881" w:rsidP="003D371F">
            <w:pPr>
              <w:spacing w:after="0" w:line="240" w:lineRule="auto"/>
              <w:contextualSpacing/>
              <w:jc w:val="right"/>
              <w:rPr>
                <w:rFonts w:cs="Calibri"/>
                <w:sz w:val="17"/>
                <w:szCs w:val="17"/>
                <w:lang w:eastAsia="en-AU"/>
              </w:rPr>
            </w:pPr>
          </w:p>
        </w:tc>
        <w:tc>
          <w:tcPr>
            <w:tcW w:w="361" w:type="pct"/>
            <w:tcBorders>
              <w:top w:val="nil"/>
              <w:left w:val="nil"/>
              <w:bottom w:val="nil"/>
              <w:right w:val="nil"/>
            </w:tcBorders>
            <w:shd w:val="clear" w:color="auto" w:fill="auto"/>
            <w:noWrap/>
            <w:vAlign w:val="bottom"/>
          </w:tcPr>
          <w:p w14:paraId="7C38CD30"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1</w:t>
            </w:r>
          </w:p>
        </w:tc>
        <w:tc>
          <w:tcPr>
            <w:tcW w:w="361" w:type="pct"/>
            <w:tcBorders>
              <w:top w:val="nil"/>
              <w:left w:val="nil"/>
              <w:bottom w:val="nil"/>
              <w:right w:val="nil"/>
            </w:tcBorders>
            <w:shd w:val="clear" w:color="auto" w:fill="auto"/>
            <w:noWrap/>
            <w:vAlign w:val="bottom"/>
          </w:tcPr>
          <w:p w14:paraId="2A24B189"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2</w:t>
            </w:r>
          </w:p>
        </w:tc>
        <w:tc>
          <w:tcPr>
            <w:tcW w:w="348" w:type="pct"/>
            <w:tcBorders>
              <w:top w:val="nil"/>
              <w:left w:val="nil"/>
              <w:bottom w:val="nil"/>
              <w:right w:val="nil"/>
            </w:tcBorders>
            <w:shd w:val="clear" w:color="auto" w:fill="auto"/>
            <w:noWrap/>
            <w:vAlign w:val="bottom"/>
          </w:tcPr>
          <w:p w14:paraId="5CBB9B6D"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20</w:t>
            </w:r>
          </w:p>
        </w:tc>
      </w:tr>
      <w:tr w:rsidR="00805881" w:rsidRPr="00555A65" w14:paraId="2E65B846" w14:textId="77777777" w:rsidTr="003D371F">
        <w:trPr>
          <w:trHeight w:val="227"/>
        </w:trPr>
        <w:tc>
          <w:tcPr>
            <w:tcW w:w="910" w:type="pct"/>
            <w:tcBorders>
              <w:top w:val="nil"/>
              <w:left w:val="nil"/>
              <w:bottom w:val="nil"/>
              <w:right w:val="nil"/>
            </w:tcBorders>
            <w:shd w:val="clear" w:color="auto" w:fill="auto"/>
            <w:noWrap/>
            <w:vAlign w:val="bottom"/>
            <w:hideMark/>
          </w:tcPr>
          <w:p w14:paraId="4113ED59"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Dwarf-flatheaded gudgeon</w:t>
            </w:r>
          </w:p>
        </w:tc>
        <w:tc>
          <w:tcPr>
            <w:tcW w:w="479" w:type="pct"/>
            <w:tcBorders>
              <w:top w:val="nil"/>
              <w:left w:val="nil"/>
              <w:bottom w:val="nil"/>
              <w:right w:val="nil"/>
            </w:tcBorders>
            <w:shd w:val="clear" w:color="auto" w:fill="auto"/>
            <w:noWrap/>
            <w:vAlign w:val="bottom"/>
          </w:tcPr>
          <w:p w14:paraId="348550BD"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5</w:t>
            </w:r>
          </w:p>
        </w:tc>
        <w:tc>
          <w:tcPr>
            <w:tcW w:w="457" w:type="pct"/>
            <w:tcBorders>
              <w:top w:val="nil"/>
              <w:left w:val="nil"/>
              <w:bottom w:val="nil"/>
              <w:right w:val="nil"/>
            </w:tcBorders>
            <w:shd w:val="clear" w:color="auto" w:fill="auto"/>
            <w:noWrap/>
            <w:vAlign w:val="bottom"/>
          </w:tcPr>
          <w:p w14:paraId="79774197"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4</w:t>
            </w:r>
          </w:p>
        </w:tc>
        <w:tc>
          <w:tcPr>
            <w:tcW w:w="320" w:type="pct"/>
            <w:tcBorders>
              <w:top w:val="nil"/>
              <w:left w:val="nil"/>
              <w:bottom w:val="nil"/>
              <w:right w:val="nil"/>
            </w:tcBorders>
            <w:shd w:val="clear" w:color="auto" w:fill="auto"/>
            <w:noWrap/>
            <w:vAlign w:val="bottom"/>
          </w:tcPr>
          <w:p w14:paraId="6F1C4360"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2</w:t>
            </w:r>
          </w:p>
        </w:tc>
        <w:tc>
          <w:tcPr>
            <w:tcW w:w="280" w:type="pct"/>
            <w:tcBorders>
              <w:top w:val="nil"/>
              <w:left w:val="nil"/>
              <w:bottom w:val="nil"/>
              <w:right w:val="nil"/>
            </w:tcBorders>
            <w:shd w:val="clear" w:color="auto" w:fill="auto"/>
            <w:noWrap/>
            <w:vAlign w:val="bottom"/>
          </w:tcPr>
          <w:p w14:paraId="2A51AE17"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2</w:t>
            </w:r>
          </w:p>
        </w:tc>
        <w:tc>
          <w:tcPr>
            <w:tcW w:w="307" w:type="pct"/>
            <w:tcBorders>
              <w:top w:val="nil"/>
              <w:left w:val="nil"/>
              <w:bottom w:val="nil"/>
              <w:right w:val="nil"/>
            </w:tcBorders>
            <w:shd w:val="clear" w:color="auto" w:fill="auto"/>
            <w:noWrap/>
            <w:vAlign w:val="bottom"/>
          </w:tcPr>
          <w:p w14:paraId="1A9077B5"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11</w:t>
            </w:r>
          </w:p>
        </w:tc>
        <w:tc>
          <w:tcPr>
            <w:tcW w:w="351" w:type="pct"/>
            <w:tcBorders>
              <w:top w:val="nil"/>
              <w:left w:val="nil"/>
              <w:bottom w:val="nil"/>
              <w:right w:val="nil"/>
            </w:tcBorders>
            <w:shd w:val="clear" w:color="auto" w:fill="auto"/>
            <w:noWrap/>
            <w:vAlign w:val="bottom"/>
          </w:tcPr>
          <w:p w14:paraId="334D1BF1"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1</w:t>
            </w:r>
          </w:p>
        </w:tc>
        <w:tc>
          <w:tcPr>
            <w:tcW w:w="411" w:type="pct"/>
            <w:tcBorders>
              <w:top w:val="nil"/>
              <w:left w:val="nil"/>
              <w:bottom w:val="nil"/>
              <w:right w:val="nil"/>
            </w:tcBorders>
            <w:shd w:val="clear" w:color="auto" w:fill="auto"/>
            <w:noWrap/>
            <w:vAlign w:val="bottom"/>
          </w:tcPr>
          <w:p w14:paraId="3035C771"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9</w:t>
            </w:r>
          </w:p>
        </w:tc>
        <w:tc>
          <w:tcPr>
            <w:tcW w:w="415" w:type="pct"/>
            <w:tcBorders>
              <w:top w:val="nil"/>
              <w:left w:val="nil"/>
              <w:bottom w:val="nil"/>
              <w:right w:val="nil"/>
            </w:tcBorders>
            <w:shd w:val="clear" w:color="auto" w:fill="auto"/>
            <w:noWrap/>
            <w:vAlign w:val="bottom"/>
          </w:tcPr>
          <w:p w14:paraId="1A30FA31"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5</w:t>
            </w:r>
          </w:p>
        </w:tc>
        <w:tc>
          <w:tcPr>
            <w:tcW w:w="361" w:type="pct"/>
            <w:tcBorders>
              <w:top w:val="nil"/>
              <w:left w:val="nil"/>
              <w:bottom w:val="nil"/>
              <w:right w:val="nil"/>
            </w:tcBorders>
            <w:shd w:val="clear" w:color="auto" w:fill="auto"/>
            <w:noWrap/>
            <w:vAlign w:val="bottom"/>
          </w:tcPr>
          <w:p w14:paraId="63FAEFDB"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29</w:t>
            </w:r>
          </w:p>
        </w:tc>
        <w:tc>
          <w:tcPr>
            <w:tcW w:w="361" w:type="pct"/>
            <w:tcBorders>
              <w:top w:val="nil"/>
              <w:left w:val="nil"/>
              <w:bottom w:val="nil"/>
              <w:right w:val="nil"/>
            </w:tcBorders>
            <w:shd w:val="clear" w:color="auto" w:fill="auto"/>
            <w:noWrap/>
            <w:vAlign w:val="bottom"/>
          </w:tcPr>
          <w:p w14:paraId="2CD09E65"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18</w:t>
            </w:r>
          </w:p>
        </w:tc>
        <w:tc>
          <w:tcPr>
            <w:tcW w:w="348" w:type="pct"/>
            <w:tcBorders>
              <w:top w:val="nil"/>
              <w:left w:val="nil"/>
              <w:bottom w:val="nil"/>
              <w:right w:val="nil"/>
            </w:tcBorders>
            <w:shd w:val="clear" w:color="auto" w:fill="auto"/>
            <w:noWrap/>
            <w:vAlign w:val="bottom"/>
          </w:tcPr>
          <w:p w14:paraId="5A594981"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86</w:t>
            </w:r>
          </w:p>
        </w:tc>
      </w:tr>
      <w:tr w:rsidR="00805881" w:rsidRPr="00555A65" w14:paraId="138F2282" w14:textId="77777777" w:rsidTr="003D371F">
        <w:trPr>
          <w:trHeight w:val="227"/>
        </w:trPr>
        <w:tc>
          <w:tcPr>
            <w:tcW w:w="910" w:type="pct"/>
            <w:tcBorders>
              <w:top w:val="nil"/>
              <w:left w:val="nil"/>
              <w:bottom w:val="nil"/>
              <w:right w:val="nil"/>
            </w:tcBorders>
            <w:shd w:val="clear" w:color="auto" w:fill="auto"/>
            <w:noWrap/>
            <w:vAlign w:val="bottom"/>
            <w:hideMark/>
          </w:tcPr>
          <w:p w14:paraId="0F5B2A2D"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Australian smelt</w:t>
            </w:r>
          </w:p>
        </w:tc>
        <w:tc>
          <w:tcPr>
            <w:tcW w:w="479" w:type="pct"/>
            <w:tcBorders>
              <w:top w:val="nil"/>
              <w:left w:val="nil"/>
              <w:bottom w:val="nil"/>
              <w:right w:val="nil"/>
            </w:tcBorders>
            <w:shd w:val="clear" w:color="auto" w:fill="auto"/>
            <w:noWrap/>
            <w:vAlign w:val="bottom"/>
          </w:tcPr>
          <w:p w14:paraId="376DC489" w14:textId="77777777" w:rsidR="00805881" w:rsidRPr="00555A65" w:rsidRDefault="00805881" w:rsidP="003D371F">
            <w:pPr>
              <w:spacing w:after="0" w:line="240" w:lineRule="auto"/>
              <w:contextualSpacing/>
              <w:jc w:val="right"/>
              <w:rPr>
                <w:rFonts w:cs="Calibri"/>
                <w:sz w:val="17"/>
                <w:szCs w:val="17"/>
                <w:lang w:eastAsia="en-AU"/>
              </w:rPr>
            </w:pPr>
          </w:p>
        </w:tc>
        <w:tc>
          <w:tcPr>
            <w:tcW w:w="457" w:type="pct"/>
            <w:tcBorders>
              <w:top w:val="nil"/>
              <w:left w:val="nil"/>
              <w:bottom w:val="nil"/>
              <w:right w:val="nil"/>
            </w:tcBorders>
            <w:shd w:val="clear" w:color="auto" w:fill="auto"/>
            <w:noWrap/>
            <w:vAlign w:val="bottom"/>
          </w:tcPr>
          <w:p w14:paraId="09197A7D"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5</w:t>
            </w:r>
          </w:p>
        </w:tc>
        <w:tc>
          <w:tcPr>
            <w:tcW w:w="320" w:type="pct"/>
            <w:tcBorders>
              <w:top w:val="nil"/>
              <w:left w:val="nil"/>
              <w:bottom w:val="nil"/>
              <w:right w:val="nil"/>
            </w:tcBorders>
            <w:shd w:val="clear" w:color="auto" w:fill="auto"/>
            <w:noWrap/>
            <w:vAlign w:val="bottom"/>
          </w:tcPr>
          <w:p w14:paraId="317CC229" w14:textId="77777777" w:rsidR="00805881" w:rsidRPr="00555A65" w:rsidRDefault="00805881" w:rsidP="003D371F">
            <w:pPr>
              <w:spacing w:after="0" w:line="240" w:lineRule="auto"/>
              <w:contextualSpacing/>
              <w:jc w:val="right"/>
              <w:rPr>
                <w:rFonts w:cs="Calibri"/>
                <w:sz w:val="17"/>
                <w:szCs w:val="17"/>
                <w:lang w:eastAsia="en-AU"/>
              </w:rPr>
            </w:pPr>
          </w:p>
        </w:tc>
        <w:tc>
          <w:tcPr>
            <w:tcW w:w="280" w:type="pct"/>
            <w:tcBorders>
              <w:top w:val="nil"/>
              <w:left w:val="nil"/>
              <w:bottom w:val="nil"/>
              <w:right w:val="nil"/>
            </w:tcBorders>
            <w:shd w:val="clear" w:color="auto" w:fill="auto"/>
            <w:noWrap/>
            <w:vAlign w:val="bottom"/>
          </w:tcPr>
          <w:p w14:paraId="1A3173F1"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58</w:t>
            </w:r>
          </w:p>
        </w:tc>
        <w:tc>
          <w:tcPr>
            <w:tcW w:w="307" w:type="pct"/>
            <w:tcBorders>
              <w:top w:val="nil"/>
              <w:left w:val="nil"/>
              <w:bottom w:val="nil"/>
              <w:right w:val="nil"/>
            </w:tcBorders>
            <w:shd w:val="clear" w:color="auto" w:fill="auto"/>
            <w:noWrap/>
            <w:vAlign w:val="bottom"/>
          </w:tcPr>
          <w:p w14:paraId="76399E3E" w14:textId="77777777" w:rsidR="00805881" w:rsidRPr="00555A65" w:rsidRDefault="00805881" w:rsidP="003D371F">
            <w:pPr>
              <w:spacing w:after="0" w:line="240" w:lineRule="auto"/>
              <w:contextualSpacing/>
              <w:jc w:val="right"/>
              <w:rPr>
                <w:rFonts w:cs="Calibri"/>
                <w:sz w:val="17"/>
                <w:szCs w:val="17"/>
                <w:lang w:eastAsia="en-AU"/>
              </w:rPr>
            </w:pPr>
          </w:p>
        </w:tc>
        <w:tc>
          <w:tcPr>
            <w:tcW w:w="351" w:type="pct"/>
            <w:tcBorders>
              <w:top w:val="nil"/>
              <w:left w:val="nil"/>
              <w:bottom w:val="nil"/>
              <w:right w:val="nil"/>
            </w:tcBorders>
            <w:shd w:val="clear" w:color="auto" w:fill="auto"/>
            <w:noWrap/>
            <w:vAlign w:val="bottom"/>
          </w:tcPr>
          <w:p w14:paraId="1B78AB7C" w14:textId="77777777" w:rsidR="00805881" w:rsidRPr="00555A65" w:rsidRDefault="00805881" w:rsidP="003D371F">
            <w:pPr>
              <w:spacing w:after="0" w:line="240" w:lineRule="auto"/>
              <w:contextualSpacing/>
              <w:jc w:val="right"/>
              <w:rPr>
                <w:rFonts w:cs="Calibri"/>
                <w:sz w:val="17"/>
                <w:szCs w:val="17"/>
                <w:lang w:eastAsia="en-AU"/>
              </w:rPr>
            </w:pPr>
          </w:p>
        </w:tc>
        <w:tc>
          <w:tcPr>
            <w:tcW w:w="411" w:type="pct"/>
            <w:tcBorders>
              <w:top w:val="nil"/>
              <w:left w:val="nil"/>
              <w:bottom w:val="nil"/>
              <w:right w:val="nil"/>
            </w:tcBorders>
            <w:shd w:val="clear" w:color="auto" w:fill="auto"/>
            <w:noWrap/>
            <w:vAlign w:val="bottom"/>
          </w:tcPr>
          <w:p w14:paraId="7F576A5E" w14:textId="77777777" w:rsidR="00805881" w:rsidRPr="00555A65" w:rsidRDefault="00805881" w:rsidP="003D371F">
            <w:pPr>
              <w:spacing w:after="0" w:line="240" w:lineRule="auto"/>
              <w:contextualSpacing/>
              <w:jc w:val="right"/>
              <w:rPr>
                <w:rFonts w:cs="Calibri"/>
                <w:sz w:val="17"/>
                <w:szCs w:val="17"/>
                <w:lang w:eastAsia="en-AU"/>
              </w:rPr>
            </w:pPr>
          </w:p>
        </w:tc>
        <w:tc>
          <w:tcPr>
            <w:tcW w:w="415" w:type="pct"/>
            <w:tcBorders>
              <w:top w:val="nil"/>
              <w:left w:val="nil"/>
              <w:bottom w:val="nil"/>
              <w:right w:val="nil"/>
            </w:tcBorders>
            <w:shd w:val="clear" w:color="auto" w:fill="auto"/>
            <w:noWrap/>
            <w:vAlign w:val="bottom"/>
          </w:tcPr>
          <w:p w14:paraId="57988C70"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7</w:t>
            </w:r>
          </w:p>
        </w:tc>
        <w:tc>
          <w:tcPr>
            <w:tcW w:w="361" w:type="pct"/>
            <w:tcBorders>
              <w:top w:val="nil"/>
              <w:left w:val="nil"/>
              <w:bottom w:val="nil"/>
              <w:right w:val="nil"/>
            </w:tcBorders>
            <w:shd w:val="clear" w:color="auto" w:fill="auto"/>
            <w:noWrap/>
            <w:vAlign w:val="bottom"/>
          </w:tcPr>
          <w:p w14:paraId="12507AEF"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4</w:t>
            </w:r>
          </w:p>
        </w:tc>
        <w:tc>
          <w:tcPr>
            <w:tcW w:w="361" w:type="pct"/>
            <w:tcBorders>
              <w:top w:val="nil"/>
              <w:left w:val="nil"/>
              <w:bottom w:val="nil"/>
              <w:right w:val="nil"/>
            </w:tcBorders>
            <w:shd w:val="clear" w:color="auto" w:fill="auto"/>
            <w:noWrap/>
            <w:vAlign w:val="bottom"/>
          </w:tcPr>
          <w:p w14:paraId="3488D8EC"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2</w:t>
            </w:r>
          </w:p>
        </w:tc>
        <w:tc>
          <w:tcPr>
            <w:tcW w:w="348" w:type="pct"/>
            <w:tcBorders>
              <w:top w:val="nil"/>
              <w:left w:val="nil"/>
              <w:bottom w:val="nil"/>
              <w:right w:val="nil"/>
            </w:tcBorders>
            <w:shd w:val="clear" w:color="auto" w:fill="auto"/>
            <w:noWrap/>
            <w:vAlign w:val="bottom"/>
          </w:tcPr>
          <w:p w14:paraId="00F6B51F"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76</w:t>
            </w:r>
          </w:p>
        </w:tc>
      </w:tr>
      <w:tr w:rsidR="00805881" w:rsidRPr="00555A65" w14:paraId="125D74DB" w14:textId="77777777" w:rsidTr="003D371F">
        <w:trPr>
          <w:trHeight w:val="227"/>
        </w:trPr>
        <w:tc>
          <w:tcPr>
            <w:tcW w:w="910" w:type="pct"/>
            <w:tcBorders>
              <w:top w:val="nil"/>
              <w:left w:val="nil"/>
              <w:bottom w:val="nil"/>
              <w:right w:val="nil"/>
            </w:tcBorders>
            <w:shd w:val="clear" w:color="auto" w:fill="auto"/>
            <w:noWrap/>
            <w:vAlign w:val="bottom"/>
            <w:hideMark/>
          </w:tcPr>
          <w:p w14:paraId="752B8A33"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Gambusia</w:t>
            </w:r>
          </w:p>
        </w:tc>
        <w:tc>
          <w:tcPr>
            <w:tcW w:w="479" w:type="pct"/>
            <w:tcBorders>
              <w:top w:val="nil"/>
              <w:left w:val="nil"/>
              <w:bottom w:val="nil"/>
              <w:right w:val="nil"/>
            </w:tcBorders>
            <w:shd w:val="clear" w:color="auto" w:fill="auto"/>
            <w:noWrap/>
            <w:vAlign w:val="bottom"/>
          </w:tcPr>
          <w:p w14:paraId="2261BBFB"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5</w:t>
            </w:r>
          </w:p>
        </w:tc>
        <w:tc>
          <w:tcPr>
            <w:tcW w:w="457" w:type="pct"/>
            <w:tcBorders>
              <w:top w:val="nil"/>
              <w:left w:val="nil"/>
              <w:bottom w:val="nil"/>
              <w:right w:val="nil"/>
            </w:tcBorders>
            <w:shd w:val="clear" w:color="auto" w:fill="auto"/>
            <w:noWrap/>
            <w:vAlign w:val="bottom"/>
          </w:tcPr>
          <w:p w14:paraId="1A754834"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206</w:t>
            </w:r>
          </w:p>
        </w:tc>
        <w:tc>
          <w:tcPr>
            <w:tcW w:w="320" w:type="pct"/>
            <w:tcBorders>
              <w:top w:val="nil"/>
              <w:left w:val="nil"/>
              <w:bottom w:val="nil"/>
              <w:right w:val="nil"/>
            </w:tcBorders>
            <w:shd w:val="clear" w:color="auto" w:fill="auto"/>
            <w:noWrap/>
            <w:vAlign w:val="bottom"/>
          </w:tcPr>
          <w:p w14:paraId="205FB953"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83</w:t>
            </w:r>
          </w:p>
        </w:tc>
        <w:tc>
          <w:tcPr>
            <w:tcW w:w="280" w:type="pct"/>
            <w:tcBorders>
              <w:top w:val="nil"/>
              <w:left w:val="nil"/>
              <w:bottom w:val="nil"/>
              <w:right w:val="nil"/>
            </w:tcBorders>
            <w:shd w:val="clear" w:color="auto" w:fill="auto"/>
            <w:noWrap/>
            <w:vAlign w:val="bottom"/>
          </w:tcPr>
          <w:p w14:paraId="1355751B"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125</w:t>
            </w:r>
          </w:p>
        </w:tc>
        <w:tc>
          <w:tcPr>
            <w:tcW w:w="307" w:type="pct"/>
            <w:tcBorders>
              <w:top w:val="nil"/>
              <w:left w:val="nil"/>
              <w:bottom w:val="nil"/>
              <w:right w:val="nil"/>
            </w:tcBorders>
            <w:shd w:val="clear" w:color="auto" w:fill="auto"/>
            <w:noWrap/>
            <w:vAlign w:val="bottom"/>
          </w:tcPr>
          <w:p w14:paraId="507A3904"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8</w:t>
            </w:r>
          </w:p>
        </w:tc>
        <w:tc>
          <w:tcPr>
            <w:tcW w:w="351" w:type="pct"/>
            <w:tcBorders>
              <w:top w:val="nil"/>
              <w:left w:val="nil"/>
              <w:bottom w:val="nil"/>
              <w:right w:val="nil"/>
            </w:tcBorders>
            <w:shd w:val="clear" w:color="auto" w:fill="auto"/>
            <w:noWrap/>
            <w:vAlign w:val="bottom"/>
          </w:tcPr>
          <w:p w14:paraId="7BEA2EBC"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1</w:t>
            </w:r>
          </w:p>
        </w:tc>
        <w:tc>
          <w:tcPr>
            <w:tcW w:w="411" w:type="pct"/>
            <w:tcBorders>
              <w:top w:val="nil"/>
              <w:left w:val="nil"/>
              <w:bottom w:val="nil"/>
              <w:right w:val="nil"/>
            </w:tcBorders>
            <w:shd w:val="clear" w:color="auto" w:fill="auto"/>
            <w:noWrap/>
            <w:vAlign w:val="bottom"/>
          </w:tcPr>
          <w:p w14:paraId="620FCBCB"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34</w:t>
            </w:r>
          </w:p>
        </w:tc>
        <w:tc>
          <w:tcPr>
            <w:tcW w:w="415" w:type="pct"/>
            <w:tcBorders>
              <w:top w:val="nil"/>
              <w:left w:val="nil"/>
              <w:bottom w:val="nil"/>
              <w:right w:val="nil"/>
            </w:tcBorders>
            <w:shd w:val="clear" w:color="auto" w:fill="auto"/>
            <w:noWrap/>
            <w:vAlign w:val="bottom"/>
          </w:tcPr>
          <w:p w14:paraId="130A215C"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36</w:t>
            </w:r>
          </w:p>
        </w:tc>
        <w:tc>
          <w:tcPr>
            <w:tcW w:w="361" w:type="pct"/>
            <w:tcBorders>
              <w:top w:val="nil"/>
              <w:left w:val="nil"/>
              <w:bottom w:val="nil"/>
              <w:right w:val="nil"/>
            </w:tcBorders>
            <w:shd w:val="clear" w:color="auto" w:fill="auto"/>
            <w:noWrap/>
            <w:vAlign w:val="bottom"/>
          </w:tcPr>
          <w:p w14:paraId="06AE8E82"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193</w:t>
            </w:r>
          </w:p>
        </w:tc>
        <w:tc>
          <w:tcPr>
            <w:tcW w:w="361" w:type="pct"/>
            <w:tcBorders>
              <w:top w:val="nil"/>
              <w:left w:val="nil"/>
              <w:bottom w:val="nil"/>
              <w:right w:val="nil"/>
            </w:tcBorders>
            <w:shd w:val="clear" w:color="auto" w:fill="auto"/>
            <w:noWrap/>
            <w:vAlign w:val="bottom"/>
          </w:tcPr>
          <w:p w14:paraId="719DBAA9" w14:textId="77777777" w:rsidR="00805881" w:rsidRPr="00555A65" w:rsidRDefault="00805881" w:rsidP="003D371F">
            <w:pPr>
              <w:spacing w:after="0" w:line="240" w:lineRule="auto"/>
              <w:contextualSpacing/>
              <w:jc w:val="right"/>
              <w:rPr>
                <w:rFonts w:cs="Calibri"/>
                <w:sz w:val="17"/>
                <w:szCs w:val="17"/>
                <w:lang w:eastAsia="en-AU"/>
              </w:rPr>
            </w:pPr>
            <w:r w:rsidRPr="00555A65">
              <w:rPr>
                <w:rFonts w:cs="Calibri"/>
                <w:sz w:val="17"/>
                <w:szCs w:val="17"/>
                <w:lang w:eastAsia="en-AU"/>
              </w:rPr>
              <w:t>562</w:t>
            </w:r>
          </w:p>
        </w:tc>
        <w:tc>
          <w:tcPr>
            <w:tcW w:w="348" w:type="pct"/>
            <w:tcBorders>
              <w:top w:val="nil"/>
              <w:left w:val="nil"/>
              <w:bottom w:val="nil"/>
              <w:right w:val="nil"/>
            </w:tcBorders>
            <w:shd w:val="clear" w:color="auto" w:fill="auto"/>
            <w:noWrap/>
            <w:vAlign w:val="bottom"/>
          </w:tcPr>
          <w:p w14:paraId="4B0ED064"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1253</w:t>
            </w:r>
          </w:p>
        </w:tc>
      </w:tr>
      <w:tr w:rsidR="00805881" w:rsidRPr="00555A65" w14:paraId="20A8DD76" w14:textId="77777777" w:rsidTr="003D371F">
        <w:trPr>
          <w:trHeight w:val="227"/>
        </w:trPr>
        <w:tc>
          <w:tcPr>
            <w:tcW w:w="910" w:type="pct"/>
            <w:tcBorders>
              <w:top w:val="nil"/>
              <w:left w:val="nil"/>
              <w:bottom w:val="nil"/>
              <w:right w:val="nil"/>
            </w:tcBorders>
            <w:shd w:val="clear" w:color="auto" w:fill="auto"/>
            <w:noWrap/>
            <w:vAlign w:val="bottom"/>
            <w:hideMark/>
          </w:tcPr>
          <w:p w14:paraId="2658B7F2"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Total</w:t>
            </w:r>
          </w:p>
        </w:tc>
        <w:tc>
          <w:tcPr>
            <w:tcW w:w="479" w:type="pct"/>
            <w:tcBorders>
              <w:top w:val="nil"/>
              <w:left w:val="nil"/>
              <w:bottom w:val="nil"/>
              <w:right w:val="nil"/>
            </w:tcBorders>
            <w:shd w:val="clear" w:color="auto" w:fill="auto"/>
            <w:noWrap/>
            <w:vAlign w:val="bottom"/>
          </w:tcPr>
          <w:p w14:paraId="34959635"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626</w:t>
            </w:r>
          </w:p>
        </w:tc>
        <w:tc>
          <w:tcPr>
            <w:tcW w:w="457" w:type="pct"/>
            <w:tcBorders>
              <w:top w:val="nil"/>
              <w:left w:val="nil"/>
              <w:bottom w:val="nil"/>
              <w:right w:val="nil"/>
            </w:tcBorders>
            <w:shd w:val="clear" w:color="auto" w:fill="auto"/>
            <w:noWrap/>
            <w:vAlign w:val="bottom"/>
          </w:tcPr>
          <w:p w14:paraId="69B03A2E"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2,365</w:t>
            </w:r>
          </w:p>
        </w:tc>
        <w:tc>
          <w:tcPr>
            <w:tcW w:w="320" w:type="pct"/>
            <w:tcBorders>
              <w:top w:val="nil"/>
              <w:left w:val="nil"/>
              <w:bottom w:val="nil"/>
              <w:right w:val="nil"/>
            </w:tcBorders>
            <w:shd w:val="clear" w:color="auto" w:fill="auto"/>
            <w:noWrap/>
            <w:vAlign w:val="bottom"/>
          </w:tcPr>
          <w:p w14:paraId="28B4E921"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430</w:t>
            </w:r>
          </w:p>
        </w:tc>
        <w:tc>
          <w:tcPr>
            <w:tcW w:w="280" w:type="pct"/>
            <w:tcBorders>
              <w:top w:val="nil"/>
              <w:left w:val="nil"/>
              <w:bottom w:val="nil"/>
              <w:right w:val="nil"/>
            </w:tcBorders>
            <w:shd w:val="clear" w:color="auto" w:fill="auto"/>
            <w:noWrap/>
            <w:vAlign w:val="bottom"/>
          </w:tcPr>
          <w:p w14:paraId="3F60587A"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850</w:t>
            </w:r>
          </w:p>
        </w:tc>
        <w:tc>
          <w:tcPr>
            <w:tcW w:w="307" w:type="pct"/>
            <w:tcBorders>
              <w:top w:val="nil"/>
              <w:left w:val="nil"/>
              <w:bottom w:val="nil"/>
              <w:right w:val="nil"/>
            </w:tcBorders>
            <w:shd w:val="clear" w:color="auto" w:fill="auto"/>
            <w:noWrap/>
            <w:vAlign w:val="bottom"/>
          </w:tcPr>
          <w:p w14:paraId="6E2F10B7"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535</w:t>
            </w:r>
          </w:p>
        </w:tc>
        <w:tc>
          <w:tcPr>
            <w:tcW w:w="351" w:type="pct"/>
            <w:tcBorders>
              <w:top w:val="nil"/>
              <w:left w:val="nil"/>
              <w:bottom w:val="nil"/>
              <w:right w:val="nil"/>
            </w:tcBorders>
            <w:shd w:val="clear" w:color="auto" w:fill="auto"/>
            <w:noWrap/>
            <w:vAlign w:val="bottom"/>
          </w:tcPr>
          <w:p w14:paraId="1EA138DD"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875</w:t>
            </w:r>
          </w:p>
        </w:tc>
        <w:tc>
          <w:tcPr>
            <w:tcW w:w="411" w:type="pct"/>
            <w:tcBorders>
              <w:top w:val="nil"/>
              <w:left w:val="nil"/>
              <w:bottom w:val="nil"/>
              <w:right w:val="nil"/>
            </w:tcBorders>
            <w:shd w:val="clear" w:color="auto" w:fill="auto"/>
            <w:noWrap/>
            <w:vAlign w:val="bottom"/>
          </w:tcPr>
          <w:p w14:paraId="2A0F3DD8"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3,142</w:t>
            </w:r>
          </w:p>
        </w:tc>
        <w:tc>
          <w:tcPr>
            <w:tcW w:w="415" w:type="pct"/>
            <w:tcBorders>
              <w:top w:val="nil"/>
              <w:left w:val="nil"/>
              <w:bottom w:val="nil"/>
              <w:right w:val="nil"/>
            </w:tcBorders>
            <w:shd w:val="clear" w:color="auto" w:fill="auto"/>
            <w:noWrap/>
            <w:vAlign w:val="bottom"/>
          </w:tcPr>
          <w:p w14:paraId="25C44CDB"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760</w:t>
            </w:r>
          </w:p>
        </w:tc>
        <w:tc>
          <w:tcPr>
            <w:tcW w:w="361" w:type="pct"/>
            <w:tcBorders>
              <w:top w:val="nil"/>
              <w:left w:val="nil"/>
              <w:bottom w:val="nil"/>
              <w:right w:val="nil"/>
            </w:tcBorders>
            <w:shd w:val="clear" w:color="auto" w:fill="auto"/>
            <w:noWrap/>
            <w:vAlign w:val="bottom"/>
          </w:tcPr>
          <w:p w14:paraId="76C528AD"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5,892</w:t>
            </w:r>
          </w:p>
        </w:tc>
        <w:tc>
          <w:tcPr>
            <w:tcW w:w="361" w:type="pct"/>
            <w:tcBorders>
              <w:top w:val="nil"/>
              <w:left w:val="nil"/>
              <w:bottom w:val="nil"/>
              <w:right w:val="nil"/>
            </w:tcBorders>
            <w:shd w:val="clear" w:color="auto" w:fill="auto"/>
            <w:noWrap/>
            <w:vAlign w:val="bottom"/>
          </w:tcPr>
          <w:p w14:paraId="04B65AC1"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5,561</w:t>
            </w:r>
          </w:p>
        </w:tc>
        <w:tc>
          <w:tcPr>
            <w:tcW w:w="348" w:type="pct"/>
            <w:tcBorders>
              <w:top w:val="nil"/>
              <w:left w:val="nil"/>
              <w:bottom w:val="nil"/>
              <w:right w:val="nil"/>
            </w:tcBorders>
            <w:shd w:val="clear" w:color="auto" w:fill="auto"/>
            <w:noWrap/>
            <w:vAlign w:val="bottom"/>
          </w:tcPr>
          <w:p w14:paraId="62C452C9"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21,036</w:t>
            </w:r>
          </w:p>
        </w:tc>
      </w:tr>
      <w:tr w:rsidR="00805881" w:rsidRPr="00555A65" w14:paraId="040331E1" w14:textId="77777777" w:rsidTr="003D371F">
        <w:trPr>
          <w:trHeight w:val="227"/>
        </w:trPr>
        <w:tc>
          <w:tcPr>
            <w:tcW w:w="910" w:type="pct"/>
            <w:tcBorders>
              <w:top w:val="nil"/>
              <w:left w:val="nil"/>
              <w:bottom w:val="nil"/>
              <w:right w:val="nil"/>
            </w:tcBorders>
            <w:shd w:val="clear" w:color="auto" w:fill="auto"/>
            <w:noWrap/>
            <w:vAlign w:val="bottom"/>
            <w:hideMark/>
          </w:tcPr>
          <w:p w14:paraId="0944B5B0" w14:textId="77777777" w:rsidR="00805881" w:rsidRPr="00555A65" w:rsidRDefault="00805881" w:rsidP="003D371F">
            <w:pPr>
              <w:spacing w:after="0" w:line="240" w:lineRule="auto"/>
              <w:contextualSpacing/>
              <w:rPr>
                <w:rFonts w:cs="Calibri"/>
                <w:sz w:val="17"/>
                <w:szCs w:val="17"/>
                <w:lang w:eastAsia="en-AU"/>
              </w:rPr>
            </w:pPr>
          </w:p>
        </w:tc>
        <w:tc>
          <w:tcPr>
            <w:tcW w:w="479" w:type="pct"/>
            <w:tcBorders>
              <w:top w:val="nil"/>
              <w:left w:val="nil"/>
              <w:bottom w:val="nil"/>
              <w:right w:val="nil"/>
            </w:tcBorders>
            <w:shd w:val="clear" w:color="auto" w:fill="auto"/>
            <w:noWrap/>
            <w:vAlign w:val="bottom"/>
            <w:hideMark/>
          </w:tcPr>
          <w:p w14:paraId="2BFACECC" w14:textId="77777777" w:rsidR="00805881" w:rsidRPr="00555A65" w:rsidRDefault="00805881" w:rsidP="003D371F">
            <w:pPr>
              <w:spacing w:after="0" w:line="240" w:lineRule="auto"/>
              <w:contextualSpacing/>
              <w:rPr>
                <w:rFonts w:cs="Calibri"/>
                <w:sz w:val="17"/>
                <w:szCs w:val="17"/>
                <w:lang w:eastAsia="en-AU"/>
              </w:rPr>
            </w:pPr>
          </w:p>
        </w:tc>
        <w:tc>
          <w:tcPr>
            <w:tcW w:w="457" w:type="pct"/>
            <w:tcBorders>
              <w:top w:val="nil"/>
              <w:left w:val="nil"/>
              <w:bottom w:val="nil"/>
              <w:right w:val="nil"/>
            </w:tcBorders>
            <w:shd w:val="clear" w:color="auto" w:fill="auto"/>
            <w:noWrap/>
            <w:vAlign w:val="bottom"/>
            <w:hideMark/>
          </w:tcPr>
          <w:p w14:paraId="4FDC21E1" w14:textId="77777777" w:rsidR="00805881" w:rsidRPr="00555A65" w:rsidRDefault="00805881" w:rsidP="003D371F">
            <w:pPr>
              <w:spacing w:after="0" w:line="240" w:lineRule="auto"/>
              <w:contextualSpacing/>
              <w:rPr>
                <w:rFonts w:cs="Calibri"/>
                <w:sz w:val="17"/>
                <w:szCs w:val="17"/>
                <w:lang w:eastAsia="en-AU"/>
              </w:rPr>
            </w:pPr>
          </w:p>
        </w:tc>
        <w:tc>
          <w:tcPr>
            <w:tcW w:w="320" w:type="pct"/>
            <w:tcBorders>
              <w:top w:val="nil"/>
              <w:left w:val="nil"/>
              <w:bottom w:val="nil"/>
              <w:right w:val="nil"/>
            </w:tcBorders>
            <w:shd w:val="clear" w:color="auto" w:fill="auto"/>
            <w:noWrap/>
            <w:vAlign w:val="bottom"/>
            <w:hideMark/>
          </w:tcPr>
          <w:p w14:paraId="4B0C904D" w14:textId="77777777" w:rsidR="00805881" w:rsidRPr="00555A65" w:rsidRDefault="00805881" w:rsidP="003D371F">
            <w:pPr>
              <w:spacing w:after="0" w:line="240" w:lineRule="auto"/>
              <w:contextualSpacing/>
              <w:rPr>
                <w:rFonts w:cs="Calibri"/>
                <w:sz w:val="17"/>
                <w:szCs w:val="17"/>
                <w:lang w:eastAsia="en-AU"/>
              </w:rPr>
            </w:pPr>
          </w:p>
        </w:tc>
        <w:tc>
          <w:tcPr>
            <w:tcW w:w="280" w:type="pct"/>
            <w:tcBorders>
              <w:top w:val="nil"/>
              <w:left w:val="nil"/>
              <w:bottom w:val="nil"/>
              <w:right w:val="nil"/>
            </w:tcBorders>
            <w:shd w:val="clear" w:color="auto" w:fill="auto"/>
            <w:noWrap/>
            <w:vAlign w:val="bottom"/>
            <w:hideMark/>
          </w:tcPr>
          <w:p w14:paraId="3C08B277" w14:textId="77777777" w:rsidR="00805881" w:rsidRPr="00555A65" w:rsidRDefault="00805881" w:rsidP="003D371F">
            <w:pPr>
              <w:spacing w:after="0" w:line="240" w:lineRule="auto"/>
              <w:contextualSpacing/>
              <w:rPr>
                <w:rFonts w:cs="Calibri"/>
                <w:sz w:val="17"/>
                <w:szCs w:val="17"/>
                <w:lang w:eastAsia="en-AU"/>
              </w:rPr>
            </w:pPr>
          </w:p>
        </w:tc>
        <w:tc>
          <w:tcPr>
            <w:tcW w:w="307" w:type="pct"/>
            <w:tcBorders>
              <w:top w:val="nil"/>
              <w:left w:val="nil"/>
              <w:bottom w:val="nil"/>
              <w:right w:val="nil"/>
            </w:tcBorders>
            <w:shd w:val="clear" w:color="auto" w:fill="auto"/>
            <w:noWrap/>
            <w:vAlign w:val="bottom"/>
            <w:hideMark/>
          </w:tcPr>
          <w:p w14:paraId="34B34690" w14:textId="77777777" w:rsidR="00805881" w:rsidRPr="00555A65" w:rsidRDefault="00805881" w:rsidP="003D371F">
            <w:pPr>
              <w:spacing w:after="0" w:line="240" w:lineRule="auto"/>
              <w:contextualSpacing/>
              <w:rPr>
                <w:rFonts w:cs="Calibri"/>
                <w:sz w:val="17"/>
                <w:szCs w:val="17"/>
                <w:lang w:eastAsia="en-AU"/>
              </w:rPr>
            </w:pPr>
          </w:p>
        </w:tc>
        <w:tc>
          <w:tcPr>
            <w:tcW w:w="351" w:type="pct"/>
            <w:tcBorders>
              <w:top w:val="nil"/>
              <w:left w:val="nil"/>
              <w:bottom w:val="nil"/>
              <w:right w:val="nil"/>
            </w:tcBorders>
            <w:shd w:val="clear" w:color="auto" w:fill="auto"/>
            <w:noWrap/>
            <w:vAlign w:val="bottom"/>
            <w:hideMark/>
          </w:tcPr>
          <w:p w14:paraId="5CA6D927" w14:textId="77777777" w:rsidR="00805881" w:rsidRPr="00555A65" w:rsidRDefault="00805881" w:rsidP="003D371F">
            <w:pPr>
              <w:spacing w:after="0" w:line="240" w:lineRule="auto"/>
              <w:contextualSpacing/>
              <w:rPr>
                <w:rFonts w:cs="Calibri"/>
                <w:sz w:val="17"/>
                <w:szCs w:val="17"/>
                <w:lang w:eastAsia="en-AU"/>
              </w:rPr>
            </w:pPr>
          </w:p>
        </w:tc>
        <w:tc>
          <w:tcPr>
            <w:tcW w:w="411" w:type="pct"/>
            <w:tcBorders>
              <w:top w:val="nil"/>
              <w:left w:val="nil"/>
              <w:bottom w:val="nil"/>
              <w:right w:val="nil"/>
            </w:tcBorders>
            <w:shd w:val="clear" w:color="auto" w:fill="auto"/>
            <w:noWrap/>
            <w:vAlign w:val="bottom"/>
            <w:hideMark/>
          </w:tcPr>
          <w:p w14:paraId="07E59B04" w14:textId="77777777" w:rsidR="00805881" w:rsidRPr="00555A65" w:rsidRDefault="00805881" w:rsidP="003D371F">
            <w:pPr>
              <w:spacing w:after="0" w:line="240" w:lineRule="auto"/>
              <w:contextualSpacing/>
              <w:rPr>
                <w:rFonts w:cs="Calibri"/>
                <w:sz w:val="17"/>
                <w:szCs w:val="17"/>
                <w:lang w:eastAsia="en-AU"/>
              </w:rPr>
            </w:pPr>
          </w:p>
        </w:tc>
        <w:tc>
          <w:tcPr>
            <w:tcW w:w="415" w:type="pct"/>
            <w:tcBorders>
              <w:top w:val="nil"/>
              <w:left w:val="nil"/>
              <w:bottom w:val="nil"/>
              <w:right w:val="nil"/>
            </w:tcBorders>
            <w:shd w:val="clear" w:color="auto" w:fill="auto"/>
            <w:noWrap/>
            <w:vAlign w:val="bottom"/>
            <w:hideMark/>
          </w:tcPr>
          <w:p w14:paraId="0E78A6DF" w14:textId="77777777" w:rsidR="00805881" w:rsidRPr="00555A65" w:rsidRDefault="00805881" w:rsidP="003D371F">
            <w:pPr>
              <w:spacing w:after="0" w:line="240" w:lineRule="auto"/>
              <w:contextualSpacing/>
              <w:rPr>
                <w:rFonts w:cs="Calibri"/>
                <w:sz w:val="17"/>
                <w:szCs w:val="17"/>
                <w:lang w:eastAsia="en-AU"/>
              </w:rPr>
            </w:pPr>
          </w:p>
        </w:tc>
        <w:tc>
          <w:tcPr>
            <w:tcW w:w="361" w:type="pct"/>
            <w:tcBorders>
              <w:top w:val="nil"/>
              <w:left w:val="nil"/>
              <w:bottom w:val="nil"/>
              <w:right w:val="nil"/>
            </w:tcBorders>
            <w:shd w:val="clear" w:color="auto" w:fill="auto"/>
            <w:noWrap/>
            <w:vAlign w:val="bottom"/>
            <w:hideMark/>
          </w:tcPr>
          <w:p w14:paraId="45A67840" w14:textId="77777777" w:rsidR="00805881" w:rsidRPr="00555A65" w:rsidRDefault="00805881" w:rsidP="003D371F">
            <w:pPr>
              <w:spacing w:after="0" w:line="240" w:lineRule="auto"/>
              <w:contextualSpacing/>
              <w:rPr>
                <w:rFonts w:cs="Calibri"/>
                <w:sz w:val="17"/>
                <w:szCs w:val="17"/>
                <w:lang w:eastAsia="en-AU"/>
              </w:rPr>
            </w:pPr>
          </w:p>
        </w:tc>
        <w:tc>
          <w:tcPr>
            <w:tcW w:w="361" w:type="pct"/>
            <w:tcBorders>
              <w:top w:val="nil"/>
              <w:left w:val="nil"/>
              <w:bottom w:val="nil"/>
              <w:right w:val="nil"/>
            </w:tcBorders>
            <w:shd w:val="clear" w:color="auto" w:fill="auto"/>
            <w:noWrap/>
            <w:vAlign w:val="bottom"/>
            <w:hideMark/>
          </w:tcPr>
          <w:p w14:paraId="1E6014C8" w14:textId="77777777" w:rsidR="00805881" w:rsidRPr="00555A65" w:rsidRDefault="00805881" w:rsidP="003D371F">
            <w:pPr>
              <w:spacing w:after="0" w:line="240" w:lineRule="auto"/>
              <w:contextualSpacing/>
              <w:rPr>
                <w:rFonts w:cs="Calibri"/>
                <w:sz w:val="17"/>
                <w:szCs w:val="17"/>
                <w:lang w:eastAsia="en-AU"/>
              </w:rPr>
            </w:pPr>
          </w:p>
        </w:tc>
        <w:tc>
          <w:tcPr>
            <w:tcW w:w="348" w:type="pct"/>
            <w:tcBorders>
              <w:top w:val="nil"/>
              <w:left w:val="nil"/>
              <w:bottom w:val="nil"/>
              <w:right w:val="nil"/>
            </w:tcBorders>
            <w:shd w:val="clear" w:color="auto" w:fill="auto"/>
            <w:noWrap/>
            <w:vAlign w:val="bottom"/>
            <w:hideMark/>
          </w:tcPr>
          <w:p w14:paraId="6709F4DA" w14:textId="77777777" w:rsidR="00805881" w:rsidRPr="00555A65" w:rsidRDefault="00805881" w:rsidP="003D371F">
            <w:pPr>
              <w:spacing w:after="0" w:line="240" w:lineRule="auto"/>
              <w:contextualSpacing/>
              <w:rPr>
                <w:rFonts w:cs="Calibri"/>
                <w:b/>
                <w:bCs/>
                <w:sz w:val="17"/>
                <w:szCs w:val="17"/>
                <w:lang w:eastAsia="en-AU"/>
              </w:rPr>
            </w:pPr>
          </w:p>
        </w:tc>
      </w:tr>
      <w:tr w:rsidR="00805881" w:rsidRPr="00555A65" w14:paraId="701CA918" w14:textId="77777777" w:rsidTr="003D371F">
        <w:trPr>
          <w:trHeight w:val="227"/>
        </w:trPr>
        <w:tc>
          <w:tcPr>
            <w:tcW w:w="910" w:type="pct"/>
            <w:tcBorders>
              <w:top w:val="nil"/>
              <w:left w:val="nil"/>
              <w:bottom w:val="nil"/>
              <w:right w:val="nil"/>
            </w:tcBorders>
            <w:shd w:val="clear" w:color="auto" w:fill="auto"/>
            <w:noWrap/>
            <w:vAlign w:val="bottom"/>
          </w:tcPr>
          <w:p w14:paraId="099D40AF" w14:textId="77777777" w:rsidR="00805881" w:rsidRPr="00555A65" w:rsidRDefault="00805881" w:rsidP="003D371F">
            <w:pPr>
              <w:spacing w:after="0" w:line="240" w:lineRule="auto"/>
              <w:contextualSpacing/>
              <w:rPr>
                <w:rFonts w:cs="Calibri"/>
                <w:sz w:val="17"/>
                <w:szCs w:val="17"/>
                <w:u w:val="single"/>
                <w:lang w:eastAsia="en-AU"/>
              </w:rPr>
            </w:pPr>
            <w:r w:rsidRPr="00555A65">
              <w:rPr>
                <w:rFonts w:cs="Calibri"/>
                <w:sz w:val="17"/>
                <w:szCs w:val="17"/>
                <w:u w:val="single"/>
                <w:lang w:eastAsia="en-AU"/>
              </w:rPr>
              <w:t>2016</w:t>
            </w:r>
          </w:p>
        </w:tc>
        <w:tc>
          <w:tcPr>
            <w:tcW w:w="479" w:type="pct"/>
            <w:tcBorders>
              <w:top w:val="nil"/>
              <w:left w:val="nil"/>
              <w:bottom w:val="nil"/>
              <w:right w:val="nil"/>
            </w:tcBorders>
            <w:shd w:val="clear" w:color="auto" w:fill="auto"/>
            <w:noWrap/>
            <w:vAlign w:val="bottom"/>
          </w:tcPr>
          <w:p w14:paraId="70C73909" w14:textId="77777777" w:rsidR="00805881" w:rsidRPr="00555A65" w:rsidRDefault="00805881" w:rsidP="003D371F">
            <w:pPr>
              <w:spacing w:after="0" w:line="240" w:lineRule="auto"/>
              <w:contextualSpacing/>
              <w:rPr>
                <w:rFonts w:cs="Calibri"/>
                <w:sz w:val="17"/>
                <w:szCs w:val="17"/>
                <w:lang w:eastAsia="en-AU"/>
              </w:rPr>
            </w:pPr>
          </w:p>
        </w:tc>
        <w:tc>
          <w:tcPr>
            <w:tcW w:w="457" w:type="pct"/>
            <w:tcBorders>
              <w:top w:val="nil"/>
              <w:left w:val="nil"/>
              <w:bottom w:val="nil"/>
              <w:right w:val="nil"/>
            </w:tcBorders>
            <w:shd w:val="clear" w:color="auto" w:fill="auto"/>
            <w:noWrap/>
            <w:vAlign w:val="bottom"/>
          </w:tcPr>
          <w:p w14:paraId="25E408B4" w14:textId="77777777" w:rsidR="00805881" w:rsidRPr="00555A65" w:rsidRDefault="00805881" w:rsidP="003D371F">
            <w:pPr>
              <w:spacing w:after="0" w:line="240" w:lineRule="auto"/>
              <w:contextualSpacing/>
              <w:rPr>
                <w:rFonts w:cs="Calibri"/>
                <w:sz w:val="17"/>
                <w:szCs w:val="17"/>
                <w:lang w:eastAsia="en-AU"/>
              </w:rPr>
            </w:pPr>
          </w:p>
        </w:tc>
        <w:tc>
          <w:tcPr>
            <w:tcW w:w="320" w:type="pct"/>
            <w:tcBorders>
              <w:top w:val="nil"/>
              <w:left w:val="nil"/>
              <w:bottom w:val="nil"/>
              <w:right w:val="nil"/>
            </w:tcBorders>
            <w:shd w:val="clear" w:color="auto" w:fill="auto"/>
            <w:noWrap/>
            <w:vAlign w:val="bottom"/>
          </w:tcPr>
          <w:p w14:paraId="382EB3BD" w14:textId="77777777" w:rsidR="00805881" w:rsidRPr="00555A65" w:rsidRDefault="00805881" w:rsidP="003D371F">
            <w:pPr>
              <w:spacing w:after="0" w:line="240" w:lineRule="auto"/>
              <w:contextualSpacing/>
              <w:rPr>
                <w:rFonts w:cs="Calibri"/>
                <w:sz w:val="17"/>
                <w:szCs w:val="17"/>
                <w:lang w:eastAsia="en-AU"/>
              </w:rPr>
            </w:pPr>
          </w:p>
        </w:tc>
        <w:tc>
          <w:tcPr>
            <w:tcW w:w="280" w:type="pct"/>
            <w:tcBorders>
              <w:top w:val="nil"/>
              <w:left w:val="nil"/>
              <w:bottom w:val="nil"/>
              <w:right w:val="nil"/>
            </w:tcBorders>
            <w:shd w:val="clear" w:color="auto" w:fill="auto"/>
            <w:noWrap/>
            <w:vAlign w:val="bottom"/>
          </w:tcPr>
          <w:p w14:paraId="72B22509" w14:textId="77777777" w:rsidR="00805881" w:rsidRPr="00555A65" w:rsidRDefault="00805881" w:rsidP="003D371F">
            <w:pPr>
              <w:spacing w:after="0" w:line="240" w:lineRule="auto"/>
              <w:contextualSpacing/>
              <w:rPr>
                <w:rFonts w:cs="Calibri"/>
                <w:sz w:val="17"/>
                <w:szCs w:val="17"/>
                <w:lang w:eastAsia="en-AU"/>
              </w:rPr>
            </w:pPr>
          </w:p>
        </w:tc>
        <w:tc>
          <w:tcPr>
            <w:tcW w:w="307" w:type="pct"/>
            <w:tcBorders>
              <w:top w:val="nil"/>
              <w:left w:val="nil"/>
              <w:bottom w:val="nil"/>
              <w:right w:val="nil"/>
            </w:tcBorders>
            <w:shd w:val="clear" w:color="auto" w:fill="auto"/>
            <w:noWrap/>
            <w:vAlign w:val="bottom"/>
          </w:tcPr>
          <w:p w14:paraId="3743C022" w14:textId="77777777" w:rsidR="00805881" w:rsidRPr="00555A65" w:rsidRDefault="00805881" w:rsidP="003D371F">
            <w:pPr>
              <w:spacing w:after="0" w:line="240" w:lineRule="auto"/>
              <w:contextualSpacing/>
              <w:rPr>
                <w:rFonts w:cs="Calibri"/>
                <w:sz w:val="17"/>
                <w:szCs w:val="17"/>
                <w:lang w:eastAsia="en-AU"/>
              </w:rPr>
            </w:pPr>
          </w:p>
        </w:tc>
        <w:tc>
          <w:tcPr>
            <w:tcW w:w="351" w:type="pct"/>
            <w:tcBorders>
              <w:top w:val="nil"/>
              <w:left w:val="nil"/>
              <w:bottom w:val="nil"/>
              <w:right w:val="nil"/>
            </w:tcBorders>
            <w:shd w:val="clear" w:color="auto" w:fill="auto"/>
            <w:noWrap/>
            <w:vAlign w:val="bottom"/>
          </w:tcPr>
          <w:p w14:paraId="3D2EA78D" w14:textId="77777777" w:rsidR="00805881" w:rsidRPr="00555A65" w:rsidRDefault="00805881" w:rsidP="003D371F">
            <w:pPr>
              <w:spacing w:after="0" w:line="240" w:lineRule="auto"/>
              <w:contextualSpacing/>
              <w:rPr>
                <w:rFonts w:cs="Calibri"/>
                <w:sz w:val="17"/>
                <w:szCs w:val="17"/>
                <w:lang w:eastAsia="en-AU"/>
              </w:rPr>
            </w:pPr>
          </w:p>
        </w:tc>
        <w:tc>
          <w:tcPr>
            <w:tcW w:w="411" w:type="pct"/>
            <w:tcBorders>
              <w:top w:val="nil"/>
              <w:left w:val="nil"/>
              <w:bottom w:val="nil"/>
              <w:right w:val="nil"/>
            </w:tcBorders>
            <w:shd w:val="clear" w:color="auto" w:fill="auto"/>
            <w:noWrap/>
            <w:vAlign w:val="bottom"/>
          </w:tcPr>
          <w:p w14:paraId="41DEA5D6" w14:textId="77777777" w:rsidR="00805881" w:rsidRPr="00555A65" w:rsidRDefault="00805881" w:rsidP="003D371F">
            <w:pPr>
              <w:spacing w:after="0" w:line="240" w:lineRule="auto"/>
              <w:contextualSpacing/>
              <w:rPr>
                <w:rFonts w:cs="Calibri"/>
                <w:sz w:val="17"/>
                <w:szCs w:val="17"/>
                <w:lang w:eastAsia="en-AU"/>
              </w:rPr>
            </w:pPr>
          </w:p>
        </w:tc>
        <w:tc>
          <w:tcPr>
            <w:tcW w:w="415" w:type="pct"/>
            <w:tcBorders>
              <w:top w:val="nil"/>
              <w:left w:val="nil"/>
              <w:bottom w:val="nil"/>
              <w:right w:val="nil"/>
            </w:tcBorders>
            <w:shd w:val="clear" w:color="auto" w:fill="auto"/>
            <w:noWrap/>
            <w:vAlign w:val="bottom"/>
          </w:tcPr>
          <w:p w14:paraId="158CE5E0" w14:textId="77777777" w:rsidR="00805881" w:rsidRPr="00555A65" w:rsidRDefault="00805881" w:rsidP="003D371F">
            <w:pPr>
              <w:spacing w:after="0" w:line="240" w:lineRule="auto"/>
              <w:contextualSpacing/>
              <w:rPr>
                <w:rFonts w:cs="Calibri"/>
                <w:sz w:val="17"/>
                <w:szCs w:val="17"/>
                <w:lang w:eastAsia="en-AU"/>
              </w:rPr>
            </w:pPr>
          </w:p>
        </w:tc>
        <w:tc>
          <w:tcPr>
            <w:tcW w:w="361" w:type="pct"/>
            <w:tcBorders>
              <w:top w:val="nil"/>
              <w:left w:val="nil"/>
              <w:bottom w:val="nil"/>
              <w:right w:val="nil"/>
            </w:tcBorders>
            <w:shd w:val="clear" w:color="auto" w:fill="auto"/>
            <w:noWrap/>
            <w:vAlign w:val="bottom"/>
          </w:tcPr>
          <w:p w14:paraId="595B81C3" w14:textId="77777777" w:rsidR="00805881" w:rsidRPr="00555A65" w:rsidRDefault="00805881" w:rsidP="003D371F">
            <w:pPr>
              <w:spacing w:after="0" w:line="240" w:lineRule="auto"/>
              <w:contextualSpacing/>
              <w:rPr>
                <w:rFonts w:cs="Calibri"/>
                <w:sz w:val="17"/>
                <w:szCs w:val="17"/>
                <w:lang w:eastAsia="en-AU"/>
              </w:rPr>
            </w:pPr>
          </w:p>
        </w:tc>
        <w:tc>
          <w:tcPr>
            <w:tcW w:w="361" w:type="pct"/>
            <w:tcBorders>
              <w:top w:val="nil"/>
              <w:left w:val="nil"/>
              <w:bottom w:val="nil"/>
              <w:right w:val="nil"/>
            </w:tcBorders>
            <w:shd w:val="clear" w:color="auto" w:fill="auto"/>
            <w:noWrap/>
            <w:vAlign w:val="bottom"/>
          </w:tcPr>
          <w:p w14:paraId="268E094E" w14:textId="77777777" w:rsidR="00805881" w:rsidRPr="00555A65" w:rsidRDefault="00805881" w:rsidP="003D371F">
            <w:pPr>
              <w:spacing w:after="0" w:line="240" w:lineRule="auto"/>
              <w:contextualSpacing/>
              <w:rPr>
                <w:rFonts w:cs="Calibri"/>
                <w:sz w:val="17"/>
                <w:szCs w:val="17"/>
                <w:lang w:eastAsia="en-AU"/>
              </w:rPr>
            </w:pPr>
          </w:p>
        </w:tc>
        <w:tc>
          <w:tcPr>
            <w:tcW w:w="348" w:type="pct"/>
            <w:tcBorders>
              <w:top w:val="nil"/>
              <w:left w:val="nil"/>
              <w:bottom w:val="nil"/>
              <w:right w:val="nil"/>
            </w:tcBorders>
            <w:shd w:val="clear" w:color="auto" w:fill="auto"/>
            <w:noWrap/>
            <w:vAlign w:val="bottom"/>
          </w:tcPr>
          <w:p w14:paraId="3207CBA8" w14:textId="77777777" w:rsidR="00805881" w:rsidRPr="00555A65" w:rsidRDefault="00805881" w:rsidP="003D371F">
            <w:pPr>
              <w:spacing w:after="0" w:line="240" w:lineRule="auto"/>
              <w:contextualSpacing/>
              <w:rPr>
                <w:rFonts w:cs="Calibri"/>
                <w:b/>
                <w:bCs/>
                <w:sz w:val="17"/>
                <w:szCs w:val="17"/>
                <w:lang w:eastAsia="en-AU"/>
              </w:rPr>
            </w:pPr>
          </w:p>
        </w:tc>
      </w:tr>
      <w:tr w:rsidR="00805881" w:rsidRPr="00555A65" w14:paraId="09EEC3E8" w14:textId="77777777" w:rsidTr="003D371F">
        <w:trPr>
          <w:trHeight w:val="227"/>
        </w:trPr>
        <w:tc>
          <w:tcPr>
            <w:tcW w:w="910" w:type="pct"/>
            <w:tcBorders>
              <w:top w:val="nil"/>
              <w:left w:val="nil"/>
              <w:bottom w:val="nil"/>
              <w:right w:val="nil"/>
            </w:tcBorders>
            <w:shd w:val="clear" w:color="auto" w:fill="auto"/>
            <w:noWrap/>
            <w:vAlign w:val="bottom"/>
          </w:tcPr>
          <w:p w14:paraId="168FFF59"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Carp gudgeon</w:t>
            </w:r>
          </w:p>
        </w:tc>
        <w:tc>
          <w:tcPr>
            <w:tcW w:w="479" w:type="pct"/>
            <w:tcBorders>
              <w:top w:val="nil"/>
              <w:left w:val="nil"/>
              <w:bottom w:val="nil"/>
              <w:right w:val="nil"/>
            </w:tcBorders>
            <w:shd w:val="clear" w:color="auto" w:fill="auto"/>
            <w:noWrap/>
          </w:tcPr>
          <w:p w14:paraId="2D43B61A"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3,575</w:t>
            </w:r>
          </w:p>
        </w:tc>
        <w:tc>
          <w:tcPr>
            <w:tcW w:w="457" w:type="pct"/>
            <w:tcBorders>
              <w:top w:val="nil"/>
              <w:left w:val="nil"/>
              <w:bottom w:val="nil"/>
              <w:right w:val="nil"/>
            </w:tcBorders>
            <w:shd w:val="clear" w:color="auto" w:fill="auto"/>
            <w:noWrap/>
          </w:tcPr>
          <w:p w14:paraId="19ADC2D6"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1,033</w:t>
            </w:r>
          </w:p>
        </w:tc>
        <w:tc>
          <w:tcPr>
            <w:tcW w:w="320" w:type="pct"/>
            <w:tcBorders>
              <w:top w:val="nil"/>
              <w:left w:val="nil"/>
              <w:bottom w:val="nil"/>
              <w:right w:val="nil"/>
            </w:tcBorders>
            <w:shd w:val="clear" w:color="auto" w:fill="auto"/>
            <w:noWrap/>
          </w:tcPr>
          <w:p w14:paraId="3A1858D8"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692</w:t>
            </w:r>
          </w:p>
        </w:tc>
        <w:tc>
          <w:tcPr>
            <w:tcW w:w="280" w:type="pct"/>
            <w:tcBorders>
              <w:top w:val="nil"/>
              <w:left w:val="nil"/>
              <w:bottom w:val="nil"/>
              <w:right w:val="nil"/>
            </w:tcBorders>
            <w:shd w:val="clear" w:color="auto" w:fill="auto"/>
            <w:noWrap/>
          </w:tcPr>
          <w:p w14:paraId="53152CC9"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898</w:t>
            </w:r>
          </w:p>
        </w:tc>
        <w:tc>
          <w:tcPr>
            <w:tcW w:w="307" w:type="pct"/>
            <w:tcBorders>
              <w:top w:val="nil"/>
              <w:left w:val="nil"/>
              <w:bottom w:val="nil"/>
              <w:right w:val="nil"/>
            </w:tcBorders>
            <w:shd w:val="clear" w:color="auto" w:fill="auto"/>
            <w:noWrap/>
          </w:tcPr>
          <w:p w14:paraId="6E63FE72"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2,959</w:t>
            </w:r>
          </w:p>
        </w:tc>
        <w:tc>
          <w:tcPr>
            <w:tcW w:w="351" w:type="pct"/>
            <w:tcBorders>
              <w:top w:val="nil"/>
              <w:left w:val="nil"/>
              <w:bottom w:val="nil"/>
              <w:right w:val="nil"/>
            </w:tcBorders>
            <w:shd w:val="clear" w:color="auto" w:fill="auto"/>
            <w:noWrap/>
          </w:tcPr>
          <w:p w14:paraId="0D255D0B"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1,904</w:t>
            </w:r>
          </w:p>
        </w:tc>
        <w:tc>
          <w:tcPr>
            <w:tcW w:w="411" w:type="pct"/>
            <w:tcBorders>
              <w:top w:val="nil"/>
              <w:left w:val="nil"/>
              <w:bottom w:val="nil"/>
              <w:right w:val="nil"/>
            </w:tcBorders>
            <w:shd w:val="clear" w:color="auto" w:fill="auto"/>
            <w:noWrap/>
          </w:tcPr>
          <w:p w14:paraId="6D6F2BC3"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1,781</w:t>
            </w:r>
          </w:p>
        </w:tc>
        <w:tc>
          <w:tcPr>
            <w:tcW w:w="415" w:type="pct"/>
            <w:tcBorders>
              <w:top w:val="nil"/>
              <w:left w:val="nil"/>
              <w:bottom w:val="nil"/>
              <w:right w:val="nil"/>
            </w:tcBorders>
            <w:shd w:val="clear" w:color="auto" w:fill="auto"/>
            <w:noWrap/>
          </w:tcPr>
          <w:p w14:paraId="5CEEBD97"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1,597</w:t>
            </w:r>
          </w:p>
        </w:tc>
        <w:tc>
          <w:tcPr>
            <w:tcW w:w="361" w:type="pct"/>
            <w:tcBorders>
              <w:top w:val="nil"/>
              <w:left w:val="nil"/>
              <w:bottom w:val="nil"/>
              <w:right w:val="nil"/>
            </w:tcBorders>
            <w:shd w:val="clear" w:color="auto" w:fill="auto"/>
            <w:noWrap/>
          </w:tcPr>
          <w:p w14:paraId="4DEC3D78"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3,390</w:t>
            </w:r>
          </w:p>
        </w:tc>
        <w:tc>
          <w:tcPr>
            <w:tcW w:w="361" w:type="pct"/>
            <w:tcBorders>
              <w:top w:val="nil"/>
              <w:left w:val="nil"/>
              <w:bottom w:val="nil"/>
              <w:right w:val="nil"/>
            </w:tcBorders>
            <w:shd w:val="clear" w:color="auto" w:fill="auto"/>
            <w:noWrap/>
          </w:tcPr>
          <w:p w14:paraId="7AFF08D8"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1,974</w:t>
            </w:r>
          </w:p>
        </w:tc>
        <w:tc>
          <w:tcPr>
            <w:tcW w:w="348" w:type="pct"/>
            <w:tcBorders>
              <w:top w:val="nil"/>
              <w:left w:val="nil"/>
              <w:bottom w:val="nil"/>
              <w:right w:val="nil"/>
            </w:tcBorders>
            <w:shd w:val="clear" w:color="auto" w:fill="auto"/>
            <w:noWrap/>
          </w:tcPr>
          <w:p w14:paraId="25034806" w14:textId="77777777" w:rsidR="00805881" w:rsidRPr="00555A65" w:rsidRDefault="00805881" w:rsidP="003D371F">
            <w:pPr>
              <w:spacing w:after="0" w:line="240" w:lineRule="auto"/>
              <w:contextualSpacing/>
              <w:jc w:val="right"/>
              <w:rPr>
                <w:rFonts w:cs="Calibri"/>
                <w:b/>
                <w:bCs/>
                <w:sz w:val="17"/>
                <w:szCs w:val="17"/>
                <w:lang w:eastAsia="en-AU"/>
              </w:rPr>
            </w:pPr>
            <w:r w:rsidRPr="00555A65">
              <w:rPr>
                <w:b/>
                <w:sz w:val="17"/>
                <w:szCs w:val="17"/>
              </w:rPr>
              <w:t>19,803</w:t>
            </w:r>
          </w:p>
        </w:tc>
      </w:tr>
      <w:tr w:rsidR="00805881" w:rsidRPr="00555A65" w14:paraId="58A0E649" w14:textId="77777777" w:rsidTr="003D371F">
        <w:trPr>
          <w:trHeight w:val="227"/>
        </w:trPr>
        <w:tc>
          <w:tcPr>
            <w:tcW w:w="910" w:type="pct"/>
            <w:tcBorders>
              <w:top w:val="nil"/>
              <w:left w:val="nil"/>
              <w:bottom w:val="nil"/>
              <w:right w:val="nil"/>
            </w:tcBorders>
            <w:shd w:val="clear" w:color="auto" w:fill="auto"/>
            <w:noWrap/>
            <w:vAlign w:val="bottom"/>
          </w:tcPr>
          <w:p w14:paraId="27DE57D3"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Murray rainbowfish</w:t>
            </w:r>
          </w:p>
        </w:tc>
        <w:tc>
          <w:tcPr>
            <w:tcW w:w="479" w:type="pct"/>
            <w:tcBorders>
              <w:top w:val="nil"/>
              <w:left w:val="nil"/>
              <w:bottom w:val="nil"/>
              <w:right w:val="nil"/>
            </w:tcBorders>
            <w:shd w:val="clear" w:color="auto" w:fill="auto"/>
            <w:noWrap/>
          </w:tcPr>
          <w:p w14:paraId="17DC0A81"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56</w:t>
            </w:r>
          </w:p>
        </w:tc>
        <w:tc>
          <w:tcPr>
            <w:tcW w:w="457" w:type="pct"/>
            <w:tcBorders>
              <w:top w:val="nil"/>
              <w:left w:val="nil"/>
              <w:bottom w:val="nil"/>
              <w:right w:val="nil"/>
            </w:tcBorders>
            <w:shd w:val="clear" w:color="auto" w:fill="auto"/>
            <w:noWrap/>
          </w:tcPr>
          <w:p w14:paraId="6F8BA9F6"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354</w:t>
            </w:r>
          </w:p>
        </w:tc>
        <w:tc>
          <w:tcPr>
            <w:tcW w:w="320" w:type="pct"/>
            <w:tcBorders>
              <w:top w:val="nil"/>
              <w:left w:val="nil"/>
              <w:bottom w:val="nil"/>
              <w:right w:val="nil"/>
            </w:tcBorders>
            <w:shd w:val="clear" w:color="auto" w:fill="auto"/>
            <w:noWrap/>
          </w:tcPr>
          <w:p w14:paraId="5C043DEC"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47</w:t>
            </w:r>
          </w:p>
        </w:tc>
        <w:tc>
          <w:tcPr>
            <w:tcW w:w="280" w:type="pct"/>
            <w:tcBorders>
              <w:top w:val="nil"/>
              <w:left w:val="nil"/>
              <w:bottom w:val="nil"/>
              <w:right w:val="nil"/>
            </w:tcBorders>
            <w:shd w:val="clear" w:color="auto" w:fill="auto"/>
            <w:noWrap/>
          </w:tcPr>
          <w:p w14:paraId="29C874CE"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35</w:t>
            </w:r>
          </w:p>
        </w:tc>
        <w:tc>
          <w:tcPr>
            <w:tcW w:w="307" w:type="pct"/>
            <w:tcBorders>
              <w:top w:val="nil"/>
              <w:left w:val="nil"/>
              <w:bottom w:val="nil"/>
              <w:right w:val="nil"/>
            </w:tcBorders>
            <w:shd w:val="clear" w:color="auto" w:fill="auto"/>
            <w:noWrap/>
          </w:tcPr>
          <w:p w14:paraId="0A35D629"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79</w:t>
            </w:r>
          </w:p>
        </w:tc>
        <w:tc>
          <w:tcPr>
            <w:tcW w:w="351" w:type="pct"/>
            <w:tcBorders>
              <w:top w:val="nil"/>
              <w:left w:val="nil"/>
              <w:bottom w:val="nil"/>
              <w:right w:val="nil"/>
            </w:tcBorders>
            <w:shd w:val="clear" w:color="auto" w:fill="auto"/>
            <w:noWrap/>
          </w:tcPr>
          <w:p w14:paraId="4E6595C5"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87</w:t>
            </w:r>
          </w:p>
        </w:tc>
        <w:tc>
          <w:tcPr>
            <w:tcW w:w="411" w:type="pct"/>
            <w:tcBorders>
              <w:top w:val="nil"/>
              <w:left w:val="nil"/>
              <w:bottom w:val="nil"/>
              <w:right w:val="nil"/>
            </w:tcBorders>
            <w:shd w:val="clear" w:color="auto" w:fill="auto"/>
            <w:noWrap/>
          </w:tcPr>
          <w:p w14:paraId="2A2F8D38"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47</w:t>
            </w:r>
          </w:p>
        </w:tc>
        <w:tc>
          <w:tcPr>
            <w:tcW w:w="415" w:type="pct"/>
            <w:tcBorders>
              <w:top w:val="nil"/>
              <w:left w:val="nil"/>
              <w:bottom w:val="nil"/>
              <w:right w:val="nil"/>
            </w:tcBorders>
            <w:shd w:val="clear" w:color="auto" w:fill="auto"/>
            <w:noWrap/>
          </w:tcPr>
          <w:p w14:paraId="7D497156"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128</w:t>
            </w:r>
          </w:p>
        </w:tc>
        <w:tc>
          <w:tcPr>
            <w:tcW w:w="361" w:type="pct"/>
            <w:tcBorders>
              <w:top w:val="nil"/>
              <w:left w:val="nil"/>
              <w:bottom w:val="nil"/>
              <w:right w:val="nil"/>
            </w:tcBorders>
            <w:shd w:val="clear" w:color="auto" w:fill="auto"/>
            <w:noWrap/>
          </w:tcPr>
          <w:p w14:paraId="058DE1D6"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14</w:t>
            </w:r>
          </w:p>
        </w:tc>
        <w:tc>
          <w:tcPr>
            <w:tcW w:w="361" w:type="pct"/>
            <w:tcBorders>
              <w:top w:val="nil"/>
              <w:left w:val="nil"/>
              <w:bottom w:val="nil"/>
              <w:right w:val="nil"/>
            </w:tcBorders>
            <w:shd w:val="clear" w:color="auto" w:fill="auto"/>
            <w:noWrap/>
          </w:tcPr>
          <w:p w14:paraId="2F1D904E"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17</w:t>
            </w:r>
          </w:p>
        </w:tc>
        <w:tc>
          <w:tcPr>
            <w:tcW w:w="348" w:type="pct"/>
            <w:tcBorders>
              <w:top w:val="nil"/>
              <w:left w:val="nil"/>
              <w:bottom w:val="nil"/>
              <w:right w:val="nil"/>
            </w:tcBorders>
            <w:shd w:val="clear" w:color="auto" w:fill="auto"/>
            <w:noWrap/>
          </w:tcPr>
          <w:p w14:paraId="1C35D7B4" w14:textId="77777777" w:rsidR="00805881" w:rsidRPr="00555A65" w:rsidRDefault="00805881" w:rsidP="003D371F">
            <w:pPr>
              <w:spacing w:after="0" w:line="240" w:lineRule="auto"/>
              <w:contextualSpacing/>
              <w:jc w:val="right"/>
              <w:rPr>
                <w:rFonts w:cs="Calibri"/>
                <w:b/>
                <w:bCs/>
                <w:sz w:val="17"/>
                <w:szCs w:val="17"/>
                <w:lang w:eastAsia="en-AU"/>
              </w:rPr>
            </w:pPr>
            <w:r w:rsidRPr="00555A65">
              <w:rPr>
                <w:b/>
                <w:sz w:val="17"/>
                <w:szCs w:val="17"/>
              </w:rPr>
              <w:t>864</w:t>
            </w:r>
          </w:p>
        </w:tc>
      </w:tr>
      <w:tr w:rsidR="00805881" w:rsidRPr="00555A65" w14:paraId="1131122F" w14:textId="77777777" w:rsidTr="003D371F">
        <w:trPr>
          <w:trHeight w:val="227"/>
        </w:trPr>
        <w:tc>
          <w:tcPr>
            <w:tcW w:w="910" w:type="pct"/>
            <w:tcBorders>
              <w:top w:val="nil"/>
              <w:left w:val="nil"/>
              <w:bottom w:val="nil"/>
              <w:right w:val="nil"/>
            </w:tcBorders>
            <w:shd w:val="clear" w:color="auto" w:fill="auto"/>
            <w:noWrap/>
            <w:vAlign w:val="bottom"/>
          </w:tcPr>
          <w:p w14:paraId="2FAF6CD1"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Unspecked hardyhead</w:t>
            </w:r>
          </w:p>
        </w:tc>
        <w:tc>
          <w:tcPr>
            <w:tcW w:w="479" w:type="pct"/>
            <w:tcBorders>
              <w:top w:val="nil"/>
              <w:left w:val="nil"/>
              <w:bottom w:val="nil"/>
              <w:right w:val="nil"/>
            </w:tcBorders>
            <w:shd w:val="clear" w:color="auto" w:fill="auto"/>
            <w:noWrap/>
          </w:tcPr>
          <w:p w14:paraId="77EE4FC9"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302</w:t>
            </w:r>
          </w:p>
        </w:tc>
        <w:tc>
          <w:tcPr>
            <w:tcW w:w="457" w:type="pct"/>
            <w:tcBorders>
              <w:top w:val="nil"/>
              <w:left w:val="nil"/>
              <w:bottom w:val="nil"/>
              <w:right w:val="nil"/>
            </w:tcBorders>
            <w:shd w:val="clear" w:color="auto" w:fill="auto"/>
            <w:noWrap/>
          </w:tcPr>
          <w:p w14:paraId="0C77C543"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64</w:t>
            </w:r>
          </w:p>
        </w:tc>
        <w:tc>
          <w:tcPr>
            <w:tcW w:w="320" w:type="pct"/>
            <w:tcBorders>
              <w:top w:val="nil"/>
              <w:left w:val="nil"/>
              <w:bottom w:val="nil"/>
              <w:right w:val="nil"/>
            </w:tcBorders>
            <w:shd w:val="clear" w:color="auto" w:fill="auto"/>
            <w:noWrap/>
          </w:tcPr>
          <w:p w14:paraId="69D75CE6"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21</w:t>
            </w:r>
          </w:p>
        </w:tc>
        <w:tc>
          <w:tcPr>
            <w:tcW w:w="280" w:type="pct"/>
            <w:tcBorders>
              <w:top w:val="nil"/>
              <w:left w:val="nil"/>
              <w:bottom w:val="nil"/>
              <w:right w:val="nil"/>
            </w:tcBorders>
            <w:shd w:val="clear" w:color="auto" w:fill="auto"/>
            <w:noWrap/>
          </w:tcPr>
          <w:p w14:paraId="0613E14A"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17</w:t>
            </w:r>
          </w:p>
        </w:tc>
        <w:tc>
          <w:tcPr>
            <w:tcW w:w="307" w:type="pct"/>
            <w:tcBorders>
              <w:top w:val="nil"/>
              <w:left w:val="nil"/>
              <w:bottom w:val="nil"/>
              <w:right w:val="nil"/>
            </w:tcBorders>
            <w:shd w:val="clear" w:color="auto" w:fill="auto"/>
            <w:noWrap/>
          </w:tcPr>
          <w:p w14:paraId="43B67F6B"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56</w:t>
            </w:r>
          </w:p>
        </w:tc>
        <w:tc>
          <w:tcPr>
            <w:tcW w:w="351" w:type="pct"/>
            <w:tcBorders>
              <w:top w:val="nil"/>
              <w:left w:val="nil"/>
              <w:bottom w:val="nil"/>
              <w:right w:val="nil"/>
            </w:tcBorders>
            <w:shd w:val="clear" w:color="auto" w:fill="auto"/>
            <w:noWrap/>
          </w:tcPr>
          <w:p w14:paraId="4B42F3CD"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32</w:t>
            </w:r>
          </w:p>
        </w:tc>
        <w:tc>
          <w:tcPr>
            <w:tcW w:w="411" w:type="pct"/>
            <w:tcBorders>
              <w:top w:val="nil"/>
              <w:left w:val="nil"/>
              <w:bottom w:val="nil"/>
              <w:right w:val="nil"/>
            </w:tcBorders>
            <w:shd w:val="clear" w:color="auto" w:fill="auto"/>
            <w:noWrap/>
          </w:tcPr>
          <w:p w14:paraId="628FE7B2"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10</w:t>
            </w:r>
          </w:p>
        </w:tc>
        <w:tc>
          <w:tcPr>
            <w:tcW w:w="415" w:type="pct"/>
            <w:tcBorders>
              <w:top w:val="nil"/>
              <w:left w:val="nil"/>
              <w:bottom w:val="nil"/>
              <w:right w:val="nil"/>
            </w:tcBorders>
            <w:shd w:val="clear" w:color="auto" w:fill="auto"/>
            <w:noWrap/>
          </w:tcPr>
          <w:p w14:paraId="45B88AE7"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35</w:t>
            </w:r>
          </w:p>
        </w:tc>
        <w:tc>
          <w:tcPr>
            <w:tcW w:w="361" w:type="pct"/>
            <w:tcBorders>
              <w:top w:val="nil"/>
              <w:left w:val="nil"/>
              <w:bottom w:val="nil"/>
              <w:right w:val="nil"/>
            </w:tcBorders>
            <w:shd w:val="clear" w:color="auto" w:fill="auto"/>
            <w:noWrap/>
          </w:tcPr>
          <w:p w14:paraId="53B5A7B1"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53</w:t>
            </w:r>
          </w:p>
        </w:tc>
        <w:tc>
          <w:tcPr>
            <w:tcW w:w="361" w:type="pct"/>
            <w:tcBorders>
              <w:top w:val="nil"/>
              <w:left w:val="nil"/>
              <w:bottom w:val="nil"/>
              <w:right w:val="nil"/>
            </w:tcBorders>
            <w:shd w:val="clear" w:color="auto" w:fill="auto"/>
            <w:noWrap/>
          </w:tcPr>
          <w:p w14:paraId="7AEF2117"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56</w:t>
            </w:r>
          </w:p>
        </w:tc>
        <w:tc>
          <w:tcPr>
            <w:tcW w:w="348" w:type="pct"/>
            <w:tcBorders>
              <w:top w:val="nil"/>
              <w:left w:val="nil"/>
              <w:bottom w:val="nil"/>
              <w:right w:val="nil"/>
            </w:tcBorders>
            <w:shd w:val="clear" w:color="auto" w:fill="auto"/>
            <w:noWrap/>
          </w:tcPr>
          <w:p w14:paraId="42D56FDC" w14:textId="77777777" w:rsidR="00805881" w:rsidRPr="00555A65" w:rsidRDefault="00805881" w:rsidP="003D371F">
            <w:pPr>
              <w:spacing w:after="0" w:line="240" w:lineRule="auto"/>
              <w:contextualSpacing/>
              <w:jc w:val="right"/>
              <w:rPr>
                <w:rFonts w:cs="Calibri"/>
                <w:b/>
                <w:bCs/>
                <w:sz w:val="17"/>
                <w:szCs w:val="17"/>
                <w:lang w:eastAsia="en-AU"/>
              </w:rPr>
            </w:pPr>
            <w:r w:rsidRPr="00555A65">
              <w:rPr>
                <w:b/>
                <w:sz w:val="17"/>
                <w:szCs w:val="17"/>
              </w:rPr>
              <w:t>646</w:t>
            </w:r>
          </w:p>
        </w:tc>
      </w:tr>
      <w:tr w:rsidR="00805881" w:rsidRPr="00555A65" w14:paraId="1D0E26C3" w14:textId="77777777" w:rsidTr="003D371F">
        <w:trPr>
          <w:trHeight w:val="227"/>
        </w:trPr>
        <w:tc>
          <w:tcPr>
            <w:tcW w:w="910" w:type="pct"/>
            <w:tcBorders>
              <w:top w:val="nil"/>
              <w:left w:val="nil"/>
              <w:bottom w:val="nil"/>
              <w:right w:val="nil"/>
            </w:tcBorders>
            <w:shd w:val="clear" w:color="auto" w:fill="auto"/>
            <w:noWrap/>
            <w:vAlign w:val="bottom"/>
          </w:tcPr>
          <w:p w14:paraId="22933E96"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Flatheaded gudgeon</w:t>
            </w:r>
          </w:p>
        </w:tc>
        <w:tc>
          <w:tcPr>
            <w:tcW w:w="479" w:type="pct"/>
            <w:tcBorders>
              <w:top w:val="nil"/>
              <w:left w:val="nil"/>
              <w:bottom w:val="nil"/>
              <w:right w:val="nil"/>
            </w:tcBorders>
            <w:shd w:val="clear" w:color="auto" w:fill="auto"/>
            <w:noWrap/>
          </w:tcPr>
          <w:p w14:paraId="05D4CC19"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14</w:t>
            </w:r>
          </w:p>
        </w:tc>
        <w:tc>
          <w:tcPr>
            <w:tcW w:w="457" w:type="pct"/>
            <w:tcBorders>
              <w:top w:val="nil"/>
              <w:left w:val="nil"/>
              <w:bottom w:val="nil"/>
              <w:right w:val="nil"/>
            </w:tcBorders>
            <w:shd w:val="clear" w:color="auto" w:fill="auto"/>
            <w:noWrap/>
          </w:tcPr>
          <w:p w14:paraId="4FA6991F"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10</w:t>
            </w:r>
          </w:p>
        </w:tc>
        <w:tc>
          <w:tcPr>
            <w:tcW w:w="320" w:type="pct"/>
            <w:tcBorders>
              <w:top w:val="nil"/>
              <w:left w:val="nil"/>
              <w:bottom w:val="nil"/>
              <w:right w:val="nil"/>
            </w:tcBorders>
            <w:shd w:val="clear" w:color="auto" w:fill="auto"/>
            <w:noWrap/>
          </w:tcPr>
          <w:p w14:paraId="454D2363"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3</w:t>
            </w:r>
          </w:p>
        </w:tc>
        <w:tc>
          <w:tcPr>
            <w:tcW w:w="280" w:type="pct"/>
            <w:tcBorders>
              <w:top w:val="nil"/>
              <w:left w:val="nil"/>
              <w:bottom w:val="nil"/>
              <w:right w:val="nil"/>
            </w:tcBorders>
            <w:shd w:val="clear" w:color="auto" w:fill="auto"/>
            <w:noWrap/>
          </w:tcPr>
          <w:p w14:paraId="3B5360BC"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6</w:t>
            </w:r>
          </w:p>
        </w:tc>
        <w:tc>
          <w:tcPr>
            <w:tcW w:w="307" w:type="pct"/>
            <w:tcBorders>
              <w:top w:val="nil"/>
              <w:left w:val="nil"/>
              <w:bottom w:val="nil"/>
              <w:right w:val="nil"/>
            </w:tcBorders>
            <w:shd w:val="clear" w:color="auto" w:fill="auto"/>
            <w:noWrap/>
          </w:tcPr>
          <w:p w14:paraId="08B2E8FD"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7</w:t>
            </w:r>
          </w:p>
        </w:tc>
        <w:tc>
          <w:tcPr>
            <w:tcW w:w="351" w:type="pct"/>
            <w:tcBorders>
              <w:top w:val="nil"/>
              <w:left w:val="nil"/>
              <w:bottom w:val="nil"/>
              <w:right w:val="nil"/>
            </w:tcBorders>
            <w:shd w:val="clear" w:color="auto" w:fill="auto"/>
            <w:noWrap/>
          </w:tcPr>
          <w:p w14:paraId="52A0D979"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w:t>
            </w:r>
          </w:p>
        </w:tc>
        <w:tc>
          <w:tcPr>
            <w:tcW w:w="411" w:type="pct"/>
            <w:tcBorders>
              <w:top w:val="nil"/>
              <w:left w:val="nil"/>
              <w:bottom w:val="nil"/>
              <w:right w:val="nil"/>
            </w:tcBorders>
            <w:shd w:val="clear" w:color="auto" w:fill="auto"/>
            <w:noWrap/>
          </w:tcPr>
          <w:p w14:paraId="7FC3CD32" w14:textId="77777777" w:rsidR="00805881" w:rsidRPr="00555A65" w:rsidRDefault="00805881" w:rsidP="003D371F">
            <w:pPr>
              <w:spacing w:after="0" w:line="240" w:lineRule="auto"/>
              <w:contextualSpacing/>
              <w:jc w:val="right"/>
              <w:rPr>
                <w:rFonts w:cs="Calibri"/>
                <w:sz w:val="17"/>
                <w:szCs w:val="17"/>
                <w:lang w:eastAsia="en-AU"/>
              </w:rPr>
            </w:pPr>
          </w:p>
        </w:tc>
        <w:tc>
          <w:tcPr>
            <w:tcW w:w="415" w:type="pct"/>
            <w:tcBorders>
              <w:top w:val="nil"/>
              <w:left w:val="nil"/>
              <w:bottom w:val="nil"/>
              <w:right w:val="nil"/>
            </w:tcBorders>
            <w:shd w:val="clear" w:color="auto" w:fill="auto"/>
            <w:noWrap/>
          </w:tcPr>
          <w:p w14:paraId="15A3F9FE" w14:textId="77777777" w:rsidR="00805881" w:rsidRPr="00555A65" w:rsidRDefault="00805881" w:rsidP="003D371F">
            <w:pPr>
              <w:spacing w:after="0" w:line="240" w:lineRule="auto"/>
              <w:contextualSpacing/>
              <w:jc w:val="right"/>
              <w:rPr>
                <w:rFonts w:cs="Calibri"/>
                <w:sz w:val="17"/>
                <w:szCs w:val="17"/>
                <w:lang w:eastAsia="en-AU"/>
              </w:rPr>
            </w:pPr>
          </w:p>
        </w:tc>
        <w:tc>
          <w:tcPr>
            <w:tcW w:w="361" w:type="pct"/>
            <w:tcBorders>
              <w:top w:val="nil"/>
              <w:left w:val="nil"/>
              <w:bottom w:val="nil"/>
              <w:right w:val="nil"/>
            </w:tcBorders>
            <w:shd w:val="clear" w:color="auto" w:fill="auto"/>
            <w:noWrap/>
          </w:tcPr>
          <w:p w14:paraId="4EBA3E71"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2</w:t>
            </w:r>
          </w:p>
        </w:tc>
        <w:tc>
          <w:tcPr>
            <w:tcW w:w="361" w:type="pct"/>
            <w:tcBorders>
              <w:top w:val="nil"/>
              <w:left w:val="nil"/>
              <w:bottom w:val="nil"/>
              <w:right w:val="nil"/>
            </w:tcBorders>
            <w:shd w:val="clear" w:color="auto" w:fill="auto"/>
            <w:noWrap/>
          </w:tcPr>
          <w:p w14:paraId="59FA6598"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3</w:t>
            </w:r>
          </w:p>
        </w:tc>
        <w:tc>
          <w:tcPr>
            <w:tcW w:w="348" w:type="pct"/>
            <w:tcBorders>
              <w:top w:val="nil"/>
              <w:left w:val="nil"/>
              <w:bottom w:val="nil"/>
              <w:right w:val="nil"/>
            </w:tcBorders>
            <w:shd w:val="clear" w:color="auto" w:fill="auto"/>
            <w:noWrap/>
          </w:tcPr>
          <w:p w14:paraId="76184B50" w14:textId="77777777" w:rsidR="00805881" w:rsidRPr="00555A65" w:rsidRDefault="00805881" w:rsidP="003D371F">
            <w:pPr>
              <w:spacing w:after="0" w:line="240" w:lineRule="auto"/>
              <w:contextualSpacing/>
              <w:jc w:val="right"/>
              <w:rPr>
                <w:rFonts w:cs="Calibri"/>
                <w:b/>
                <w:bCs/>
                <w:sz w:val="17"/>
                <w:szCs w:val="17"/>
                <w:lang w:eastAsia="en-AU"/>
              </w:rPr>
            </w:pPr>
            <w:r w:rsidRPr="00555A65">
              <w:rPr>
                <w:b/>
                <w:sz w:val="17"/>
                <w:szCs w:val="17"/>
              </w:rPr>
              <w:t>46</w:t>
            </w:r>
          </w:p>
        </w:tc>
      </w:tr>
      <w:tr w:rsidR="00805881" w:rsidRPr="00555A65" w14:paraId="019DEB63" w14:textId="77777777" w:rsidTr="003D371F">
        <w:trPr>
          <w:trHeight w:val="227"/>
        </w:trPr>
        <w:tc>
          <w:tcPr>
            <w:tcW w:w="910" w:type="pct"/>
            <w:tcBorders>
              <w:top w:val="nil"/>
              <w:left w:val="nil"/>
              <w:bottom w:val="nil"/>
              <w:right w:val="nil"/>
            </w:tcBorders>
            <w:shd w:val="clear" w:color="auto" w:fill="auto"/>
            <w:noWrap/>
            <w:vAlign w:val="bottom"/>
          </w:tcPr>
          <w:p w14:paraId="42F1D37E"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Dwarf-flatheaded gudgeon</w:t>
            </w:r>
          </w:p>
        </w:tc>
        <w:tc>
          <w:tcPr>
            <w:tcW w:w="479" w:type="pct"/>
            <w:tcBorders>
              <w:top w:val="nil"/>
              <w:left w:val="nil"/>
              <w:bottom w:val="nil"/>
              <w:right w:val="nil"/>
            </w:tcBorders>
            <w:shd w:val="clear" w:color="auto" w:fill="auto"/>
            <w:noWrap/>
          </w:tcPr>
          <w:p w14:paraId="524B5BA5"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5</w:t>
            </w:r>
          </w:p>
        </w:tc>
        <w:tc>
          <w:tcPr>
            <w:tcW w:w="457" w:type="pct"/>
            <w:tcBorders>
              <w:top w:val="nil"/>
              <w:left w:val="nil"/>
              <w:bottom w:val="nil"/>
              <w:right w:val="nil"/>
            </w:tcBorders>
            <w:shd w:val="clear" w:color="auto" w:fill="auto"/>
            <w:noWrap/>
          </w:tcPr>
          <w:p w14:paraId="30079EBC"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4</w:t>
            </w:r>
          </w:p>
        </w:tc>
        <w:tc>
          <w:tcPr>
            <w:tcW w:w="320" w:type="pct"/>
            <w:tcBorders>
              <w:top w:val="nil"/>
              <w:left w:val="nil"/>
              <w:bottom w:val="nil"/>
              <w:right w:val="nil"/>
            </w:tcBorders>
            <w:shd w:val="clear" w:color="auto" w:fill="auto"/>
            <w:noWrap/>
          </w:tcPr>
          <w:p w14:paraId="2F616B50"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2</w:t>
            </w:r>
          </w:p>
        </w:tc>
        <w:tc>
          <w:tcPr>
            <w:tcW w:w="280" w:type="pct"/>
            <w:tcBorders>
              <w:top w:val="nil"/>
              <w:left w:val="nil"/>
              <w:bottom w:val="nil"/>
              <w:right w:val="nil"/>
            </w:tcBorders>
            <w:shd w:val="clear" w:color="auto" w:fill="auto"/>
            <w:noWrap/>
          </w:tcPr>
          <w:p w14:paraId="475EADCF"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10</w:t>
            </w:r>
          </w:p>
        </w:tc>
        <w:tc>
          <w:tcPr>
            <w:tcW w:w="307" w:type="pct"/>
            <w:tcBorders>
              <w:top w:val="nil"/>
              <w:left w:val="nil"/>
              <w:bottom w:val="nil"/>
              <w:right w:val="nil"/>
            </w:tcBorders>
            <w:shd w:val="clear" w:color="auto" w:fill="auto"/>
            <w:noWrap/>
          </w:tcPr>
          <w:p w14:paraId="163EBE8F"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40</w:t>
            </w:r>
          </w:p>
        </w:tc>
        <w:tc>
          <w:tcPr>
            <w:tcW w:w="351" w:type="pct"/>
            <w:tcBorders>
              <w:top w:val="nil"/>
              <w:left w:val="nil"/>
              <w:bottom w:val="nil"/>
              <w:right w:val="nil"/>
            </w:tcBorders>
            <w:shd w:val="clear" w:color="auto" w:fill="auto"/>
            <w:noWrap/>
          </w:tcPr>
          <w:p w14:paraId="00213E0F"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11</w:t>
            </w:r>
          </w:p>
        </w:tc>
        <w:tc>
          <w:tcPr>
            <w:tcW w:w="411" w:type="pct"/>
            <w:tcBorders>
              <w:top w:val="nil"/>
              <w:left w:val="nil"/>
              <w:bottom w:val="nil"/>
              <w:right w:val="nil"/>
            </w:tcBorders>
            <w:shd w:val="clear" w:color="auto" w:fill="auto"/>
            <w:noWrap/>
          </w:tcPr>
          <w:p w14:paraId="16566B37"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8</w:t>
            </w:r>
          </w:p>
        </w:tc>
        <w:tc>
          <w:tcPr>
            <w:tcW w:w="415" w:type="pct"/>
            <w:tcBorders>
              <w:top w:val="nil"/>
              <w:left w:val="nil"/>
              <w:bottom w:val="nil"/>
              <w:right w:val="nil"/>
            </w:tcBorders>
            <w:shd w:val="clear" w:color="auto" w:fill="auto"/>
            <w:noWrap/>
          </w:tcPr>
          <w:p w14:paraId="0C5BE571"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2</w:t>
            </w:r>
          </w:p>
        </w:tc>
        <w:tc>
          <w:tcPr>
            <w:tcW w:w="361" w:type="pct"/>
            <w:tcBorders>
              <w:top w:val="nil"/>
              <w:left w:val="nil"/>
              <w:bottom w:val="nil"/>
              <w:right w:val="nil"/>
            </w:tcBorders>
            <w:shd w:val="clear" w:color="auto" w:fill="auto"/>
            <w:noWrap/>
          </w:tcPr>
          <w:p w14:paraId="3C7DD455"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12</w:t>
            </w:r>
          </w:p>
        </w:tc>
        <w:tc>
          <w:tcPr>
            <w:tcW w:w="361" w:type="pct"/>
            <w:tcBorders>
              <w:top w:val="nil"/>
              <w:left w:val="nil"/>
              <w:bottom w:val="nil"/>
              <w:right w:val="nil"/>
            </w:tcBorders>
            <w:shd w:val="clear" w:color="auto" w:fill="auto"/>
            <w:noWrap/>
          </w:tcPr>
          <w:p w14:paraId="42479A53"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10</w:t>
            </w:r>
          </w:p>
        </w:tc>
        <w:tc>
          <w:tcPr>
            <w:tcW w:w="348" w:type="pct"/>
            <w:tcBorders>
              <w:top w:val="nil"/>
              <w:left w:val="nil"/>
              <w:bottom w:val="nil"/>
              <w:right w:val="nil"/>
            </w:tcBorders>
            <w:shd w:val="clear" w:color="auto" w:fill="auto"/>
            <w:noWrap/>
          </w:tcPr>
          <w:p w14:paraId="4FF83F36" w14:textId="77777777" w:rsidR="00805881" w:rsidRPr="00555A65" w:rsidRDefault="00805881" w:rsidP="003D371F">
            <w:pPr>
              <w:spacing w:after="0" w:line="240" w:lineRule="auto"/>
              <w:contextualSpacing/>
              <w:jc w:val="right"/>
              <w:rPr>
                <w:rFonts w:cs="Calibri"/>
                <w:b/>
                <w:bCs/>
                <w:sz w:val="17"/>
                <w:szCs w:val="17"/>
                <w:lang w:eastAsia="en-AU"/>
              </w:rPr>
            </w:pPr>
            <w:r w:rsidRPr="00555A65">
              <w:rPr>
                <w:b/>
                <w:sz w:val="17"/>
                <w:szCs w:val="17"/>
              </w:rPr>
              <w:t>104</w:t>
            </w:r>
          </w:p>
        </w:tc>
      </w:tr>
      <w:tr w:rsidR="00805881" w:rsidRPr="00555A65" w14:paraId="3EC80984" w14:textId="77777777" w:rsidTr="003D371F">
        <w:trPr>
          <w:trHeight w:val="227"/>
        </w:trPr>
        <w:tc>
          <w:tcPr>
            <w:tcW w:w="910" w:type="pct"/>
            <w:tcBorders>
              <w:top w:val="nil"/>
              <w:left w:val="nil"/>
              <w:bottom w:val="nil"/>
              <w:right w:val="nil"/>
            </w:tcBorders>
            <w:shd w:val="clear" w:color="auto" w:fill="auto"/>
            <w:noWrap/>
            <w:vAlign w:val="bottom"/>
          </w:tcPr>
          <w:p w14:paraId="225BF69B"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Australian smelt</w:t>
            </w:r>
          </w:p>
        </w:tc>
        <w:tc>
          <w:tcPr>
            <w:tcW w:w="479" w:type="pct"/>
            <w:tcBorders>
              <w:top w:val="nil"/>
              <w:left w:val="nil"/>
              <w:bottom w:val="nil"/>
              <w:right w:val="nil"/>
            </w:tcBorders>
            <w:shd w:val="clear" w:color="auto" w:fill="auto"/>
            <w:noWrap/>
          </w:tcPr>
          <w:p w14:paraId="3D105048" w14:textId="77777777" w:rsidR="00805881" w:rsidRPr="00555A65" w:rsidRDefault="00805881" w:rsidP="003D371F">
            <w:pPr>
              <w:spacing w:after="0" w:line="240" w:lineRule="auto"/>
              <w:contextualSpacing/>
              <w:jc w:val="right"/>
              <w:rPr>
                <w:rFonts w:cs="Calibri"/>
                <w:sz w:val="17"/>
                <w:szCs w:val="17"/>
                <w:lang w:eastAsia="en-AU"/>
              </w:rPr>
            </w:pPr>
          </w:p>
        </w:tc>
        <w:tc>
          <w:tcPr>
            <w:tcW w:w="457" w:type="pct"/>
            <w:tcBorders>
              <w:top w:val="nil"/>
              <w:left w:val="nil"/>
              <w:bottom w:val="nil"/>
              <w:right w:val="nil"/>
            </w:tcBorders>
            <w:shd w:val="clear" w:color="auto" w:fill="auto"/>
            <w:noWrap/>
          </w:tcPr>
          <w:p w14:paraId="35E4B36F"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w:t>
            </w:r>
          </w:p>
        </w:tc>
        <w:tc>
          <w:tcPr>
            <w:tcW w:w="320" w:type="pct"/>
            <w:tcBorders>
              <w:top w:val="nil"/>
              <w:left w:val="nil"/>
              <w:bottom w:val="nil"/>
              <w:right w:val="nil"/>
            </w:tcBorders>
            <w:shd w:val="clear" w:color="auto" w:fill="auto"/>
            <w:noWrap/>
          </w:tcPr>
          <w:p w14:paraId="21C4803E" w14:textId="77777777" w:rsidR="00805881" w:rsidRPr="00555A65" w:rsidRDefault="00805881" w:rsidP="003D371F">
            <w:pPr>
              <w:spacing w:after="0" w:line="240" w:lineRule="auto"/>
              <w:contextualSpacing/>
              <w:jc w:val="right"/>
              <w:rPr>
                <w:rFonts w:cs="Calibri"/>
                <w:sz w:val="17"/>
                <w:szCs w:val="17"/>
                <w:lang w:eastAsia="en-AU"/>
              </w:rPr>
            </w:pPr>
          </w:p>
        </w:tc>
        <w:tc>
          <w:tcPr>
            <w:tcW w:w="280" w:type="pct"/>
            <w:tcBorders>
              <w:top w:val="nil"/>
              <w:left w:val="nil"/>
              <w:bottom w:val="nil"/>
              <w:right w:val="nil"/>
            </w:tcBorders>
            <w:shd w:val="clear" w:color="auto" w:fill="auto"/>
            <w:noWrap/>
          </w:tcPr>
          <w:p w14:paraId="0A7898FA" w14:textId="77777777" w:rsidR="00805881" w:rsidRPr="00555A65" w:rsidRDefault="00805881" w:rsidP="003D371F">
            <w:pPr>
              <w:spacing w:after="0" w:line="240" w:lineRule="auto"/>
              <w:contextualSpacing/>
              <w:jc w:val="right"/>
              <w:rPr>
                <w:rFonts w:cs="Calibri"/>
                <w:sz w:val="17"/>
                <w:szCs w:val="17"/>
                <w:lang w:eastAsia="en-AU"/>
              </w:rPr>
            </w:pPr>
          </w:p>
        </w:tc>
        <w:tc>
          <w:tcPr>
            <w:tcW w:w="307" w:type="pct"/>
            <w:tcBorders>
              <w:top w:val="nil"/>
              <w:left w:val="nil"/>
              <w:bottom w:val="nil"/>
              <w:right w:val="nil"/>
            </w:tcBorders>
            <w:shd w:val="clear" w:color="auto" w:fill="auto"/>
            <w:noWrap/>
          </w:tcPr>
          <w:p w14:paraId="4F91691D"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6</w:t>
            </w:r>
          </w:p>
        </w:tc>
        <w:tc>
          <w:tcPr>
            <w:tcW w:w="351" w:type="pct"/>
            <w:tcBorders>
              <w:top w:val="nil"/>
              <w:left w:val="nil"/>
              <w:bottom w:val="nil"/>
              <w:right w:val="nil"/>
            </w:tcBorders>
            <w:shd w:val="clear" w:color="auto" w:fill="auto"/>
            <w:noWrap/>
          </w:tcPr>
          <w:p w14:paraId="187A6384"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w:t>
            </w:r>
          </w:p>
        </w:tc>
        <w:tc>
          <w:tcPr>
            <w:tcW w:w="411" w:type="pct"/>
            <w:tcBorders>
              <w:top w:val="nil"/>
              <w:left w:val="nil"/>
              <w:bottom w:val="nil"/>
              <w:right w:val="nil"/>
            </w:tcBorders>
            <w:shd w:val="clear" w:color="auto" w:fill="auto"/>
            <w:noWrap/>
          </w:tcPr>
          <w:p w14:paraId="2A487A99"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4</w:t>
            </w:r>
          </w:p>
        </w:tc>
        <w:tc>
          <w:tcPr>
            <w:tcW w:w="415" w:type="pct"/>
            <w:tcBorders>
              <w:top w:val="nil"/>
              <w:left w:val="nil"/>
              <w:bottom w:val="nil"/>
              <w:right w:val="nil"/>
            </w:tcBorders>
            <w:shd w:val="clear" w:color="auto" w:fill="auto"/>
            <w:noWrap/>
          </w:tcPr>
          <w:p w14:paraId="39940989"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2</w:t>
            </w:r>
          </w:p>
        </w:tc>
        <w:tc>
          <w:tcPr>
            <w:tcW w:w="361" w:type="pct"/>
            <w:tcBorders>
              <w:top w:val="nil"/>
              <w:left w:val="nil"/>
              <w:bottom w:val="nil"/>
              <w:right w:val="nil"/>
            </w:tcBorders>
            <w:shd w:val="clear" w:color="auto" w:fill="auto"/>
            <w:noWrap/>
          </w:tcPr>
          <w:p w14:paraId="7F3EB152" w14:textId="77777777" w:rsidR="00805881" w:rsidRPr="00555A65" w:rsidRDefault="00805881" w:rsidP="003D371F">
            <w:pPr>
              <w:spacing w:after="0" w:line="240" w:lineRule="auto"/>
              <w:contextualSpacing/>
              <w:jc w:val="right"/>
              <w:rPr>
                <w:rFonts w:cs="Calibri"/>
                <w:sz w:val="17"/>
                <w:szCs w:val="17"/>
                <w:lang w:eastAsia="en-AU"/>
              </w:rPr>
            </w:pPr>
          </w:p>
        </w:tc>
        <w:tc>
          <w:tcPr>
            <w:tcW w:w="361" w:type="pct"/>
            <w:tcBorders>
              <w:top w:val="nil"/>
              <w:left w:val="nil"/>
              <w:bottom w:val="nil"/>
              <w:right w:val="nil"/>
            </w:tcBorders>
            <w:shd w:val="clear" w:color="auto" w:fill="auto"/>
            <w:noWrap/>
          </w:tcPr>
          <w:p w14:paraId="23258DDA" w14:textId="77777777" w:rsidR="00805881" w:rsidRPr="00555A65" w:rsidRDefault="00805881" w:rsidP="003D371F">
            <w:pPr>
              <w:spacing w:after="0" w:line="240" w:lineRule="auto"/>
              <w:contextualSpacing/>
              <w:jc w:val="right"/>
              <w:rPr>
                <w:rFonts w:cs="Calibri"/>
                <w:sz w:val="17"/>
                <w:szCs w:val="17"/>
                <w:lang w:eastAsia="en-AU"/>
              </w:rPr>
            </w:pPr>
          </w:p>
        </w:tc>
        <w:tc>
          <w:tcPr>
            <w:tcW w:w="348" w:type="pct"/>
            <w:tcBorders>
              <w:top w:val="nil"/>
              <w:left w:val="nil"/>
              <w:bottom w:val="nil"/>
              <w:right w:val="nil"/>
            </w:tcBorders>
            <w:shd w:val="clear" w:color="auto" w:fill="auto"/>
            <w:noWrap/>
          </w:tcPr>
          <w:p w14:paraId="72BFAFCC" w14:textId="77777777" w:rsidR="00805881" w:rsidRPr="00555A65" w:rsidRDefault="00805881" w:rsidP="003D371F">
            <w:pPr>
              <w:spacing w:after="0" w:line="240" w:lineRule="auto"/>
              <w:contextualSpacing/>
              <w:jc w:val="right"/>
              <w:rPr>
                <w:rFonts w:cs="Calibri"/>
                <w:b/>
                <w:bCs/>
                <w:sz w:val="17"/>
                <w:szCs w:val="17"/>
                <w:lang w:eastAsia="en-AU"/>
              </w:rPr>
            </w:pPr>
            <w:r w:rsidRPr="00555A65">
              <w:rPr>
                <w:b/>
                <w:sz w:val="17"/>
                <w:szCs w:val="17"/>
              </w:rPr>
              <w:t>14</w:t>
            </w:r>
          </w:p>
        </w:tc>
      </w:tr>
      <w:tr w:rsidR="00805881" w:rsidRPr="00555A65" w14:paraId="1B6FFB5A" w14:textId="77777777" w:rsidTr="003D371F">
        <w:trPr>
          <w:trHeight w:val="227"/>
        </w:trPr>
        <w:tc>
          <w:tcPr>
            <w:tcW w:w="910" w:type="pct"/>
            <w:tcBorders>
              <w:top w:val="nil"/>
              <w:left w:val="nil"/>
              <w:bottom w:val="nil"/>
              <w:right w:val="nil"/>
            </w:tcBorders>
            <w:shd w:val="clear" w:color="auto" w:fill="auto"/>
            <w:noWrap/>
            <w:vAlign w:val="bottom"/>
          </w:tcPr>
          <w:p w14:paraId="1B21CFB8" w14:textId="77777777" w:rsidR="00805881" w:rsidRPr="00555A65" w:rsidRDefault="00805881" w:rsidP="003D371F">
            <w:pPr>
              <w:spacing w:after="0" w:line="240" w:lineRule="auto"/>
              <w:contextualSpacing/>
              <w:rPr>
                <w:rFonts w:cs="Calibri"/>
                <w:sz w:val="17"/>
                <w:szCs w:val="17"/>
                <w:lang w:eastAsia="en-AU"/>
              </w:rPr>
            </w:pPr>
            <w:r w:rsidRPr="00555A65">
              <w:rPr>
                <w:rFonts w:cs="Calibri"/>
                <w:sz w:val="17"/>
                <w:szCs w:val="17"/>
                <w:lang w:eastAsia="en-AU"/>
              </w:rPr>
              <w:t>Gambusia</w:t>
            </w:r>
          </w:p>
        </w:tc>
        <w:tc>
          <w:tcPr>
            <w:tcW w:w="479" w:type="pct"/>
            <w:tcBorders>
              <w:top w:val="nil"/>
              <w:left w:val="nil"/>
              <w:bottom w:val="nil"/>
              <w:right w:val="nil"/>
            </w:tcBorders>
            <w:shd w:val="clear" w:color="auto" w:fill="auto"/>
            <w:noWrap/>
          </w:tcPr>
          <w:p w14:paraId="7B2A733F" w14:textId="77777777" w:rsidR="00805881" w:rsidRPr="00555A65" w:rsidRDefault="00805881" w:rsidP="003D371F">
            <w:pPr>
              <w:spacing w:after="0" w:line="240" w:lineRule="auto"/>
              <w:contextualSpacing/>
              <w:jc w:val="right"/>
              <w:rPr>
                <w:rFonts w:cs="Calibri"/>
                <w:sz w:val="17"/>
                <w:szCs w:val="17"/>
                <w:lang w:eastAsia="en-AU"/>
              </w:rPr>
            </w:pPr>
          </w:p>
        </w:tc>
        <w:tc>
          <w:tcPr>
            <w:tcW w:w="457" w:type="pct"/>
            <w:tcBorders>
              <w:top w:val="nil"/>
              <w:left w:val="nil"/>
              <w:bottom w:val="nil"/>
              <w:right w:val="nil"/>
            </w:tcBorders>
            <w:shd w:val="clear" w:color="auto" w:fill="auto"/>
            <w:noWrap/>
          </w:tcPr>
          <w:p w14:paraId="26943AF0"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208</w:t>
            </w:r>
          </w:p>
        </w:tc>
        <w:tc>
          <w:tcPr>
            <w:tcW w:w="320" w:type="pct"/>
            <w:tcBorders>
              <w:top w:val="nil"/>
              <w:left w:val="nil"/>
              <w:bottom w:val="nil"/>
              <w:right w:val="nil"/>
            </w:tcBorders>
            <w:shd w:val="clear" w:color="auto" w:fill="auto"/>
            <w:noWrap/>
          </w:tcPr>
          <w:p w14:paraId="1FA5D731"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117</w:t>
            </w:r>
          </w:p>
        </w:tc>
        <w:tc>
          <w:tcPr>
            <w:tcW w:w="280" w:type="pct"/>
            <w:tcBorders>
              <w:top w:val="nil"/>
              <w:left w:val="nil"/>
              <w:bottom w:val="nil"/>
              <w:right w:val="nil"/>
            </w:tcBorders>
            <w:shd w:val="clear" w:color="auto" w:fill="auto"/>
            <w:noWrap/>
          </w:tcPr>
          <w:p w14:paraId="383D29A6"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227</w:t>
            </w:r>
          </w:p>
        </w:tc>
        <w:tc>
          <w:tcPr>
            <w:tcW w:w="307" w:type="pct"/>
            <w:tcBorders>
              <w:top w:val="nil"/>
              <w:left w:val="nil"/>
              <w:bottom w:val="nil"/>
              <w:right w:val="nil"/>
            </w:tcBorders>
            <w:shd w:val="clear" w:color="auto" w:fill="auto"/>
            <w:noWrap/>
          </w:tcPr>
          <w:p w14:paraId="1D739DA6"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94</w:t>
            </w:r>
          </w:p>
        </w:tc>
        <w:tc>
          <w:tcPr>
            <w:tcW w:w="351" w:type="pct"/>
            <w:tcBorders>
              <w:top w:val="nil"/>
              <w:left w:val="nil"/>
              <w:bottom w:val="nil"/>
              <w:right w:val="nil"/>
            </w:tcBorders>
            <w:shd w:val="clear" w:color="auto" w:fill="auto"/>
            <w:noWrap/>
          </w:tcPr>
          <w:p w14:paraId="7773A2B2"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183</w:t>
            </w:r>
          </w:p>
        </w:tc>
        <w:tc>
          <w:tcPr>
            <w:tcW w:w="411" w:type="pct"/>
            <w:tcBorders>
              <w:top w:val="nil"/>
              <w:left w:val="nil"/>
              <w:bottom w:val="nil"/>
              <w:right w:val="nil"/>
            </w:tcBorders>
            <w:shd w:val="clear" w:color="auto" w:fill="auto"/>
            <w:noWrap/>
          </w:tcPr>
          <w:p w14:paraId="2A358C1D"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63</w:t>
            </w:r>
          </w:p>
        </w:tc>
        <w:tc>
          <w:tcPr>
            <w:tcW w:w="415" w:type="pct"/>
            <w:tcBorders>
              <w:top w:val="nil"/>
              <w:left w:val="nil"/>
              <w:bottom w:val="nil"/>
              <w:right w:val="nil"/>
            </w:tcBorders>
            <w:shd w:val="clear" w:color="auto" w:fill="auto"/>
            <w:noWrap/>
          </w:tcPr>
          <w:p w14:paraId="634CFB57"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79</w:t>
            </w:r>
          </w:p>
        </w:tc>
        <w:tc>
          <w:tcPr>
            <w:tcW w:w="361" w:type="pct"/>
            <w:tcBorders>
              <w:top w:val="nil"/>
              <w:left w:val="nil"/>
              <w:bottom w:val="nil"/>
              <w:right w:val="nil"/>
            </w:tcBorders>
            <w:shd w:val="clear" w:color="auto" w:fill="auto"/>
            <w:noWrap/>
          </w:tcPr>
          <w:p w14:paraId="1B532B66"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81</w:t>
            </w:r>
          </w:p>
        </w:tc>
        <w:tc>
          <w:tcPr>
            <w:tcW w:w="361" w:type="pct"/>
            <w:tcBorders>
              <w:top w:val="nil"/>
              <w:left w:val="nil"/>
              <w:bottom w:val="nil"/>
              <w:right w:val="nil"/>
            </w:tcBorders>
            <w:shd w:val="clear" w:color="auto" w:fill="auto"/>
            <w:noWrap/>
          </w:tcPr>
          <w:p w14:paraId="60B4A605" w14:textId="77777777" w:rsidR="00805881" w:rsidRPr="00555A65" w:rsidRDefault="00805881" w:rsidP="003D371F">
            <w:pPr>
              <w:spacing w:after="0" w:line="240" w:lineRule="auto"/>
              <w:contextualSpacing/>
              <w:jc w:val="right"/>
              <w:rPr>
                <w:rFonts w:cs="Calibri"/>
                <w:sz w:val="17"/>
                <w:szCs w:val="17"/>
                <w:lang w:eastAsia="en-AU"/>
              </w:rPr>
            </w:pPr>
            <w:r w:rsidRPr="00555A65">
              <w:rPr>
                <w:sz w:val="17"/>
                <w:szCs w:val="17"/>
              </w:rPr>
              <w:t>324</w:t>
            </w:r>
          </w:p>
        </w:tc>
        <w:tc>
          <w:tcPr>
            <w:tcW w:w="348" w:type="pct"/>
            <w:tcBorders>
              <w:top w:val="nil"/>
              <w:left w:val="nil"/>
              <w:bottom w:val="nil"/>
              <w:right w:val="nil"/>
            </w:tcBorders>
            <w:shd w:val="clear" w:color="auto" w:fill="auto"/>
            <w:noWrap/>
          </w:tcPr>
          <w:p w14:paraId="0D51EFFA" w14:textId="77777777" w:rsidR="00805881" w:rsidRPr="00555A65" w:rsidRDefault="00805881" w:rsidP="003D371F">
            <w:pPr>
              <w:spacing w:after="0" w:line="240" w:lineRule="auto"/>
              <w:contextualSpacing/>
              <w:jc w:val="right"/>
              <w:rPr>
                <w:rFonts w:cs="Calibri"/>
                <w:b/>
                <w:bCs/>
                <w:sz w:val="17"/>
                <w:szCs w:val="17"/>
                <w:lang w:eastAsia="en-AU"/>
              </w:rPr>
            </w:pPr>
            <w:r w:rsidRPr="00555A65">
              <w:rPr>
                <w:b/>
                <w:sz w:val="17"/>
                <w:szCs w:val="17"/>
              </w:rPr>
              <w:t>1,376</w:t>
            </w:r>
          </w:p>
        </w:tc>
      </w:tr>
      <w:tr w:rsidR="00805881" w:rsidRPr="00555A65" w14:paraId="4E20EAF1" w14:textId="77777777" w:rsidTr="003D371F">
        <w:trPr>
          <w:trHeight w:val="227"/>
        </w:trPr>
        <w:tc>
          <w:tcPr>
            <w:tcW w:w="910" w:type="pct"/>
            <w:tcBorders>
              <w:top w:val="nil"/>
              <w:left w:val="nil"/>
              <w:bottom w:val="single" w:sz="4" w:space="0" w:color="auto"/>
              <w:right w:val="nil"/>
            </w:tcBorders>
            <w:shd w:val="clear" w:color="auto" w:fill="auto"/>
            <w:noWrap/>
            <w:vAlign w:val="bottom"/>
          </w:tcPr>
          <w:p w14:paraId="320A61A5" w14:textId="77777777" w:rsidR="00805881" w:rsidRPr="00555A65" w:rsidRDefault="00805881" w:rsidP="003D371F">
            <w:pPr>
              <w:spacing w:after="0" w:line="240" w:lineRule="auto"/>
              <w:contextualSpacing/>
              <w:jc w:val="right"/>
              <w:rPr>
                <w:rFonts w:cs="Calibri"/>
                <w:b/>
                <w:bCs/>
                <w:sz w:val="17"/>
                <w:szCs w:val="17"/>
                <w:lang w:eastAsia="en-AU"/>
              </w:rPr>
            </w:pPr>
            <w:r w:rsidRPr="00555A65">
              <w:rPr>
                <w:rFonts w:cs="Calibri"/>
                <w:b/>
                <w:bCs/>
                <w:sz w:val="17"/>
                <w:szCs w:val="17"/>
                <w:lang w:eastAsia="en-AU"/>
              </w:rPr>
              <w:t>Total</w:t>
            </w:r>
          </w:p>
        </w:tc>
        <w:tc>
          <w:tcPr>
            <w:tcW w:w="479" w:type="pct"/>
            <w:tcBorders>
              <w:top w:val="nil"/>
              <w:left w:val="nil"/>
              <w:bottom w:val="single" w:sz="4" w:space="0" w:color="auto"/>
              <w:right w:val="nil"/>
            </w:tcBorders>
            <w:shd w:val="clear" w:color="auto" w:fill="auto"/>
            <w:noWrap/>
          </w:tcPr>
          <w:p w14:paraId="5350C863" w14:textId="77777777" w:rsidR="00805881" w:rsidRPr="00555A65" w:rsidRDefault="00805881" w:rsidP="003D371F">
            <w:pPr>
              <w:spacing w:after="0" w:line="240" w:lineRule="auto"/>
              <w:contextualSpacing/>
              <w:jc w:val="right"/>
              <w:rPr>
                <w:rFonts w:cs="Calibri"/>
                <w:b/>
                <w:bCs/>
                <w:sz w:val="17"/>
                <w:szCs w:val="17"/>
                <w:lang w:eastAsia="en-AU"/>
              </w:rPr>
            </w:pPr>
            <w:r w:rsidRPr="00555A65">
              <w:rPr>
                <w:b/>
                <w:sz w:val="17"/>
                <w:szCs w:val="17"/>
              </w:rPr>
              <w:t>3,952</w:t>
            </w:r>
          </w:p>
        </w:tc>
        <w:tc>
          <w:tcPr>
            <w:tcW w:w="457" w:type="pct"/>
            <w:tcBorders>
              <w:top w:val="nil"/>
              <w:left w:val="nil"/>
              <w:bottom w:val="single" w:sz="4" w:space="0" w:color="auto"/>
              <w:right w:val="nil"/>
            </w:tcBorders>
            <w:shd w:val="clear" w:color="auto" w:fill="auto"/>
            <w:noWrap/>
          </w:tcPr>
          <w:p w14:paraId="5D2468D0" w14:textId="77777777" w:rsidR="00805881" w:rsidRPr="00555A65" w:rsidRDefault="00805881" w:rsidP="003D371F">
            <w:pPr>
              <w:spacing w:after="0" w:line="240" w:lineRule="auto"/>
              <w:contextualSpacing/>
              <w:jc w:val="right"/>
              <w:rPr>
                <w:rFonts w:cs="Calibri"/>
                <w:b/>
                <w:bCs/>
                <w:sz w:val="17"/>
                <w:szCs w:val="17"/>
                <w:lang w:eastAsia="en-AU"/>
              </w:rPr>
            </w:pPr>
            <w:r w:rsidRPr="00555A65">
              <w:rPr>
                <w:b/>
                <w:sz w:val="17"/>
                <w:szCs w:val="17"/>
              </w:rPr>
              <w:t>1,674</w:t>
            </w:r>
          </w:p>
        </w:tc>
        <w:tc>
          <w:tcPr>
            <w:tcW w:w="320" w:type="pct"/>
            <w:tcBorders>
              <w:top w:val="nil"/>
              <w:left w:val="nil"/>
              <w:bottom w:val="single" w:sz="4" w:space="0" w:color="auto"/>
              <w:right w:val="nil"/>
            </w:tcBorders>
            <w:shd w:val="clear" w:color="auto" w:fill="auto"/>
            <w:noWrap/>
          </w:tcPr>
          <w:p w14:paraId="58D5CE26" w14:textId="77777777" w:rsidR="00805881" w:rsidRPr="00555A65" w:rsidRDefault="00805881" w:rsidP="003D371F">
            <w:pPr>
              <w:spacing w:after="0" w:line="240" w:lineRule="auto"/>
              <w:contextualSpacing/>
              <w:jc w:val="right"/>
              <w:rPr>
                <w:rFonts w:cs="Calibri"/>
                <w:b/>
                <w:bCs/>
                <w:sz w:val="17"/>
                <w:szCs w:val="17"/>
                <w:lang w:eastAsia="en-AU"/>
              </w:rPr>
            </w:pPr>
            <w:r w:rsidRPr="00555A65">
              <w:rPr>
                <w:b/>
                <w:sz w:val="17"/>
                <w:szCs w:val="17"/>
              </w:rPr>
              <w:t>882</w:t>
            </w:r>
          </w:p>
        </w:tc>
        <w:tc>
          <w:tcPr>
            <w:tcW w:w="280" w:type="pct"/>
            <w:tcBorders>
              <w:top w:val="nil"/>
              <w:left w:val="nil"/>
              <w:bottom w:val="single" w:sz="4" w:space="0" w:color="auto"/>
              <w:right w:val="nil"/>
            </w:tcBorders>
            <w:shd w:val="clear" w:color="auto" w:fill="auto"/>
            <w:noWrap/>
          </w:tcPr>
          <w:p w14:paraId="1D5278CD" w14:textId="77777777" w:rsidR="00805881" w:rsidRPr="00555A65" w:rsidRDefault="00805881" w:rsidP="003D371F">
            <w:pPr>
              <w:spacing w:after="0" w:line="240" w:lineRule="auto"/>
              <w:contextualSpacing/>
              <w:jc w:val="right"/>
              <w:rPr>
                <w:rFonts w:cs="Calibri"/>
                <w:b/>
                <w:bCs/>
                <w:sz w:val="17"/>
                <w:szCs w:val="17"/>
                <w:lang w:eastAsia="en-AU"/>
              </w:rPr>
            </w:pPr>
            <w:r w:rsidRPr="00555A65">
              <w:rPr>
                <w:b/>
                <w:sz w:val="17"/>
                <w:szCs w:val="17"/>
              </w:rPr>
              <w:t>1,193</w:t>
            </w:r>
          </w:p>
        </w:tc>
        <w:tc>
          <w:tcPr>
            <w:tcW w:w="307" w:type="pct"/>
            <w:tcBorders>
              <w:top w:val="nil"/>
              <w:left w:val="nil"/>
              <w:bottom w:val="single" w:sz="4" w:space="0" w:color="auto"/>
              <w:right w:val="nil"/>
            </w:tcBorders>
            <w:shd w:val="clear" w:color="auto" w:fill="auto"/>
            <w:noWrap/>
          </w:tcPr>
          <w:p w14:paraId="7FF100A6" w14:textId="77777777" w:rsidR="00805881" w:rsidRPr="00555A65" w:rsidRDefault="00805881" w:rsidP="003D371F">
            <w:pPr>
              <w:spacing w:after="0" w:line="240" w:lineRule="auto"/>
              <w:contextualSpacing/>
              <w:jc w:val="right"/>
              <w:rPr>
                <w:rFonts w:cs="Calibri"/>
                <w:b/>
                <w:bCs/>
                <w:sz w:val="17"/>
                <w:szCs w:val="17"/>
                <w:lang w:eastAsia="en-AU"/>
              </w:rPr>
            </w:pPr>
            <w:r w:rsidRPr="00555A65">
              <w:rPr>
                <w:b/>
                <w:sz w:val="17"/>
                <w:szCs w:val="17"/>
              </w:rPr>
              <w:t>3,241</w:t>
            </w:r>
          </w:p>
        </w:tc>
        <w:tc>
          <w:tcPr>
            <w:tcW w:w="351" w:type="pct"/>
            <w:tcBorders>
              <w:top w:val="nil"/>
              <w:left w:val="nil"/>
              <w:bottom w:val="single" w:sz="4" w:space="0" w:color="auto"/>
              <w:right w:val="nil"/>
            </w:tcBorders>
            <w:shd w:val="clear" w:color="auto" w:fill="auto"/>
            <w:noWrap/>
          </w:tcPr>
          <w:p w14:paraId="5BB2D8A3" w14:textId="77777777" w:rsidR="00805881" w:rsidRPr="00555A65" w:rsidRDefault="00805881" w:rsidP="003D371F">
            <w:pPr>
              <w:spacing w:after="0" w:line="240" w:lineRule="auto"/>
              <w:contextualSpacing/>
              <w:jc w:val="right"/>
              <w:rPr>
                <w:rFonts w:cs="Calibri"/>
                <w:b/>
                <w:bCs/>
                <w:sz w:val="17"/>
                <w:szCs w:val="17"/>
                <w:lang w:eastAsia="en-AU"/>
              </w:rPr>
            </w:pPr>
            <w:r w:rsidRPr="00555A65">
              <w:rPr>
                <w:b/>
                <w:sz w:val="17"/>
                <w:szCs w:val="17"/>
              </w:rPr>
              <w:t>2,219</w:t>
            </w:r>
          </w:p>
        </w:tc>
        <w:tc>
          <w:tcPr>
            <w:tcW w:w="411" w:type="pct"/>
            <w:tcBorders>
              <w:top w:val="nil"/>
              <w:left w:val="nil"/>
              <w:bottom w:val="single" w:sz="4" w:space="0" w:color="auto"/>
              <w:right w:val="nil"/>
            </w:tcBorders>
            <w:shd w:val="clear" w:color="auto" w:fill="auto"/>
            <w:noWrap/>
          </w:tcPr>
          <w:p w14:paraId="772DDAA0" w14:textId="77777777" w:rsidR="00805881" w:rsidRPr="00555A65" w:rsidRDefault="00805881" w:rsidP="003D371F">
            <w:pPr>
              <w:spacing w:after="0" w:line="240" w:lineRule="auto"/>
              <w:contextualSpacing/>
              <w:jc w:val="right"/>
              <w:rPr>
                <w:rFonts w:cs="Calibri"/>
                <w:b/>
                <w:bCs/>
                <w:sz w:val="17"/>
                <w:szCs w:val="17"/>
                <w:lang w:eastAsia="en-AU"/>
              </w:rPr>
            </w:pPr>
            <w:r w:rsidRPr="00555A65">
              <w:rPr>
                <w:b/>
                <w:sz w:val="17"/>
                <w:szCs w:val="17"/>
              </w:rPr>
              <w:t>1,913</w:t>
            </w:r>
          </w:p>
        </w:tc>
        <w:tc>
          <w:tcPr>
            <w:tcW w:w="415" w:type="pct"/>
            <w:tcBorders>
              <w:top w:val="nil"/>
              <w:left w:val="nil"/>
              <w:bottom w:val="single" w:sz="4" w:space="0" w:color="auto"/>
              <w:right w:val="nil"/>
            </w:tcBorders>
            <w:shd w:val="clear" w:color="auto" w:fill="auto"/>
            <w:noWrap/>
          </w:tcPr>
          <w:p w14:paraId="35291E2B" w14:textId="77777777" w:rsidR="00805881" w:rsidRPr="00555A65" w:rsidRDefault="00805881" w:rsidP="003D371F">
            <w:pPr>
              <w:spacing w:after="0" w:line="240" w:lineRule="auto"/>
              <w:contextualSpacing/>
              <w:jc w:val="right"/>
              <w:rPr>
                <w:rFonts w:cs="Calibri"/>
                <w:b/>
                <w:bCs/>
                <w:sz w:val="17"/>
                <w:szCs w:val="17"/>
                <w:lang w:eastAsia="en-AU"/>
              </w:rPr>
            </w:pPr>
            <w:r w:rsidRPr="00555A65">
              <w:rPr>
                <w:b/>
                <w:sz w:val="17"/>
                <w:szCs w:val="17"/>
              </w:rPr>
              <w:t>1,843</w:t>
            </w:r>
          </w:p>
        </w:tc>
        <w:tc>
          <w:tcPr>
            <w:tcW w:w="361" w:type="pct"/>
            <w:tcBorders>
              <w:top w:val="nil"/>
              <w:left w:val="nil"/>
              <w:bottom w:val="single" w:sz="4" w:space="0" w:color="auto"/>
              <w:right w:val="nil"/>
            </w:tcBorders>
            <w:shd w:val="clear" w:color="auto" w:fill="auto"/>
            <w:noWrap/>
          </w:tcPr>
          <w:p w14:paraId="05771CC9" w14:textId="77777777" w:rsidR="00805881" w:rsidRPr="00555A65" w:rsidRDefault="00805881" w:rsidP="003D371F">
            <w:pPr>
              <w:spacing w:after="0" w:line="240" w:lineRule="auto"/>
              <w:contextualSpacing/>
              <w:jc w:val="right"/>
              <w:rPr>
                <w:rFonts w:cs="Calibri"/>
                <w:b/>
                <w:bCs/>
                <w:sz w:val="17"/>
                <w:szCs w:val="17"/>
                <w:lang w:eastAsia="en-AU"/>
              </w:rPr>
            </w:pPr>
            <w:r w:rsidRPr="00555A65">
              <w:rPr>
                <w:b/>
                <w:sz w:val="17"/>
                <w:szCs w:val="17"/>
              </w:rPr>
              <w:t>3,552</w:t>
            </w:r>
          </w:p>
        </w:tc>
        <w:tc>
          <w:tcPr>
            <w:tcW w:w="361" w:type="pct"/>
            <w:tcBorders>
              <w:top w:val="nil"/>
              <w:left w:val="nil"/>
              <w:bottom w:val="single" w:sz="4" w:space="0" w:color="auto"/>
              <w:right w:val="nil"/>
            </w:tcBorders>
            <w:shd w:val="clear" w:color="auto" w:fill="auto"/>
            <w:noWrap/>
          </w:tcPr>
          <w:p w14:paraId="4597F13C" w14:textId="77777777" w:rsidR="00805881" w:rsidRPr="00555A65" w:rsidRDefault="00805881" w:rsidP="003D371F">
            <w:pPr>
              <w:spacing w:after="0" w:line="240" w:lineRule="auto"/>
              <w:contextualSpacing/>
              <w:jc w:val="right"/>
              <w:rPr>
                <w:rFonts w:cs="Calibri"/>
                <w:b/>
                <w:bCs/>
                <w:sz w:val="17"/>
                <w:szCs w:val="17"/>
                <w:lang w:eastAsia="en-AU"/>
              </w:rPr>
            </w:pPr>
            <w:r w:rsidRPr="00555A65">
              <w:rPr>
                <w:b/>
                <w:sz w:val="17"/>
                <w:szCs w:val="17"/>
              </w:rPr>
              <w:t>2,384</w:t>
            </w:r>
          </w:p>
        </w:tc>
        <w:tc>
          <w:tcPr>
            <w:tcW w:w="348" w:type="pct"/>
            <w:tcBorders>
              <w:top w:val="nil"/>
              <w:left w:val="nil"/>
              <w:bottom w:val="single" w:sz="4" w:space="0" w:color="auto"/>
              <w:right w:val="nil"/>
            </w:tcBorders>
            <w:shd w:val="clear" w:color="auto" w:fill="auto"/>
            <w:noWrap/>
          </w:tcPr>
          <w:p w14:paraId="710E56B2" w14:textId="77777777" w:rsidR="00805881" w:rsidRPr="00555A65" w:rsidRDefault="00805881" w:rsidP="003D371F">
            <w:pPr>
              <w:spacing w:after="0" w:line="240" w:lineRule="auto"/>
              <w:contextualSpacing/>
              <w:jc w:val="right"/>
              <w:rPr>
                <w:rFonts w:cs="Calibri"/>
                <w:b/>
                <w:bCs/>
                <w:sz w:val="17"/>
                <w:szCs w:val="17"/>
                <w:lang w:eastAsia="en-AU"/>
              </w:rPr>
            </w:pPr>
            <w:r w:rsidRPr="00555A65">
              <w:rPr>
                <w:b/>
                <w:sz w:val="17"/>
                <w:szCs w:val="17"/>
              </w:rPr>
              <w:t>22,853</w:t>
            </w:r>
          </w:p>
        </w:tc>
      </w:tr>
    </w:tbl>
    <w:p w14:paraId="6CE4336E" w14:textId="77777777" w:rsidR="004A5D6B" w:rsidRDefault="004A5D6B">
      <w:pPr>
        <w:spacing w:before="0" w:after="200" w:line="276" w:lineRule="auto"/>
        <w:sectPr w:rsidR="004A5D6B" w:rsidSect="007C2425">
          <w:pgSz w:w="16840" w:h="11900" w:orient="landscape" w:code="9"/>
          <w:pgMar w:top="1440" w:right="1440" w:bottom="1440" w:left="1440" w:header="709" w:footer="709" w:gutter="0"/>
          <w:cols w:space="708"/>
          <w:docGrid w:linePitch="360"/>
        </w:sectPr>
      </w:pPr>
    </w:p>
    <w:p w14:paraId="76F0A82A" w14:textId="3AED35D7" w:rsidR="0083181B" w:rsidRDefault="00F211AB" w:rsidP="00805881">
      <w:pPr>
        <w:spacing w:before="0" w:after="200" w:line="276" w:lineRule="auto"/>
        <w:jc w:val="center"/>
      </w:pPr>
      <w:r w:rsidRPr="00F211AB">
        <w:rPr>
          <w:noProof/>
          <w:lang w:eastAsia="en-AU"/>
        </w:rPr>
        <w:lastRenderedPageBreak/>
        <w:drawing>
          <wp:inline distT="0" distB="0" distL="0" distR="0" wp14:anchorId="3AC8A4D4" wp14:editId="3E681B54">
            <wp:extent cx="3988426" cy="6134986"/>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t="4429" r="2981" b="1620"/>
                    <a:stretch/>
                  </pic:blipFill>
                  <pic:spPr bwMode="auto">
                    <a:xfrm>
                      <a:off x="0" y="0"/>
                      <a:ext cx="3988800" cy="6135561"/>
                    </a:xfrm>
                    <a:prstGeom prst="rect">
                      <a:avLst/>
                    </a:prstGeom>
                    <a:noFill/>
                    <a:ln>
                      <a:noFill/>
                    </a:ln>
                    <a:extLst>
                      <a:ext uri="{53640926-AAD7-44D8-BBD7-CCE9431645EC}">
                        <a14:shadowObscured xmlns:a14="http://schemas.microsoft.com/office/drawing/2010/main"/>
                      </a:ext>
                    </a:extLst>
                  </pic:spPr>
                </pic:pic>
              </a:graphicData>
            </a:graphic>
          </wp:inline>
        </w:drawing>
      </w:r>
    </w:p>
    <w:p w14:paraId="19324D53" w14:textId="77777777" w:rsidR="00805881" w:rsidRDefault="00805881" w:rsidP="00B46038">
      <w:pPr>
        <w:pStyle w:val="Captions"/>
      </w:pPr>
      <w:r w:rsidRPr="00641F42">
        <w:t>Figur</w:t>
      </w:r>
      <w:r>
        <w:t>e D2</w:t>
      </w:r>
      <w:r w:rsidRPr="00641F42">
        <w:t xml:space="preserve">. Mean catch-per-unit-effort (CPUE) </w:t>
      </w:r>
      <w:r w:rsidRPr="00641F42">
        <w:rPr>
          <w:rFonts w:cstheme="minorHAnsi"/>
        </w:rPr>
        <w:t>±</w:t>
      </w:r>
      <w:r w:rsidRPr="00641F42">
        <w:t xml:space="preserve"> standard error of </w:t>
      </w:r>
      <w:r>
        <w:t>(</w:t>
      </w:r>
      <w:r w:rsidRPr="00641F42">
        <w:t xml:space="preserve">a) large-bodied fish species captured using electrofishing (individuals per 90 second shot) and </w:t>
      </w:r>
      <w:r>
        <w:t>(</w:t>
      </w:r>
      <w:r w:rsidRPr="00641F42">
        <w:t xml:space="preserve">b) small-bodied fish species captured using fine-mesh fyke nets (individuals per net per hour) in the gorge geomorphic zone (10 </w:t>
      </w:r>
      <w:r>
        <w:t>sites) of the LMR Selected Area</w:t>
      </w:r>
      <w:r w:rsidR="00EA5F13">
        <w:t>.</w:t>
      </w:r>
    </w:p>
    <w:p w14:paraId="7178AD87" w14:textId="77777777" w:rsidR="00805881" w:rsidRDefault="00805881" w:rsidP="00805881"/>
    <w:p w14:paraId="232AB743" w14:textId="77777777" w:rsidR="00805881" w:rsidRDefault="00805881">
      <w:pPr>
        <w:spacing w:before="0" w:after="200" w:line="276" w:lineRule="auto"/>
        <w:jc w:val="left"/>
      </w:pPr>
      <w:r>
        <w:br w:type="page"/>
      </w:r>
    </w:p>
    <w:p w14:paraId="38C54E52" w14:textId="77777777" w:rsidR="00805881" w:rsidRPr="00521B83" w:rsidRDefault="00805881" w:rsidP="00805881">
      <w:pPr>
        <w:rPr>
          <w:b/>
          <w:i/>
          <w:color w:val="1F497D" w:themeColor="text2"/>
          <w:sz w:val="24"/>
          <w:szCs w:val="24"/>
        </w:rPr>
      </w:pPr>
      <w:r w:rsidRPr="009F5BCC">
        <w:rPr>
          <w:b/>
          <w:i/>
          <w:color w:val="1F497D" w:themeColor="text2"/>
          <w:sz w:val="24"/>
          <w:szCs w:val="24"/>
        </w:rPr>
        <w:lastRenderedPageBreak/>
        <w:t>Temporal variability in fish assemblage structure</w:t>
      </w:r>
    </w:p>
    <w:p w14:paraId="1D802C98" w14:textId="77777777" w:rsidR="00805881" w:rsidRDefault="00805881" w:rsidP="00805881">
      <w:pPr>
        <w:rPr>
          <w:lang w:val="en-US"/>
        </w:rPr>
      </w:pPr>
      <w:r>
        <w:rPr>
          <w:lang w:val="en-US"/>
        </w:rPr>
        <w:t>MDS ordination of electrofishing data showed separation of most samples by sampling year (Figure D3a). PERMANOVA indicated that large-bodied fish assemblages were significantly different between years (</w:t>
      </w:r>
      <w:r>
        <w:rPr>
          <w:i/>
          <w:lang w:val="en-US"/>
        </w:rPr>
        <w:t>Pseudo</w:t>
      </w:r>
      <w:r>
        <w:rPr>
          <w:i/>
          <w:lang w:val="en-US"/>
        </w:rPr>
        <w:noBreakHyphen/>
      </w:r>
      <w:r w:rsidRPr="0001716A">
        <w:rPr>
          <w:i/>
          <w:lang w:val="en-US"/>
        </w:rPr>
        <w:t>F</w:t>
      </w:r>
      <w:r>
        <w:rPr>
          <w:vertAlign w:val="subscript"/>
          <w:lang w:val="en-US"/>
        </w:rPr>
        <w:t>1,</w:t>
      </w:r>
      <w:r w:rsidRPr="0001716A">
        <w:rPr>
          <w:vertAlign w:val="subscript"/>
          <w:lang w:val="en-US"/>
        </w:rPr>
        <w:t>19</w:t>
      </w:r>
      <w:r>
        <w:rPr>
          <w:lang w:val="en-US"/>
        </w:rPr>
        <w:t xml:space="preserve"> = 5.0208, </w:t>
      </w:r>
      <w:r w:rsidRPr="0001716A">
        <w:rPr>
          <w:i/>
          <w:lang w:val="en-US"/>
        </w:rPr>
        <w:t>p</w:t>
      </w:r>
      <w:r>
        <w:rPr>
          <w:lang w:val="en-US"/>
        </w:rPr>
        <w:t xml:space="preserve"> = 0.002). Interspersion of samples in MDS ordination of fyke netting data (Figure D3b) was supported by PERMANOVA, which found no significant differences in small-bodied fish assemblages between years (</w:t>
      </w:r>
      <w:r>
        <w:rPr>
          <w:i/>
          <w:lang w:val="en-US"/>
        </w:rPr>
        <w:t>Pseudo</w:t>
      </w:r>
      <w:r>
        <w:rPr>
          <w:i/>
          <w:lang w:val="en-US"/>
        </w:rPr>
        <w:noBreakHyphen/>
      </w:r>
      <w:r w:rsidRPr="0001716A">
        <w:rPr>
          <w:i/>
          <w:lang w:val="en-US"/>
        </w:rPr>
        <w:t>F</w:t>
      </w:r>
      <w:r>
        <w:rPr>
          <w:vertAlign w:val="subscript"/>
          <w:lang w:val="en-US"/>
        </w:rPr>
        <w:t>1,</w:t>
      </w:r>
      <w:r w:rsidRPr="0001716A">
        <w:rPr>
          <w:vertAlign w:val="subscript"/>
          <w:lang w:val="en-US"/>
        </w:rPr>
        <w:t>19</w:t>
      </w:r>
      <w:r>
        <w:rPr>
          <w:lang w:val="en-US"/>
        </w:rPr>
        <w:t xml:space="preserve"> = 1.6856, </w:t>
      </w:r>
      <w:r w:rsidRPr="0001716A">
        <w:rPr>
          <w:i/>
          <w:lang w:val="en-US"/>
        </w:rPr>
        <w:t>p</w:t>
      </w:r>
      <w:r>
        <w:rPr>
          <w:lang w:val="en-US"/>
        </w:rPr>
        <w:t xml:space="preserve"> = 0.180).</w:t>
      </w:r>
    </w:p>
    <w:p w14:paraId="1C7A6248" w14:textId="1334A940" w:rsidR="001766B8" w:rsidRDefault="007538CE" w:rsidP="001766B8">
      <w:pPr>
        <w:jc w:val="center"/>
      </w:pPr>
      <w:r w:rsidRPr="007538CE">
        <w:rPr>
          <w:noProof/>
          <w:lang w:eastAsia="en-AU"/>
        </w:rPr>
        <w:drawing>
          <wp:inline distT="0" distB="0" distL="0" distR="0" wp14:anchorId="068AEAD0" wp14:editId="059A8032">
            <wp:extent cx="4424400" cy="5429709"/>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424400" cy="5429709"/>
                    </a:xfrm>
                    <a:prstGeom prst="rect">
                      <a:avLst/>
                    </a:prstGeom>
                    <a:noFill/>
                    <a:ln>
                      <a:noFill/>
                    </a:ln>
                  </pic:spPr>
                </pic:pic>
              </a:graphicData>
            </a:graphic>
          </wp:inline>
        </w:drawing>
      </w:r>
    </w:p>
    <w:p w14:paraId="395B664E" w14:textId="77777777" w:rsidR="001766B8" w:rsidRDefault="001766B8" w:rsidP="00B46038">
      <w:pPr>
        <w:pStyle w:val="Captions"/>
      </w:pPr>
      <w:r w:rsidRPr="00962FA5">
        <w:t xml:space="preserve">Figure </w:t>
      </w:r>
      <w:r>
        <w:t>D3</w:t>
      </w:r>
      <w:r w:rsidRPr="00962FA5">
        <w:t>.</w:t>
      </w:r>
      <w:r>
        <w:t xml:space="preserve"> Non-metric multi-dimensional scaling (MDS)</w:t>
      </w:r>
      <w:r w:rsidRPr="00962FA5">
        <w:t xml:space="preserve"> </w:t>
      </w:r>
      <w:r>
        <w:t>plot of (a) large-bodied fish assemblages sampled by electrofishing and (b) small-bodied fish assemblages sampled by fyke netting in the gorge geomorphic zone of the LMR Selected Area. Numbered sample points represent sampling sites (1–10).</w:t>
      </w:r>
    </w:p>
    <w:p w14:paraId="4E1AD476" w14:textId="77777777" w:rsidR="001766B8" w:rsidRDefault="001766B8" w:rsidP="001766B8">
      <w:pPr>
        <w:rPr>
          <w:lang w:val="en-US"/>
        </w:rPr>
      </w:pPr>
      <w:r>
        <w:rPr>
          <w:lang w:val="en-US"/>
        </w:rPr>
        <w:lastRenderedPageBreak/>
        <w:t xml:space="preserve">SIMPER indicated that differences between years for large-bodied fish assemblages were driven by higher abundances of </w:t>
      </w:r>
      <w:r w:rsidRPr="00F17CA2">
        <w:rPr>
          <w:lang w:val="en-US"/>
        </w:rPr>
        <w:t>goldfish (</w:t>
      </w:r>
      <w:r w:rsidRPr="00F17CA2">
        <w:rPr>
          <w:i/>
          <w:lang w:val="en-US"/>
        </w:rPr>
        <w:t>Carassius auratus</w:t>
      </w:r>
      <w:r>
        <w:rPr>
          <w:lang w:val="en-US"/>
        </w:rPr>
        <w:t>) and lower abundances of bony herring in 2016 (Figure D2; Tables D1 and D2).</w:t>
      </w:r>
    </w:p>
    <w:p w14:paraId="2D04A9EB" w14:textId="77777777" w:rsidR="001766B8" w:rsidRPr="00641F42" w:rsidRDefault="001766B8" w:rsidP="001766B8">
      <w:pPr>
        <w:rPr>
          <w:i/>
          <w:sz w:val="24"/>
          <w:szCs w:val="24"/>
          <w:u w:val="single"/>
          <w:lang w:val="en-US"/>
        </w:rPr>
      </w:pPr>
      <w:r w:rsidRPr="009F5BCC">
        <w:rPr>
          <w:b/>
          <w:i/>
          <w:color w:val="1F497D" w:themeColor="text2"/>
          <w:sz w:val="24"/>
          <w:szCs w:val="24"/>
        </w:rPr>
        <w:t>Temporal variation in population structure</w:t>
      </w:r>
    </w:p>
    <w:p w14:paraId="2CAE7490" w14:textId="37ACE96A" w:rsidR="00C33117" w:rsidRDefault="00C33117" w:rsidP="00C33117">
      <w:pPr>
        <w:rPr>
          <w:lang w:val="en-US"/>
        </w:rPr>
      </w:pPr>
      <w:r>
        <w:rPr>
          <w:lang w:val="en-US"/>
        </w:rPr>
        <w:t xml:space="preserve">In 2016, length frequency distributions of most fish species </w:t>
      </w:r>
      <w:r w:rsidRPr="00641F42">
        <w:rPr>
          <w:lang w:val="en-US"/>
        </w:rPr>
        <w:t xml:space="preserve">sampled in the gorge geomorphic zone </w:t>
      </w:r>
      <w:r>
        <w:rPr>
          <w:lang w:val="en-US"/>
        </w:rPr>
        <w:t>were similar to those in 2015. In 2016, g</w:t>
      </w:r>
      <w:r w:rsidRPr="00641F42">
        <w:rPr>
          <w:lang w:val="en-US"/>
        </w:rPr>
        <w:t xml:space="preserve">olden perch </w:t>
      </w:r>
      <w:r>
        <w:rPr>
          <w:lang w:val="en-US"/>
        </w:rPr>
        <w:t>and Murray cod (</w:t>
      </w:r>
      <w:r w:rsidRPr="00202B06">
        <w:rPr>
          <w:i/>
          <w:lang w:val="en-US"/>
        </w:rPr>
        <w:t>Maccullochella peelii</w:t>
      </w:r>
      <w:r>
        <w:rPr>
          <w:lang w:val="en-US"/>
        </w:rPr>
        <w:t xml:space="preserve">) </w:t>
      </w:r>
      <w:r w:rsidRPr="00641F42">
        <w:rPr>
          <w:lang w:val="en-US"/>
        </w:rPr>
        <w:t>ranged in total length (TL) from 1</w:t>
      </w:r>
      <w:r>
        <w:rPr>
          <w:lang w:val="en-US"/>
        </w:rPr>
        <w:t>37</w:t>
      </w:r>
      <w:r w:rsidRPr="00641F42">
        <w:rPr>
          <w:lang w:val="en-US"/>
        </w:rPr>
        <w:t>–5</w:t>
      </w:r>
      <w:r>
        <w:rPr>
          <w:lang w:val="en-US"/>
        </w:rPr>
        <w:t>51</w:t>
      </w:r>
      <w:r w:rsidRPr="00641F42">
        <w:rPr>
          <w:lang w:val="en-US"/>
        </w:rPr>
        <w:t xml:space="preserve"> mm</w:t>
      </w:r>
      <w:r>
        <w:rPr>
          <w:lang w:val="en-US"/>
        </w:rPr>
        <w:t xml:space="preserve"> and 78–1270 mm, respectively</w:t>
      </w:r>
      <w:r w:rsidRPr="00641F42">
        <w:rPr>
          <w:lang w:val="en-US"/>
        </w:rPr>
        <w:t xml:space="preserve"> (Figure </w:t>
      </w:r>
      <w:r>
        <w:rPr>
          <w:lang w:val="en-US"/>
        </w:rPr>
        <w:t>D4</w:t>
      </w:r>
      <w:r w:rsidRPr="00641F42">
        <w:rPr>
          <w:lang w:val="en-US"/>
        </w:rPr>
        <w:t xml:space="preserve">). </w:t>
      </w:r>
      <w:r>
        <w:rPr>
          <w:lang w:val="en-US"/>
        </w:rPr>
        <w:t xml:space="preserve">For golden perch, dominant TL modes at 220–240 (10%) and 320–340 mm (13%) in 2015 progressed to 240–260 (10%) and 380–400 mm (13%) in 2016. Small </w:t>
      </w:r>
      <w:r w:rsidRPr="00641F42">
        <w:rPr>
          <w:lang w:val="en-US"/>
        </w:rPr>
        <w:t>Murray cod (</w:t>
      </w:r>
      <w:r>
        <w:rPr>
          <w:lang w:val="en-US"/>
        </w:rPr>
        <w:t>78</w:t>
      </w:r>
      <w:r w:rsidRPr="00641F42">
        <w:rPr>
          <w:lang w:val="en-US"/>
        </w:rPr>
        <w:t>–1</w:t>
      </w:r>
      <w:r>
        <w:rPr>
          <w:lang w:val="en-US"/>
        </w:rPr>
        <w:t>0</w:t>
      </w:r>
      <w:r w:rsidRPr="00641F42">
        <w:rPr>
          <w:lang w:val="en-US"/>
        </w:rPr>
        <w:t>5</w:t>
      </w:r>
      <w:r>
        <w:rPr>
          <w:lang w:val="en-US"/>
        </w:rPr>
        <w:t> </w:t>
      </w:r>
      <w:r w:rsidRPr="00641F42">
        <w:rPr>
          <w:lang w:val="en-US"/>
        </w:rPr>
        <w:t>mm</w:t>
      </w:r>
      <w:r>
        <w:rPr>
          <w:lang w:val="en-US"/>
        </w:rPr>
        <w:t> </w:t>
      </w:r>
      <w:r w:rsidRPr="00641F42">
        <w:rPr>
          <w:lang w:val="en-US"/>
        </w:rPr>
        <w:t>TL)</w:t>
      </w:r>
      <w:r>
        <w:rPr>
          <w:lang w:val="en-US"/>
        </w:rPr>
        <w:t>, potentially age 0+,</w:t>
      </w:r>
      <w:r w:rsidRPr="00641F42">
        <w:rPr>
          <w:lang w:val="en-US"/>
        </w:rPr>
        <w:t xml:space="preserve"> dominated the catch composition of the species</w:t>
      </w:r>
      <w:r>
        <w:rPr>
          <w:lang w:val="en-US"/>
        </w:rPr>
        <w:t xml:space="preserve"> in 2016</w:t>
      </w:r>
      <w:r w:rsidRPr="00641F42">
        <w:rPr>
          <w:lang w:val="en-US"/>
        </w:rPr>
        <w:t xml:space="preserve"> </w:t>
      </w:r>
      <w:r>
        <w:rPr>
          <w:lang w:val="en-US"/>
        </w:rPr>
        <w:t>(63%</w:t>
      </w:r>
      <w:r w:rsidRPr="00641F42">
        <w:rPr>
          <w:lang w:val="en-US"/>
        </w:rPr>
        <w:t xml:space="preserve">), </w:t>
      </w:r>
      <w:r>
        <w:rPr>
          <w:lang w:val="en-US"/>
        </w:rPr>
        <w:t xml:space="preserve">whilst potential age 1+ (196–232 mm TL) Murray cod, which were spawned in the previous year (2014/15), represented 25% of the sampled population. </w:t>
      </w:r>
    </w:p>
    <w:p w14:paraId="01327D72" w14:textId="216598B7" w:rsidR="00A27547" w:rsidRDefault="001766B8" w:rsidP="001766B8">
      <w:pPr>
        <w:rPr>
          <w:lang w:val="en-US"/>
        </w:rPr>
      </w:pPr>
      <w:r>
        <w:rPr>
          <w:lang w:val="en-US"/>
        </w:rPr>
        <w:t xml:space="preserve">Population structure data for bony herring were not collected in 2015. In 2016, bony herring ranged in fork length (FL) from 37–330 mm and, in age, from 0+ to </w:t>
      </w:r>
      <w:r w:rsidRPr="00B71CAD">
        <w:rPr>
          <w:lang w:val="en-US"/>
        </w:rPr>
        <w:t>6+</w:t>
      </w:r>
      <w:r>
        <w:rPr>
          <w:lang w:val="en-US"/>
        </w:rPr>
        <w:t xml:space="preserve"> years (Figure D5). </w:t>
      </w:r>
      <w:r w:rsidRPr="00202B06">
        <w:rPr>
          <w:lang w:val="en-US"/>
        </w:rPr>
        <w:t>Age 0+ (83%) and 3+ (6%) cohorts</w:t>
      </w:r>
      <w:r>
        <w:rPr>
          <w:lang w:val="en-US"/>
        </w:rPr>
        <w:t xml:space="preserve"> comprised most of the catch. Based on length frequencies, there were no age 0+ golden perch, silver perch (</w:t>
      </w:r>
      <w:r w:rsidRPr="003325D9">
        <w:rPr>
          <w:i/>
          <w:lang w:val="en-US"/>
        </w:rPr>
        <w:t>Bidyanus bidyanus</w:t>
      </w:r>
      <w:r>
        <w:rPr>
          <w:lang w:val="en-US"/>
        </w:rPr>
        <w:t>) or freshwater catfish (</w:t>
      </w:r>
      <w:r w:rsidRPr="003325D9">
        <w:rPr>
          <w:i/>
          <w:lang w:val="en-US"/>
        </w:rPr>
        <w:t>Tandanus tandanus</w:t>
      </w:r>
      <w:r>
        <w:rPr>
          <w:lang w:val="en-US"/>
        </w:rPr>
        <w:t>) sampled in 2016 (Figure D4).</w:t>
      </w:r>
      <w:r w:rsidR="00AA38E3">
        <w:rPr>
          <w:lang w:val="en-US"/>
        </w:rPr>
        <w:t xml:space="preserve"> Length frequencies of</w:t>
      </w:r>
      <w:r w:rsidR="00AA38E3" w:rsidRPr="00AA38E3">
        <w:rPr>
          <w:lang w:val="en-US"/>
        </w:rPr>
        <w:t xml:space="preserve"> Murray rainbowfish and carp gudgeon</w:t>
      </w:r>
      <w:r w:rsidR="00AA38E3">
        <w:rPr>
          <w:lang w:val="en-US"/>
        </w:rPr>
        <w:t xml:space="preserve"> </w:t>
      </w:r>
      <w:r w:rsidR="002B749E">
        <w:rPr>
          <w:lang w:val="en-US"/>
        </w:rPr>
        <w:t xml:space="preserve">indicate that the sampled populations </w:t>
      </w:r>
      <w:r w:rsidR="00AA38E3">
        <w:rPr>
          <w:lang w:val="en-US"/>
        </w:rPr>
        <w:t>were dominated by individuals that were age 0+, based on length</w:t>
      </w:r>
      <w:r w:rsidR="002B749E">
        <w:rPr>
          <w:lang w:val="en-US"/>
        </w:rPr>
        <w:t>-</w:t>
      </w:r>
      <w:r w:rsidR="00AA38E3">
        <w:rPr>
          <w:lang w:val="en-US"/>
        </w:rPr>
        <w:t>at</w:t>
      </w:r>
      <w:r w:rsidR="002B749E">
        <w:rPr>
          <w:lang w:val="en-US"/>
        </w:rPr>
        <w:t>-</w:t>
      </w:r>
      <w:r w:rsidR="00AA38E3">
        <w:rPr>
          <w:lang w:val="en-US"/>
        </w:rPr>
        <w:t xml:space="preserve">age data from 2014/15 (Ye </w:t>
      </w:r>
      <w:r w:rsidR="00AA38E3" w:rsidRPr="00AA38E3">
        <w:rPr>
          <w:i/>
          <w:lang w:val="en-US"/>
        </w:rPr>
        <w:t>et al.</w:t>
      </w:r>
      <w:r w:rsidR="00AA38E3">
        <w:rPr>
          <w:lang w:val="en-US"/>
        </w:rPr>
        <w:t xml:space="preserve"> 2016).</w:t>
      </w:r>
    </w:p>
    <w:p w14:paraId="0E5DEE92" w14:textId="77777777" w:rsidR="00A27547" w:rsidRDefault="00A27547" w:rsidP="001766B8"/>
    <w:p w14:paraId="4D548226" w14:textId="77777777" w:rsidR="00A27547" w:rsidRDefault="00A27547">
      <w:pPr>
        <w:spacing w:before="0" w:after="200" w:line="276" w:lineRule="auto"/>
        <w:jc w:val="left"/>
      </w:pPr>
      <w:r>
        <w:br w:type="page"/>
      </w:r>
    </w:p>
    <w:p w14:paraId="3E11BEFA" w14:textId="63CCF184" w:rsidR="00A27547" w:rsidRDefault="00F211AB" w:rsidP="00F211AB">
      <w:pPr>
        <w:spacing w:before="0" w:after="0" w:line="240" w:lineRule="auto"/>
        <w:jc w:val="center"/>
      </w:pPr>
      <w:r w:rsidRPr="00F211AB">
        <w:rPr>
          <w:noProof/>
          <w:lang w:eastAsia="en-AU"/>
        </w:rPr>
        <w:lastRenderedPageBreak/>
        <w:drawing>
          <wp:inline distT="0" distB="0" distL="0" distR="0" wp14:anchorId="68C6637D" wp14:editId="2D71A9EE">
            <wp:extent cx="5612400" cy="7756409"/>
            <wp:effectExtent l="0" t="0" r="762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t="3249" r="1287"/>
                    <a:stretch/>
                  </pic:blipFill>
                  <pic:spPr bwMode="auto">
                    <a:xfrm>
                      <a:off x="0" y="0"/>
                      <a:ext cx="5612400" cy="7756409"/>
                    </a:xfrm>
                    <a:prstGeom prst="rect">
                      <a:avLst/>
                    </a:prstGeom>
                    <a:noFill/>
                    <a:ln>
                      <a:noFill/>
                    </a:ln>
                    <a:extLst>
                      <a:ext uri="{53640926-AAD7-44D8-BBD7-CCE9431645EC}">
                        <a14:shadowObscured xmlns:a14="http://schemas.microsoft.com/office/drawing/2010/main"/>
                      </a:ext>
                    </a:extLst>
                  </pic:spPr>
                </pic:pic>
              </a:graphicData>
            </a:graphic>
          </wp:inline>
        </w:drawing>
      </w:r>
    </w:p>
    <w:p w14:paraId="65EF6B0E" w14:textId="77777777" w:rsidR="00A27547" w:rsidRDefault="00A27547" w:rsidP="00B46038">
      <w:pPr>
        <w:pStyle w:val="Captions"/>
      </w:pPr>
      <w:r w:rsidRPr="000C14CD">
        <w:t xml:space="preserve">Figure </w:t>
      </w:r>
      <w:r>
        <w:t>D</w:t>
      </w:r>
      <w:r w:rsidRPr="000C14CD">
        <w:t>4. Length frequency distributions of periodic (a, b) equilibri</w:t>
      </w:r>
      <w:r w:rsidRPr="00A41FBF">
        <w:t>um (c, d) and opportunistic (e, d) target species collected from the gorge geomorphic</w:t>
      </w:r>
      <w:r w:rsidRPr="00F0108E">
        <w:t xml:space="preserve"> zone of the LMR Selected Area in autumn 2015 and 2016.</w:t>
      </w:r>
    </w:p>
    <w:p w14:paraId="62ED7C18" w14:textId="70C79DA6" w:rsidR="00A27547" w:rsidRDefault="00A74AE9" w:rsidP="00A27547">
      <w:pPr>
        <w:jc w:val="center"/>
      </w:pPr>
      <w:r w:rsidRPr="00A74AE9">
        <w:rPr>
          <w:noProof/>
          <w:lang w:eastAsia="en-AU"/>
        </w:rPr>
        <w:lastRenderedPageBreak/>
        <w:drawing>
          <wp:inline distT="0" distB="0" distL="0" distR="0" wp14:anchorId="067B87F2" wp14:editId="19BC1E23">
            <wp:extent cx="3962400" cy="4095750"/>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t="7725" r="3256"/>
                    <a:stretch/>
                  </pic:blipFill>
                  <pic:spPr bwMode="auto">
                    <a:xfrm>
                      <a:off x="0" y="0"/>
                      <a:ext cx="3962400" cy="4095750"/>
                    </a:xfrm>
                    <a:prstGeom prst="rect">
                      <a:avLst/>
                    </a:prstGeom>
                    <a:noFill/>
                    <a:ln>
                      <a:noFill/>
                    </a:ln>
                    <a:extLst>
                      <a:ext uri="{53640926-AAD7-44D8-BBD7-CCE9431645EC}">
                        <a14:shadowObscured xmlns:a14="http://schemas.microsoft.com/office/drawing/2010/main"/>
                      </a:ext>
                    </a:extLst>
                  </pic:spPr>
                </pic:pic>
              </a:graphicData>
            </a:graphic>
          </wp:inline>
        </w:drawing>
      </w:r>
      <w:r w:rsidRPr="00A74AE9">
        <w:t xml:space="preserve"> </w:t>
      </w:r>
    </w:p>
    <w:p w14:paraId="0C747A34" w14:textId="77777777" w:rsidR="00A27547" w:rsidRDefault="00A27547" w:rsidP="00B46038">
      <w:pPr>
        <w:pStyle w:val="Captions"/>
      </w:pPr>
      <w:r>
        <w:t>Figure D5</w:t>
      </w:r>
      <w:r w:rsidRPr="002D6802">
        <w:t xml:space="preserve">. </w:t>
      </w:r>
      <w:r>
        <w:t>Fork l</w:t>
      </w:r>
      <w:r w:rsidRPr="002D6802">
        <w:t>ength (a) and age (b) frequency distributions of bony herring collected from the gorge geomorphic zone of the LMR Selected Area during autumn 2016.</w:t>
      </w:r>
    </w:p>
    <w:p w14:paraId="56036F64" w14:textId="77777777" w:rsidR="00A27547" w:rsidRPr="001B145E" w:rsidRDefault="00A27547" w:rsidP="00A27547">
      <w:pPr>
        <w:rPr>
          <w:b/>
          <w:sz w:val="26"/>
          <w:szCs w:val="26"/>
          <w:u w:val="single"/>
          <w:lang w:val="en-US"/>
        </w:rPr>
      </w:pPr>
      <w:r w:rsidRPr="001B145E">
        <w:rPr>
          <w:b/>
          <w:color w:val="1F497D" w:themeColor="text2"/>
          <w:sz w:val="26"/>
          <w:szCs w:val="26"/>
        </w:rPr>
        <w:t>Discussion</w:t>
      </w:r>
    </w:p>
    <w:p w14:paraId="5CD5414B" w14:textId="79BE4CC0" w:rsidR="00A27547" w:rsidRDefault="00A27547" w:rsidP="00A27547">
      <w:r>
        <w:t>Relatively low (&lt;15,000 ML day</w:t>
      </w:r>
      <w:r w:rsidRPr="005834D4">
        <w:rPr>
          <w:vertAlign w:val="superscript"/>
        </w:rPr>
        <w:t>-1</w:t>
      </w:r>
      <w:r>
        <w:t xml:space="preserve">), stable flows predominated in the LMR Selected Area during Year 1 (2014/15) and 2 (2015/16) of the LTIM project. Consequently, small-bodied fish abundance and diversity remained high in 2015/16, and there was no significant change in small-bodied fish assemblage structure from 2014/15 to 2015/16. Abundances of flow-cued species (i.e. golden perch and silver perch) remained similar in both years; however, there was a significant change in assemblage, driven </w:t>
      </w:r>
      <w:r w:rsidR="00737954">
        <w:t xml:space="preserve">primarily </w:t>
      </w:r>
      <w:r>
        <w:t xml:space="preserve">by an increase in exotic </w:t>
      </w:r>
      <w:r w:rsidRPr="00A27547">
        <w:t>goldfish, and a decrease in bony herring, in 2015/16, relative to 2014/15. Increased abundances of exotic, large-bodied species may reflect their generalist/opportunistic life histories.</w:t>
      </w:r>
    </w:p>
    <w:p w14:paraId="7C36BEA6" w14:textId="1414C823" w:rsidR="00A27547" w:rsidRDefault="00A27547" w:rsidP="00A27547">
      <w:r>
        <w:t xml:space="preserve">Based on length frequency data, there was no recruitment to age 0+ of native, large-bodied golden perch, silver perch or freshwater catfish in 2015/16. The absence of recruitment of golden perch and silver perch is association with the 2014/15 and 2015/16 flow regimes (i.e. low, stable flows) is consistent with our contemporary </w:t>
      </w:r>
      <w:r>
        <w:lastRenderedPageBreak/>
        <w:t>understanding of the life history requirements of these flow-cued spawners (</w:t>
      </w:r>
      <w:r w:rsidR="001E29E0" w:rsidRPr="00DA725D">
        <w:rPr>
          <w:bCs/>
        </w:rPr>
        <w:t>Mallen-Cooper and Stuart 2003; Zampatti and Leigh 2013a; 2013b</w:t>
      </w:r>
      <w:r>
        <w:t xml:space="preserve">). For the second consecutive year, small Murray cod (&lt;150 mm TL, likely age 0+) </w:t>
      </w:r>
      <w:r w:rsidRPr="00C2346F">
        <w:t xml:space="preserve">were sampled in the LMR Selected Area during 2015/16, indicating successful recruitment. Furthermore, there was persistence of the age 0+ cohort (100–150 mm TL) from 2014/15 as age 1+ (196–232 mm TL) in 2015/16. </w:t>
      </w:r>
      <w:r w:rsidR="006845AF">
        <w:t>I</w:t>
      </w:r>
      <w:r w:rsidR="00867B05">
        <w:t xml:space="preserve">n the main </w:t>
      </w:r>
      <w:r w:rsidRPr="00C2346F">
        <w:t>channel of the lower River Murray</w:t>
      </w:r>
      <w:r w:rsidR="006845AF">
        <w:t>,</w:t>
      </w:r>
      <w:r w:rsidRPr="00C2346F">
        <w:t xml:space="preserve"> </w:t>
      </w:r>
      <w:r w:rsidR="006845AF" w:rsidRPr="00C2346F">
        <w:t xml:space="preserve">Murray cod recruitment </w:t>
      </w:r>
      <w:r w:rsidRPr="00C2346F">
        <w:t xml:space="preserve">has been poor in association with periods of low flow, particularly 2003–2010. The mechanisms </w:t>
      </w:r>
      <w:r w:rsidR="006845AF">
        <w:t xml:space="preserve">facilitating </w:t>
      </w:r>
      <w:r w:rsidRPr="00C2346F">
        <w:t xml:space="preserve">the recruitment of cohorts of Murray cod from 2014/15 and 2015/16, </w:t>
      </w:r>
      <w:r w:rsidR="006845AF">
        <w:t xml:space="preserve">both </w:t>
      </w:r>
      <w:r w:rsidRPr="00C2346F">
        <w:t>low flow</w:t>
      </w:r>
      <w:r w:rsidR="006845AF">
        <w:t xml:space="preserve"> years</w:t>
      </w:r>
      <w:r w:rsidRPr="00C2346F">
        <w:t>, remain unclear.</w:t>
      </w:r>
    </w:p>
    <w:p w14:paraId="5B3CCF6E" w14:textId="77777777" w:rsidR="00A27547" w:rsidRPr="0035266F" w:rsidRDefault="00A27547" w:rsidP="00A27547">
      <w:pPr>
        <w:rPr>
          <w:b/>
          <w:sz w:val="26"/>
          <w:szCs w:val="26"/>
          <w:u w:val="single"/>
          <w:lang w:val="en-US"/>
        </w:rPr>
      </w:pPr>
      <w:r>
        <w:rPr>
          <w:b/>
          <w:color w:val="1F497D" w:themeColor="text2"/>
          <w:sz w:val="26"/>
          <w:szCs w:val="26"/>
        </w:rPr>
        <w:t>Conclusion</w:t>
      </w:r>
    </w:p>
    <w:p w14:paraId="58695202" w14:textId="7C4E9ADD" w:rsidR="00EA5F13" w:rsidRDefault="00A27547" w:rsidP="00A27547">
      <w:pPr>
        <w:rPr>
          <w:rFonts w:eastAsiaTheme="majorEastAsia" w:cstheme="majorBidi"/>
          <w:color w:val="1F497D" w:themeColor="text2"/>
          <w:sz w:val="32"/>
          <w:szCs w:val="28"/>
        </w:rPr>
      </w:pPr>
      <w:r>
        <w:t xml:space="preserve">In the main channel of the LMR Selected Area, the 2014/15 and 2015/16 fish assemblages were characterised by high abundances of small-bodied species and a lack of recruitment of native, large-bodied flow-cued spawners. The current fish assemblage structure is similar to that </w:t>
      </w:r>
      <w:r w:rsidR="00C33117">
        <w:t>during drought (e.g.</w:t>
      </w:r>
      <w:r>
        <w:t xml:space="preserve"> 2007–2010</w:t>
      </w:r>
      <w:r w:rsidRPr="00CD2800">
        <w:t xml:space="preserve">) (Bice </w:t>
      </w:r>
      <w:r w:rsidRPr="00CD2800">
        <w:rPr>
          <w:i/>
        </w:rPr>
        <w:t>et al.</w:t>
      </w:r>
      <w:r w:rsidRPr="00CD2800">
        <w:t xml:space="preserve"> 2014)</w:t>
      </w:r>
      <w:r>
        <w:t xml:space="preserve"> and characteristic of a low flow scenario. Persistent low flows in the main channel of the lower River Murray are likely to favour generalist/opportunistic species (e.g. small-bodied species and exotics) that prefer benign hydraulic conditions and abundant aquatic vegetation. Continued low flows are also likely to have further negative effects on the recruitment of flow-cued spawning species and, in turn, lead to a decline in their population resilience and abundance. </w:t>
      </w:r>
      <w:r w:rsidR="00EA5F13">
        <w:br w:type="page"/>
      </w:r>
    </w:p>
    <w:p w14:paraId="5B7BF416" w14:textId="736A6599" w:rsidR="003F7FFD" w:rsidRDefault="009D3ADA" w:rsidP="007C2425">
      <w:pPr>
        <w:pStyle w:val="Heading1"/>
        <w:numPr>
          <w:ilvl w:val="0"/>
          <w:numId w:val="0"/>
        </w:numPr>
        <w:ind w:left="851" w:hanging="851"/>
      </w:pPr>
      <w:bookmarkStart w:id="158" w:name="_Toc441838751"/>
      <w:bookmarkStart w:id="159" w:name="_Toc474147076"/>
      <w:r w:rsidRPr="007C2425">
        <w:lastRenderedPageBreak/>
        <w:t xml:space="preserve">Appendix </w:t>
      </w:r>
      <w:r w:rsidR="0047367A">
        <w:t>E</w:t>
      </w:r>
      <w:r w:rsidRPr="007C2425">
        <w:t>: Hydrological Regime</w:t>
      </w:r>
      <w:bookmarkEnd w:id="158"/>
      <w:bookmarkEnd w:id="159"/>
    </w:p>
    <w:p w14:paraId="1FE54C6D" w14:textId="61EFA709" w:rsidR="000857A4" w:rsidRPr="005B670C" w:rsidRDefault="004A3E4F" w:rsidP="005B670C">
      <w:pPr>
        <w:rPr>
          <w:b/>
          <w:color w:val="1F497D" w:themeColor="text2"/>
          <w:sz w:val="26"/>
          <w:szCs w:val="26"/>
        </w:rPr>
      </w:pPr>
      <w:r>
        <w:rPr>
          <w:b/>
          <w:color w:val="1F497D" w:themeColor="text2"/>
          <w:sz w:val="26"/>
          <w:szCs w:val="26"/>
        </w:rPr>
        <w:t>Model c</w:t>
      </w:r>
      <w:r w:rsidR="000857A4" w:rsidRPr="005B670C">
        <w:rPr>
          <w:b/>
          <w:color w:val="1F497D" w:themeColor="text2"/>
          <w:sz w:val="26"/>
          <w:szCs w:val="26"/>
        </w:rPr>
        <w:t>alibration</w:t>
      </w:r>
    </w:p>
    <w:p w14:paraId="52AF2A6F" w14:textId="64B0F5F3" w:rsidR="00BD7DDC" w:rsidRDefault="00875477" w:rsidP="00DF3C79">
      <w:pPr>
        <w:rPr>
          <w:b/>
          <w:i/>
          <w:color w:val="1F497D" w:themeColor="text2"/>
          <w:sz w:val="24"/>
          <w:szCs w:val="24"/>
        </w:rPr>
      </w:pPr>
      <w:r>
        <w:t>The hydrodynamic models</w:t>
      </w:r>
      <w:r w:rsidR="00BC00C8">
        <w:t>,</w:t>
      </w:r>
      <w:r>
        <w:t xml:space="preserve"> and configuration </w:t>
      </w:r>
      <w:r w:rsidR="00BC00C8">
        <w:t>adopted,</w:t>
      </w:r>
      <w:r>
        <w:t xml:space="preserve"> are outlined in Ye </w:t>
      </w:r>
      <w:r w:rsidRPr="007652E3">
        <w:rPr>
          <w:i/>
        </w:rPr>
        <w:t>et al.</w:t>
      </w:r>
      <w:r>
        <w:t xml:space="preserve"> (2016</w:t>
      </w:r>
      <w:r w:rsidR="008F1A86">
        <w:t>a</w:t>
      </w:r>
      <w:r>
        <w:t xml:space="preserve">). </w:t>
      </w:r>
      <w:r w:rsidR="00A628E8">
        <w:t>R</w:t>
      </w:r>
      <w:r w:rsidR="001E19CC">
        <w:t xml:space="preserve">esults </w:t>
      </w:r>
      <w:r w:rsidR="00A628E8">
        <w:t>comparing model outputs to</w:t>
      </w:r>
      <w:r w:rsidR="0069733E">
        <w:t xml:space="preserve"> datasets not used in the </w:t>
      </w:r>
      <w:r w:rsidR="00A628E8">
        <w:t xml:space="preserve">setup of the </w:t>
      </w:r>
      <w:r w:rsidR="00877A3B">
        <w:t>models</w:t>
      </w:r>
      <w:r w:rsidR="00A628E8">
        <w:t xml:space="preserve"> </w:t>
      </w:r>
      <w:r w:rsidR="001E19CC">
        <w:t>for the 2015/16 yea</w:t>
      </w:r>
      <w:r>
        <w:t>r</w:t>
      </w:r>
      <w:r w:rsidR="001E19CC">
        <w:t xml:space="preserve"> </w:t>
      </w:r>
      <w:r>
        <w:t xml:space="preserve">can be seen in </w:t>
      </w:r>
      <w:r w:rsidR="007C0E2C">
        <w:t>Figures E1</w:t>
      </w:r>
      <w:r w:rsidR="009E495F">
        <w:t>–</w:t>
      </w:r>
      <w:r w:rsidR="007C0E2C">
        <w:t>E5</w:t>
      </w:r>
      <w:r>
        <w:t xml:space="preserve">. </w:t>
      </w:r>
      <w:bookmarkEnd w:id="150"/>
      <w:bookmarkEnd w:id="151"/>
      <w:r w:rsidR="00877A3B">
        <w:t xml:space="preserve">The performance of the models was deemed suitable for the purposes of evaluating the contributions of environmental water, and as such no further calibration was undertaken to that outlined in Ye </w:t>
      </w:r>
      <w:r w:rsidR="00877A3B" w:rsidRPr="007652E3">
        <w:rPr>
          <w:i/>
        </w:rPr>
        <w:t>et al.</w:t>
      </w:r>
      <w:r w:rsidR="00877A3B">
        <w:t xml:space="preserve"> (2016</w:t>
      </w:r>
      <w:r w:rsidR="008F1A86">
        <w:t>a</w:t>
      </w:r>
      <w:r w:rsidR="00877A3B">
        <w:t>).</w:t>
      </w:r>
      <w:r w:rsidR="000857A4">
        <w:t xml:space="preserve"> Discussion of the model results are presented below.</w:t>
      </w:r>
    </w:p>
    <w:p w14:paraId="30D15DFF" w14:textId="232B4869" w:rsidR="001E4E67" w:rsidRPr="00F878B2" w:rsidRDefault="007652E3" w:rsidP="009D249D">
      <w:pPr>
        <w:rPr>
          <w:i/>
          <w:color w:val="auto"/>
          <w:sz w:val="24"/>
          <w:szCs w:val="24"/>
          <w:u w:val="single"/>
        </w:rPr>
      </w:pPr>
      <w:r>
        <w:rPr>
          <w:i/>
          <w:color w:val="auto"/>
          <w:sz w:val="24"/>
          <w:szCs w:val="24"/>
          <w:u w:val="single"/>
        </w:rPr>
        <w:t xml:space="preserve">Lock 1 – </w:t>
      </w:r>
      <w:r w:rsidR="001E4E67" w:rsidRPr="00F878B2">
        <w:rPr>
          <w:i/>
          <w:color w:val="auto"/>
          <w:sz w:val="24"/>
          <w:szCs w:val="24"/>
          <w:u w:val="single"/>
        </w:rPr>
        <w:t>Lock 3 model</w:t>
      </w:r>
    </w:p>
    <w:p w14:paraId="6B0FDF2B" w14:textId="64E09DEB" w:rsidR="00144638" w:rsidRDefault="00CF632A" w:rsidP="005B3991">
      <w:r>
        <w:t>The water levels simulated by this model can be seen in</w:t>
      </w:r>
      <w:r w:rsidR="00A04CD1">
        <w:t xml:space="preserve"> Figure </w:t>
      </w:r>
      <w:r w:rsidR="00B9142C">
        <w:t>E</w:t>
      </w:r>
      <w:r w:rsidR="005F6FBE">
        <w:t>1</w:t>
      </w:r>
      <w:r>
        <w:t xml:space="preserve">. It can be seen that model tends to underestimate the water level at </w:t>
      </w:r>
      <w:r w:rsidR="00C625FB">
        <w:t>Morgan,</w:t>
      </w:r>
      <w:r>
        <w:t xml:space="preserve"> however the difference is </w:t>
      </w:r>
      <w:r w:rsidR="00F235FB">
        <w:t xml:space="preserve">typically </w:t>
      </w:r>
      <w:r>
        <w:t xml:space="preserve">less than </w:t>
      </w:r>
      <w:r w:rsidR="00153AA5">
        <w:t>5</w:t>
      </w:r>
      <w:r>
        <w:t xml:space="preserve"> cm. In the same weir pool</w:t>
      </w:r>
      <w:r w:rsidR="00C625FB">
        <w:t xml:space="preserve"> the modelled water level </w:t>
      </w:r>
      <w:r w:rsidR="00F56AD8">
        <w:t xml:space="preserve">below </w:t>
      </w:r>
      <w:r w:rsidR="00C625FB">
        <w:t>Lock 2 is relatively accurate</w:t>
      </w:r>
      <w:r w:rsidR="001E4E67">
        <w:t xml:space="preserve"> (</w:t>
      </w:r>
      <w:r w:rsidR="00933742">
        <w:t xml:space="preserve">this </w:t>
      </w:r>
      <w:r w:rsidR="001E4E67">
        <w:t xml:space="preserve">most </w:t>
      </w:r>
      <w:r w:rsidR="00933742">
        <w:t xml:space="preserve">distant from the downstream lock is the most </w:t>
      </w:r>
      <w:r w:rsidR="001E4E67">
        <w:t>responsive</w:t>
      </w:r>
      <w:r w:rsidR="00933742">
        <w:t xml:space="preserve"> to flow</w:t>
      </w:r>
      <w:r w:rsidR="001E4E67">
        <w:t xml:space="preserve"> and hence most difficult to represent accurately)</w:t>
      </w:r>
      <w:r w:rsidR="00C625FB">
        <w:t>.</w:t>
      </w:r>
      <w:r w:rsidR="001E4E67">
        <w:t xml:space="preserve"> Between Lock 2 and Lock 3 (Overland Corner </w:t>
      </w:r>
      <w:r w:rsidR="00F235FB">
        <w:t xml:space="preserve">and </w:t>
      </w:r>
      <w:r w:rsidR="00F56AD8">
        <w:t>below</w:t>
      </w:r>
      <w:r w:rsidR="00F235FB">
        <w:t xml:space="preserve"> Lock 3)</w:t>
      </w:r>
      <w:r w:rsidR="00B811AF">
        <w:t>,</w:t>
      </w:r>
      <w:r w:rsidR="00F235FB">
        <w:t xml:space="preserve"> the model generally provides a good representation of the recorded water level, however the model does slightly underestimate the recorded level in the last two months of the period. Given the good performance for the rest of the period, this may be a data issue. </w:t>
      </w:r>
    </w:p>
    <w:p w14:paraId="5AF16529" w14:textId="25D30E9B" w:rsidR="00D776C7" w:rsidRDefault="002768F1" w:rsidP="005B3991">
      <w:r>
        <w:t>A comparison between modelled and recorded cross section averaged v</w:t>
      </w:r>
      <w:r w:rsidR="00567398">
        <w:t xml:space="preserve">elocity </w:t>
      </w:r>
      <w:r>
        <w:t>can be seen</w:t>
      </w:r>
      <w:r w:rsidR="004A09D9">
        <w:t xml:space="preserve"> in</w:t>
      </w:r>
      <w:r w:rsidR="00A04CD1">
        <w:t xml:space="preserve"> Figure </w:t>
      </w:r>
      <w:r w:rsidR="00B9142C">
        <w:t>E</w:t>
      </w:r>
      <w:r w:rsidR="00B10E90">
        <w:t>4</w:t>
      </w:r>
      <w:r w:rsidR="004A09D9">
        <w:t>. The plots represent the frequency of cross section averaged velocities either modelled or recorded</w:t>
      </w:r>
      <w:r w:rsidR="00E66907">
        <w:t xml:space="preserve"> on each sampling date</w:t>
      </w:r>
      <w:r w:rsidR="004A09D9">
        <w:t xml:space="preserve">. The recorded values were </w:t>
      </w:r>
      <w:r w:rsidR="004A09D9" w:rsidRPr="003F2D5C">
        <w:t xml:space="preserve">undertaken by </w:t>
      </w:r>
      <w:r w:rsidR="004A09D9" w:rsidRPr="007B797F">
        <w:t>SARDI (</w:t>
      </w:r>
      <w:r w:rsidR="000E7A54" w:rsidRPr="007B797F">
        <w:t xml:space="preserve">Bice </w:t>
      </w:r>
      <w:r w:rsidR="007B797F" w:rsidRPr="007B797F">
        <w:rPr>
          <w:i/>
        </w:rPr>
        <w:t>et al.</w:t>
      </w:r>
      <w:r w:rsidR="000E7A54" w:rsidRPr="007B797F">
        <w:t xml:space="preserve"> 2016</w:t>
      </w:r>
      <w:r w:rsidR="007B797F" w:rsidRPr="007B797F">
        <w:t>a</w:t>
      </w:r>
      <w:r w:rsidR="004A09D9" w:rsidRPr="007B797F">
        <w:t>), and</w:t>
      </w:r>
      <w:r w:rsidR="004A09D9">
        <w:t xml:space="preserve"> a cross section </w:t>
      </w:r>
      <w:r w:rsidR="00D35DE5">
        <w:t>average</w:t>
      </w:r>
      <w:r w:rsidR="004A09D9">
        <w:t xml:space="preserve"> velocity was recorded for five transects 1 km apart at locations in the lower</w:t>
      </w:r>
      <w:r w:rsidR="005155A7">
        <w:t>,</w:t>
      </w:r>
      <w:r w:rsidR="004A09D9">
        <w:t xml:space="preserve"> middle and upper reaches of each weir pool. As such, there is a range in the recorded velocity values across the five transects, represented by the </w:t>
      </w:r>
      <w:r w:rsidR="00C42D9C">
        <w:t xml:space="preserve">green </w:t>
      </w:r>
      <w:r w:rsidR="004A09D9">
        <w:t>shape (a density plot/histogram). The range in modelled velocities representing the same 5 km stretch of river are presente</w:t>
      </w:r>
      <w:r w:rsidR="005155A7">
        <w:t>d as the red shape in</w:t>
      </w:r>
      <w:r w:rsidR="00A04CD1">
        <w:t xml:space="preserve"> Figure </w:t>
      </w:r>
      <w:r w:rsidR="00B9142C">
        <w:t>E</w:t>
      </w:r>
      <w:r w:rsidR="000E7A54">
        <w:t>4</w:t>
      </w:r>
      <w:r w:rsidR="00B811AF">
        <w:t>.</w:t>
      </w:r>
      <w:r w:rsidR="004A09D9">
        <w:t xml:space="preserve"> </w:t>
      </w:r>
      <w:r w:rsidR="00142394">
        <w:t>Cross sections are spaced at 250 m in this model, and as such there are approximately 20 modelled velocity values over the same reach</w:t>
      </w:r>
      <w:r w:rsidR="005155A7">
        <w:t xml:space="preserve"> of river</w:t>
      </w:r>
      <w:r w:rsidR="00142394">
        <w:t xml:space="preserve">. Given the extra values, the range in velocities might be expected to be greater for the model </w:t>
      </w:r>
      <w:r w:rsidR="005155A7">
        <w:t xml:space="preserve">results </w:t>
      </w:r>
      <w:r w:rsidR="00142394">
        <w:t xml:space="preserve">compared to the recorded values. Keeping this </w:t>
      </w:r>
      <w:r w:rsidR="00142394">
        <w:lastRenderedPageBreak/>
        <w:t xml:space="preserve">factor in mind, the modelled velocity values can be seen </w:t>
      </w:r>
      <w:r w:rsidR="00800B04">
        <w:t>to be in good agreement with those</w:t>
      </w:r>
      <w:r w:rsidR="00142394">
        <w:t xml:space="preserve"> recorded in the river at the same time</w:t>
      </w:r>
      <w:r w:rsidR="008877B6">
        <w:t>.</w:t>
      </w:r>
    </w:p>
    <w:p w14:paraId="79C2CF80" w14:textId="7B84F8B2" w:rsidR="00567398" w:rsidRPr="00F878B2" w:rsidRDefault="004A3E4F" w:rsidP="009D249D">
      <w:pPr>
        <w:rPr>
          <w:i/>
          <w:color w:val="auto"/>
          <w:sz w:val="24"/>
          <w:szCs w:val="24"/>
          <w:u w:val="single"/>
        </w:rPr>
      </w:pPr>
      <w:r>
        <w:rPr>
          <w:i/>
          <w:color w:val="auto"/>
          <w:sz w:val="24"/>
          <w:szCs w:val="24"/>
          <w:u w:val="single"/>
        </w:rPr>
        <w:t>Katarapko m</w:t>
      </w:r>
      <w:r w:rsidR="00CD7F8D" w:rsidRPr="00F878B2">
        <w:rPr>
          <w:i/>
          <w:color w:val="auto"/>
          <w:sz w:val="24"/>
          <w:szCs w:val="24"/>
          <w:u w:val="single"/>
        </w:rPr>
        <w:t>odel</w:t>
      </w:r>
      <w:r w:rsidR="00166677" w:rsidRPr="00F878B2">
        <w:rPr>
          <w:i/>
          <w:color w:val="auto"/>
          <w:sz w:val="24"/>
          <w:szCs w:val="24"/>
          <w:u w:val="single"/>
        </w:rPr>
        <w:t xml:space="preserve"> </w:t>
      </w:r>
    </w:p>
    <w:p w14:paraId="419F5A23" w14:textId="0E81A8C9" w:rsidR="00763C9C" w:rsidRDefault="00741C33" w:rsidP="00BC1433">
      <w:r>
        <w:t>Modelled and observed water levels from the Katarapko model from Lock 3 to Lock 5 can be seen in</w:t>
      </w:r>
      <w:r w:rsidR="00A04CD1">
        <w:t xml:space="preserve"> Figure </w:t>
      </w:r>
      <w:r w:rsidR="00B9142C">
        <w:t>E</w:t>
      </w:r>
      <w:r w:rsidR="00DD04B5">
        <w:t>2</w:t>
      </w:r>
      <w:r>
        <w:t xml:space="preserve">. </w:t>
      </w:r>
      <w:r w:rsidR="00763C9C">
        <w:t xml:space="preserve">Results </w:t>
      </w:r>
      <w:r w:rsidR="00551F60">
        <w:t>upstream</w:t>
      </w:r>
      <w:r w:rsidR="00763C9C">
        <w:t xml:space="preserve"> of Lock 4 (at Berri</w:t>
      </w:r>
      <w:r w:rsidR="00B84FBF">
        <w:t>,</w:t>
      </w:r>
      <w:r w:rsidR="00763C9C">
        <w:t xml:space="preserve"> Lyrup </w:t>
      </w:r>
      <w:r w:rsidR="00B84FBF">
        <w:t>and downstream of Lock 5</w:t>
      </w:r>
      <w:r w:rsidR="00763C9C">
        <w:t xml:space="preserve">) </w:t>
      </w:r>
      <w:r w:rsidR="0012442C">
        <w:t>are typically accurate, noting that there is very little variation in the data, and as s</w:t>
      </w:r>
      <w:r w:rsidR="004E5859">
        <w:t>uch the scale only represents 5–</w:t>
      </w:r>
      <w:r w:rsidR="0012442C">
        <w:t xml:space="preserve">10 cm of variation in water level at the Lyrup and Berri sites. </w:t>
      </w:r>
      <w:r w:rsidR="00F56AD8">
        <w:t>Below</w:t>
      </w:r>
      <w:r w:rsidR="0012442C">
        <w:t xml:space="preserve"> Lock 4, the model typically underestimates the water level at Loxton in the order of 10 cm, however provides a good representation of the water level </w:t>
      </w:r>
      <w:r w:rsidR="00F56AD8">
        <w:t>below</w:t>
      </w:r>
      <w:r w:rsidR="0012442C">
        <w:t xml:space="preserve"> Lock 4. Given this point is the most responsive to flow within the weir</w:t>
      </w:r>
      <w:r w:rsidR="00EC25A3">
        <w:t xml:space="preserve"> </w:t>
      </w:r>
      <w:r w:rsidR="0012442C">
        <w:t>pool (the water level is controlled by observed data at Lock 3) this was deemed to represent suitable accuracy</w:t>
      </w:r>
      <w:r w:rsidR="00EC25A3">
        <w:t>.</w:t>
      </w:r>
    </w:p>
    <w:p w14:paraId="1951B547" w14:textId="02487A9E" w:rsidR="00CC722C" w:rsidRDefault="00BF3ADC" w:rsidP="003F16E3">
      <w:r>
        <w:t>A comparison between modelled and recorded cross section averaged velocity can be seen in</w:t>
      </w:r>
      <w:r w:rsidR="00A04CD1">
        <w:t xml:space="preserve"> Figure </w:t>
      </w:r>
      <w:r w:rsidR="00B9142C">
        <w:t>E</w:t>
      </w:r>
      <w:r w:rsidR="000069CF">
        <w:t>5</w:t>
      </w:r>
      <w:r w:rsidR="00BF4107">
        <w:t>.</w:t>
      </w:r>
      <w:r w:rsidR="00C90875">
        <w:t xml:space="preserve"> Velocity recordin</w:t>
      </w:r>
      <w:r w:rsidR="007652E3">
        <w:t>g were undertaken in the Lock 3</w:t>
      </w:r>
      <w:r w:rsidR="00C90875">
        <w:t xml:space="preserve">–Lock 4 weir pool as a reference site for the monitoring undertaken for the </w:t>
      </w:r>
      <w:r w:rsidR="001E29E0">
        <w:t>WPR</w:t>
      </w:r>
      <w:r w:rsidR="00C90875">
        <w:t xml:space="preserve"> </w:t>
      </w:r>
      <w:r w:rsidR="00C90875" w:rsidRPr="003F2D5C">
        <w:t xml:space="preserve">event </w:t>
      </w:r>
      <w:r w:rsidR="003F2D5C">
        <w:t>(</w:t>
      </w:r>
      <w:r w:rsidR="00DD2DE0" w:rsidRPr="007652E3">
        <w:t xml:space="preserve">Bice </w:t>
      </w:r>
      <w:r w:rsidR="007652E3" w:rsidRPr="007652E3">
        <w:rPr>
          <w:i/>
        </w:rPr>
        <w:t>et al.</w:t>
      </w:r>
      <w:r w:rsidR="00DD2DE0" w:rsidRPr="007652E3">
        <w:t xml:space="preserve"> 2016</w:t>
      </w:r>
      <w:r w:rsidR="007652E3" w:rsidRPr="007652E3">
        <w:t>a</w:t>
      </w:r>
      <w:r w:rsidR="00C90875" w:rsidRPr="007652E3">
        <w:t>).</w:t>
      </w:r>
      <w:r w:rsidR="00BF4107" w:rsidRPr="003F2D5C">
        <w:t xml:space="preserve"> </w:t>
      </w:r>
      <w:r w:rsidR="000E40D8" w:rsidRPr="003F2D5C">
        <w:t>Again</w:t>
      </w:r>
      <w:r w:rsidR="000E40D8">
        <w:t xml:space="preserve">, the modelled velocity values can be seen to be in good agreement with those recorded in the river at the same time, including the </w:t>
      </w:r>
      <w:r w:rsidR="00CC722C">
        <w:t xml:space="preserve">high velocities recorded </w:t>
      </w:r>
      <w:r w:rsidR="00F56AD8">
        <w:t>below</w:t>
      </w:r>
      <w:r w:rsidR="00CC722C">
        <w:t xml:space="preserve"> Lock 4</w:t>
      </w:r>
      <w:r w:rsidR="0065614D">
        <w:t>.</w:t>
      </w:r>
    </w:p>
    <w:p w14:paraId="6EA41FFC" w14:textId="213ADF44" w:rsidR="003026D0" w:rsidRPr="00F878B2" w:rsidRDefault="004A3E4F" w:rsidP="009D249D">
      <w:pPr>
        <w:rPr>
          <w:i/>
          <w:color w:val="auto"/>
          <w:sz w:val="24"/>
          <w:szCs w:val="24"/>
          <w:u w:val="single"/>
        </w:rPr>
      </w:pPr>
      <w:r>
        <w:rPr>
          <w:i/>
          <w:color w:val="auto"/>
          <w:sz w:val="24"/>
          <w:szCs w:val="24"/>
          <w:u w:val="single"/>
        </w:rPr>
        <w:t>Pike m</w:t>
      </w:r>
      <w:r w:rsidR="003026D0" w:rsidRPr="00F878B2">
        <w:rPr>
          <w:i/>
          <w:color w:val="auto"/>
          <w:sz w:val="24"/>
          <w:szCs w:val="24"/>
          <w:u w:val="single"/>
        </w:rPr>
        <w:t>odel</w:t>
      </w:r>
    </w:p>
    <w:p w14:paraId="2D6626DD" w14:textId="44ECD9CA" w:rsidR="00EE3B0E" w:rsidRPr="00022322" w:rsidRDefault="004B281B" w:rsidP="003F1429">
      <w:r>
        <w:t>For this model, only the</w:t>
      </w:r>
      <w:r w:rsidR="001D0A64">
        <w:t xml:space="preserve"> water level </w:t>
      </w:r>
      <w:r w:rsidR="00F56AD8">
        <w:t>below</w:t>
      </w:r>
      <w:r w:rsidR="001D0A64">
        <w:t xml:space="preserve"> Lock 6 is relevant for the model calibration. T</w:t>
      </w:r>
      <w:r w:rsidR="00EC5FFC">
        <w:t xml:space="preserve">he model may be slightly </w:t>
      </w:r>
      <w:r w:rsidR="00BC1433">
        <w:t xml:space="preserve">under </w:t>
      </w:r>
      <w:r w:rsidR="00EC5FFC">
        <w:t>sensitive</w:t>
      </w:r>
      <w:r w:rsidR="001D0A64">
        <w:t xml:space="preserve"> at this location</w:t>
      </w:r>
      <w:r w:rsidR="00B50C70">
        <w:t xml:space="preserve"> (</w:t>
      </w:r>
      <w:r w:rsidR="00A04CD1">
        <w:t xml:space="preserve">Figure </w:t>
      </w:r>
      <w:r w:rsidR="00B9142C">
        <w:t>E</w:t>
      </w:r>
      <w:r w:rsidR="008F1808">
        <w:t>3</w:t>
      </w:r>
      <w:r w:rsidR="00B50C70">
        <w:t xml:space="preserve">), with </w:t>
      </w:r>
      <w:r w:rsidR="00EC5FFC">
        <w:t xml:space="preserve">the highest water levels are </w:t>
      </w:r>
      <w:r w:rsidR="00D50BDB">
        <w:t>under</w:t>
      </w:r>
      <w:r w:rsidR="00EC5FFC">
        <w:t xml:space="preserve">estimated, and lowest water levels </w:t>
      </w:r>
      <w:r w:rsidR="00D50BDB">
        <w:t>over</w:t>
      </w:r>
      <w:r w:rsidR="00EC5FFC">
        <w:t>estimated.</w:t>
      </w:r>
      <w:r w:rsidR="00410E88">
        <w:t xml:space="preserve"> This may indicate the cross section used for comparison in </w:t>
      </w:r>
      <w:r w:rsidR="00B50C70">
        <w:t xml:space="preserve">the model is slightly too large, however the results are considered suitable </w:t>
      </w:r>
      <w:r w:rsidR="003F1429">
        <w:t xml:space="preserve">for this purpose. </w:t>
      </w:r>
    </w:p>
    <w:p w14:paraId="42EDC1B4" w14:textId="77777777" w:rsidR="00147A66" w:rsidRDefault="00147A66">
      <w:pPr>
        <w:spacing w:before="0" w:after="200" w:line="276" w:lineRule="auto"/>
      </w:pPr>
      <w:r>
        <w:br w:type="page"/>
      </w:r>
    </w:p>
    <w:p w14:paraId="362CF2EE" w14:textId="64E37AB3" w:rsidR="009E760E" w:rsidRDefault="00B0503F" w:rsidP="009E760E">
      <w:pPr>
        <w:keepNext/>
      </w:pPr>
      <w:r>
        <w:rPr>
          <w:noProof/>
          <w:lang w:eastAsia="en-AU"/>
        </w:rPr>
        <w:lastRenderedPageBreak/>
        <w:drawing>
          <wp:inline distT="0" distB="0" distL="0" distR="0" wp14:anchorId="63539A74" wp14:editId="5B123761">
            <wp:extent cx="5724525" cy="7867650"/>
            <wp:effectExtent l="0" t="0" r="9525" b="0"/>
            <wp:docPr id="3" name="Picture 3" descr="D:\Documents\Dropbox\LTIM\LTIM\Modelling\Plots\L3-L1\L3-L1_WaterLevelCalib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ropbox\LTIM\LTIM\Modelling\Plots\L3-L1\L3-L1_WaterLevelCalibration.pn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724525" cy="7867650"/>
                    </a:xfrm>
                    <a:prstGeom prst="rect">
                      <a:avLst/>
                    </a:prstGeom>
                    <a:noFill/>
                    <a:ln>
                      <a:noFill/>
                    </a:ln>
                  </pic:spPr>
                </pic:pic>
              </a:graphicData>
            </a:graphic>
          </wp:inline>
        </w:drawing>
      </w:r>
    </w:p>
    <w:p w14:paraId="75705472" w14:textId="77777777" w:rsidR="0028701C" w:rsidRPr="0028701C" w:rsidRDefault="009E760E" w:rsidP="00147A66">
      <w:pPr>
        <w:pStyle w:val="Caption"/>
      </w:pPr>
      <w:bookmarkStart w:id="160" w:name="_Ref428784789"/>
      <w:r>
        <w:t xml:space="preserve">Figure </w:t>
      </w:r>
      <w:r w:rsidR="00B9142C">
        <w:t>E</w:t>
      </w:r>
      <w:r w:rsidR="00C07DC8">
        <w:t>1.</w:t>
      </w:r>
      <w:bookmarkEnd w:id="160"/>
      <w:r>
        <w:t xml:space="preserve"> Water Levels used for calibration of the model from Lock 1 to Lock 3</w:t>
      </w:r>
      <w:r w:rsidR="00C07DC8">
        <w:t>.</w:t>
      </w:r>
    </w:p>
    <w:p w14:paraId="0C8B2DAA" w14:textId="7C2865E6" w:rsidR="000A0D5E" w:rsidRDefault="00BA6FC1" w:rsidP="000A0D5E">
      <w:pPr>
        <w:keepNext/>
      </w:pPr>
      <w:r>
        <w:rPr>
          <w:noProof/>
          <w:lang w:eastAsia="en-AU"/>
        </w:rPr>
        <w:lastRenderedPageBreak/>
        <w:drawing>
          <wp:inline distT="0" distB="0" distL="0" distR="0" wp14:anchorId="46604B9B" wp14:editId="623DE934">
            <wp:extent cx="5724525" cy="7867650"/>
            <wp:effectExtent l="0" t="0" r="9525" b="0"/>
            <wp:docPr id="5" name="Picture 5" descr="D:\Documents\Dropbox\LTIM\LTIM\Modelling\Plots\Kat\Kat_WaterLevelCalib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ropbox\LTIM\LTIM\Modelling\Plots\Kat\Kat_WaterLevelCalibration.pn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724525" cy="7867650"/>
                    </a:xfrm>
                    <a:prstGeom prst="rect">
                      <a:avLst/>
                    </a:prstGeom>
                    <a:noFill/>
                    <a:ln>
                      <a:noFill/>
                    </a:ln>
                  </pic:spPr>
                </pic:pic>
              </a:graphicData>
            </a:graphic>
          </wp:inline>
        </w:drawing>
      </w:r>
    </w:p>
    <w:p w14:paraId="5263900C" w14:textId="341D3E00" w:rsidR="000A0D5E" w:rsidRDefault="000A0D5E" w:rsidP="000A0D5E">
      <w:pPr>
        <w:pStyle w:val="Caption"/>
      </w:pPr>
      <w:bookmarkStart w:id="161" w:name="_Ref428785178"/>
      <w:r>
        <w:t xml:space="preserve">Figure </w:t>
      </w:r>
      <w:r w:rsidR="00B9142C">
        <w:t>E</w:t>
      </w:r>
      <w:r w:rsidR="00F82864">
        <w:t>2</w:t>
      </w:r>
      <w:r w:rsidR="00C07DC8">
        <w:t>.</w:t>
      </w:r>
      <w:bookmarkEnd w:id="161"/>
      <w:r>
        <w:t xml:space="preserve"> </w:t>
      </w:r>
      <w:r w:rsidRPr="000B61F8">
        <w:t>Water Levels used for cali</w:t>
      </w:r>
      <w:r>
        <w:t>bration of the model from Lock 3 to Lock 5</w:t>
      </w:r>
      <w:r w:rsidR="00C07DC8">
        <w:t>.</w:t>
      </w:r>
    </w:p>
    <w:p w14:paraId="6E3B2EBB" w14:textId="52AD6C6F" w:rsidR="009D43E8" w:rsidRDefault="009D43E8" w:rsidP="009D43E8">
      <w:pPr>
        <w:keepNext/>
      </w:pPr>
      <w:bookmarkStart w:id="162" w:name="_Ref428784987"/>
      <w:r>
        <w:rPr>
          <w:noProof/>
          <w:lang w:eastAsia="en-AU"/>
        </w:rPr>
        <w:lastRenderedPageBreak/>
        <w:drawing>
          <wp:inline distT="0" distB="0" distL="0" distR="0" wp14:anchorId="1B1FEC5F" wp14:editId="32BBA5FF">
            <wp:extent cx="5724525" cy="2266950"/>
            <wp:effectExtent l="0" t="0" r="9525" b="0"/>
            <wp:docPr id="18" name="Picture 18" descr="D:\Documents\Dropbox\LTIM\LTIM\Modelling\Plots\Pike\Pike_WaterLevelCalib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Dropbox\LTIM\LTIM\Modelling\Plots\Pike\Pike_WaterLevelCalibration.png"/>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t="12000" b="8666"/>
                    <a:stretch/>
                  </pic:blipFill>
                  <pic:spPr bwMode="auto">
                    <a:xfrm>
                      <a:off x="0" y="0"/>
                      <a:ext cx="5724525" cy="2266950"/>
                    </a:xfrm>
                    <a:prstGeom prst="rect">
                      <a:avLst/>
                    </a:prstGeom>
                    <a:noFill/>
                    <a:ln>
                      <a:noFill/>
                    </a:ln>
                    <a:extLst>
                      <a:ext uri="{53640926-AAD7-44D8-BBD7-CCE9431645EC}">
                        <a14:shadowObscured xmlns:a14="http://schemas.microsoft.com/office/drawing/2010/main"/>
                      </a:ext>
                    </a:extLst>
                  </pic:spPr>
                </pic:pic>
              </a:graphicData>
            </a:graphic>
          </wp:inline>
        </w:drawing>
      </w:r>
    </w:p>
    <w:p w14:paraId="220FF869" w14:textId="2B8CF48A" w:rsidR="005923D9" w:rsidRDefault="009D43E8" w:rsidP="005923D9">
      <w:pPr>
        <w:pStyle w:val="Caption"/>
      </w:pPr>
      <w:bookmarkStart w:id="163" w:name="_Ref428785624"/>
      <w:r>
        <w:t>Figure E3.</w:t>
      </w:r>
      <w:bookmarkEnd w:id="163"/>
      <w:r>
        <w:t xml:space="preserve"> </w:t>
      </w:r>
      <w:r w:rsidRPr="007E2F2E">
        <w:t>Water Levels used for cali</w:t>
      </w:r>
      <w:r>
        <w:t>bration of the model from Lock 5 to Lock 6.</w:t>
      </w:r>
      <w:r w:rsidR="005923D9" w:rsidRPr="005923D9">
        <w:t xml:space="preserve"> </w:t>
      </w:r>
    </w:p>
    <w:p w14:paraId="59B98BE4" w14:textId="2B4925AE" w:rsidR="005923D9" w:rsidRPr="009D43E8" w:rsidRDefault="003277C7" w:rsidP="005923D9">
      <w:r>
        <w:rPr>
          <w:noProof/>
          <w:lang w:eastAsia="en-AU"/>
        </w:rPr>
        <w:drawing>
          <wp:inline distT="0" distB="0" distL="0" distR="0" wp14:anchorId="04F1D92B" wp14:editId="1834E08B">
            <wp:extent cx="5577205" cy="2434442"/>
            <wp:effectExtent l="0" t="0" r="4445"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1-L3_Velocity.png"/>
                    <pic:cNvPicPr/>
                  </pic:nvPicPr>
                  <pic:blipFill rotWithShape="1">
                    <a:blip r:embed="rId88" cstate="email">
                      <a:extLst>
                        <a:ext uri="{28A0092B-C50C-407E-A947-70E740481C1C}">
                          <a14:useLocalDpi xmlns:a14="http://schemas.microsoft.com/office/drawing/2010/main"/>
                        </a:ext>
                      </a:extLst>
                    </a:blip>
                    <a:srcRect t="7017" b="8366"/>
                    <a:stretch/>
                  </pic:blipFill>
                  <pic:spPr bwMode="auto">
                    <a:xfrm>
                      <a:off x="0" y="0"/>
                      <a:ext cx="5577851" cy="2434724"/>
                    </a:xfrm>
                    <a:prstGeom prst="rect">
                      <a:avLst/>
                    </a:prstGeom>
                    <a:ln>
                      <a:noFill/>
                    </a:ln>
                    <a:extLst>
                      <a:ext uri="{53640926-AAD7-44D8-BBD7-CCE9431645EC}">
                        <a14:shadowObscured xmlns:a14="http://schemas.microsoft.com/office/drawing/2010/main"/>
                      </a:ext>
                    </a:extLst>
                  </pic:spPr>
                </pic:pic>
              </a:graphicData>
            </a:graphic>
          </wp:inline>
        </w:drawing>
      </w:r>
    </w:p>
    <w:p w14:paraId="0B59F831" w14:textId="3D5A4800" w:rsidR="00D93142" w:rsidRDefault="00D93142" w:rsidP="00D93142">
      <w:pPr>
        <w:pStyle w:val="Caption"/>
      </w:pPr>
      <w:r>
        <w:t>Figure E</w:t>
      </w:r>
      <w:r w:rsidR="0064243D">
        <w:t>4</w:t>
      </w:r>
      <w:r>
        <w:t>.</w:t>
      </w:r>
      <w:bookmarkEnd w:id="162"/>
      <w:r>
        <w:t xml:space="preserve"> Modelled and measured velocity ranges between Locks 1 and 3.</w:t>
      </w:r>
    </w:p>
    <w:p w14:paraId="159313EB" w14:textId="401551D0" w:rsidR="00D93142" w:rsidRDefault="00D93142" w:rsidP="00D93142">
      <w:pPr>
        <w:pStyle w:val="Caption"/>
      </w:pPr>
      <w:r w:rsidRPr="00147A66">
        <w:t xml:space="preserve"> </w:t>
      </w:r>
      <w:r w:rsidR="003277C7">
        <w:rPr>
          <w:noProof/>
          <w:lang w:eastAsia="en-AU"/>
        </w:rPr>
        <w:drawing>
          <wp:inline distT="0" distB="0" distL="0" distR="0" wp14:anchorId="68D4C7B2" wp14:editId="72FCAD08">
            <wp:extent cx="5650230" cy="2481943"/>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at_Velocity.png"/>
                    <pic:cNvPicPr/>
                  </pic:nvPicPr>
                  <pic:blipFill rotWithShape="1">
                    <a:blip r:embed="rId89" cstate="email">
                      <a:extLst>
                        <a:ext uri="{28A0092B-C50C-407E-A947-70E740481C1C}">
                          <a14:useLocalDpi xmlns:a14="http://schemas.microsoft.com/office/drawing/2010/main"/>
                        </a:ext>
                      </a:extLst>
                    </a:blip>
                    <a:srcRect t="6192" b="8655"/>
                    <a:stretch/>
                  </pic:blipFill>
                  <pic:spPr bwMode="auto">
                    <a:xfrm>
                      <a:off x="0" y="0"/>
                      <a:ext cx="5663125" cy="2487607"/>
                    </a:xfrm>
                    <a:prstGeom prst="rect">
                      <a:avLst/>
                    </a:prstGeom>
                    <a:ln>
                      <a:noFill/>
                    </a:ln>
                    <a:extLst>
                      <a:ext uri="{53640926-AAD7-44D8-BBD7-CCE9431645EC}">
                        <a14:shadowObscured xmlns:a14="http://schemas.microsoft.com/office/drawing/2010/main"/>
                      </a:ext>
                    </a:extLst>
                  </pic:spPr>
                </pic:pic>
              </a:graphicData>
            </a:graphic>
          </wp:inline>
        </w:drawing>
      </w:r>
    </w:p>
    <w:p w14:paraId="466FE6FA" w14:textId="607A7966" w:rsidR="00D93142" w:rsidRDefault="00D93142" w:rsidP="00D93142">
      <w:pPr>
        <w:pStyle w:val="Caption"/>
      </w:pPr>
      <w:bookmarkStart w:id="164" w:name="_Ref428785279"/>
      <w:r>
        <w:t>Figure E</w:t>
      </w:r>
      <w:r w:rsidR="0064243D">
        <w:t>5</w:t>
      </w:r>
      <w:r>
        <w:t>.</w:t>
      </w:r>
      <w:bookmarkEnd w:id="164"/>
      <w:r>
        <w:t xml:space="preserve"> </w:t>
      </w:r>
      <w:r w:rsidRPr="00E04609">
        <w:t>Modelled and measured</w:t>
      </w:r>
      <w:r>
        <w:t xml:space="preserve"> velocity ranges between Locks 3 and 4.</w:t>
      </w:r>
    </w:p>
    <w:p w14:paraId="007B5C1E" w14:textId="77777777" w:rsidR="00F61850" w:rsidRPr="00F61850" w:rsidRDefault="00F61850" w:rsidP="00F61850"/>
    <w:p w14:paraId="567EC555" w14:textId="3423CB79" w:rsidR="0028701C" w:rsidRPr="009D249D" w:rsidRDefault="007F7F03" w:rsidP="009D249D">
      <w:pPr>
        <w:rPr>
          <w:b/>
          <w:color w:val="1F497D" w:themeColor="text2"/>
          <w:sz w:val="26"/>
          <w:szCs w:val="26"/>
        </w:rPr>
      </w:pPr>
      <w:r w:rsidRPr="009D249D">
        <w:rPr>
          <w:b/>
          <w:color w:val="1F497D" w:themeColor="text2"/>
          <w:sz w:val="26"/>
          <w:szCs w:val="26"/>
        </w:rPr>
        <w:t xml:space="preserve">Environmental </w:t>
      </w:r>
      <w:r w:rsidR="004A3E4F">
        <w:rPr>
          <w:b/>
          <w:color w:val="1F497D" w:themeColor="text2"/>
          <w:sz w:val="26"/>
          <w:szCs w:val="26"/>
        </w:rPr>
        <w:t>water s</w:t>
      </w:r>
      <w:r w:rsidRPr="009D249D">
        <w:rPr>
          <w:b/>
          <w:color w:val="1F497D" w:themeColor="text2"/>
          <w:sz w:val="26"/>
          <w:szCs w:val="26"/>
        </w:rPr>
        <w:t>cenarios</w:t>
      </w:r>
    </w:p>
    <w:p w14:paraId="58653F05" w14:textId="7B6EB1A1" w:rsidR="0093356A" w:rsidRPr="00EE4448" w:rsidRDefault="00D31D6E" w:rsidP="0093356A">
      <w:r w:rsidRPr="00EE4448">
        <w:t xml:space="preserve">The models </w:t>
      </w:r>
      <w:r w:rsidR="0093356A" w:rsidRPr="00EE4448">
        <w:t>used simulated the without environmental water case</w:t>
      </w:r>
      <w:r w:rsidRPr="00EE4448">
        <w:t>s</w:t>
      </w:r>
      <w:r w:rsidR="0093356A" w:rsidRPr="00EE4448">
        <w:t>. Three scenarios have been considered:</w:t>
      </w:r>
    </w:p>
    <w:p w14:paraId="3F2F874C" w14:textId="77777777" w:rsidR="0093356A" w:rsidRPr="00EE4448" w:rsidRDefault="0093356A" w:rsidP="0093356A">
      <w:pPr>
        <w:pStyle w:val="ListParagraph"/>
        <w:numPr>
          <w:ilvl w:val="0"/>
          <w:numId w:val="13"/>
        </w:numPr>
      </w:pPr>
      <w:r w:rsidRPr="00EE4448">
        <w:t>With all water. This is the observed conditions, as used for model calibration.</w:t>
      </w:r>
    </w:p>
    <w:p w14:paraId="1D663857" w14:textId="77777777" w:rsidR="0093356A" w:rsidRPr="00EE4448" w:rsidRDefault="0093356A" w:rsidP="0093356A">
      <w:pPr>
        <w:pStyle w:val="ListParagraph"/>
        <w:numPr>
          <w:ilvl w:val="0"/>
          <w:numId w:val="13"/>
        </w:numPr>
      </w:pPr>
      <w:r w:rsidRPr="00EE4448">
        <w:t xml:space="preserve">Without Commonwealth environmental water. This allows the contribution of Commonwealth environmental water to the hydraulic parameters to be quantified. </w:t>
      </w:r>
    </w:p>
    <w:p w14:paraId="758C3140" w14:textId="7D1B1A1D" w:rsidR="0093356A" w:rsidRPr="00EE4448" w:rsidRDefault="0093356A" w:rsidP="0093356A">
      <w:pPr>
        <w:pStyle w:val="ListParagraph"/>
        <w:numPr>
          <w:ilvl w:val="0"/>
          <w:numId w:val="13"/>
        </w:numPr>
      </w:pPr>
      <w:r w:rsidRPr="00EE4448">
        <w:t>Without any environmental water. This allows the collaborative outcomes across all environmental water holders to be quantified. There was not a case in 201</w:t>
      </w:r>
      <w:r w:rsidR="00B5711E">
        <w:t>5/16</w:t>
      </w:r>
      <w:r w:rsidRPr="00EE4448">
        <w:t xml:space="preserve"> where environmental water was provided without some of that water being Commonwealth environmental water.</w:t>
      </w:r>
    </w:p>
    <w:p w14:paraId="1E4A67AD" w14:textId="6DE6EFFC" w:rsidR="0093356A" w:rsidRPr="00EE4448" w:rsidRDefault="0093356A" w:rsidP="0093356A">
      <w:r w:rsidRPr="00EE4448">
        <w:t>The flow time series for these scenarios were provided by the MDBA. The relevant environmental water contribution (without Commonwealth environmental water or without environmental water) at upstream boundary for each model (see ‘Boundary Conditions’ section above) was removed from the model, with most oth</w:t>
      </w:r>
      <w:r w:rsidR="00EE4448">
        <w:t>er settings kept the same.</w:t>
      </w:r>
    </w:p>
    <w:p w14:paraId="43CB54F7" w14:textId="77777777" w:rsidR="00833502" w:rsidRPr="006B0D2E" w:rsidRDefault="00833502" w:rsidP="0093356A">
      <w:r w:rsidRPr="006B0D2E">
        <w:t>There were two main changes for the without environmental water scenarios:</w:t>
      </w:r>
    </w:p>
    <w:p w14:paraId="27782267" w14:textId="733A251F" w:rsidR="0093356A" w:rsidRPr="006B0D2E" w:rsidRDefault="00594F99" w:rsidP="00833502">
      <w:pPr>
        <w:pStyle w:val="ListParagraph"/>
        <w:numPr>
          <w:ilvl w:val="0"/>
          <w:numId w:val="34"/>
        </w:numPr>
      </w:pPr>
      <w:r w:rsidRPr="006B0D2E">
        <w:t xml:space="preserve">The </w:t>
      </w:r>
      <w:r w:rsidR="0093356A" w:rsidRPr="006B0D2E">
        <w:t xml:space="preserve">representation of diversions within </w:t>
      </w:r>
      <w:r w:rsidR="005106B5">
        <w:t>South Australia</w:t>
      </w:r>
      <w:r w:rsidR="0093356A" w:rsidRPr="006B0D2E">
        <w:t xml:space="preserve">. The environmental scenarios were adjusted to account for the purchase of entitlements within </w:t>
      </w:r>
      <w:r w:rsidR="005106B5">
        <w:t>South Australia</w:t>
      </w:r>
      <w:r w:rsidR="0093356A" w:rsidRPr="006B0D2E">
        <w:t xml:space="preserve"> by the CEWH. Calculated diversions would be ex</w:t>
      </w:r>
      <w:r w:rsidRPr="006B0D2E">
        <w:t>pected to be reduced in the 2015/16</w:t>
      </w:r>
      <w:r w:rsidR="0093356A" w:rsidRPr="006B0D2E">
        <w:t xml:space="preserve"> water year compared to the no environmental water case, where these entitlements would have been used for consumptive purposes otherwise. It was assumed that these entitlements were </w:t>
      </w:r>
      <w:r w:rsidR="00161946" w:rsidRPr="006B0D2E">
        <w:t>100% utilised, i.e. the full 117.3</w:t>
      </w:r>
      <w:r w:rsidR="0093356A" w:rsidRPr="006B0D2E">
        <w:t xml:space="preserve"> GL of entitlements (not including the </w:t>
      </w:r>
      <w:r w:rsidR="00161946" w:rsidRPr="006B0D2E">
        <w:t>15.</w:t>
      </w:r>
      <w:r w:rsidR="00AA1FAD" w:rsidRPr="006B0D2E">
        <w:t>8</w:t>
      </w:r>
      <w:r w:rsidR="0093356A" w:rsidRPr="006B0D2E">
        <w:t xml:space="preserve"> GL that was used for environmental outcomes within </w:t>
      </w:r>
      <w:r w:rsidR="005106B5">
        <w:t>South Australia</w:t>
      </w:r>
      <w:r w:rsidR="0093356A" w:rsidRPr="006B0D2E">
        <w:t>, e.g. pumped to higher elevation wetlands) would have been used for consumptive purposes in the no environmental water scenarios. For these scenarios</w:t>
      </w:r>
      <w:r w:rsidR="004E5859">
        <w:t>,</w:t>
      </w:r>
      <w:r w:rsidR="0093356A" w:rsidRPr="006B0D2E">
        <w:t xml:space="preserve"> the calculated diversions were increased by the 11</w:t>
      </w:r>
      <w:r w:rsidR="00161946" w:rsidRPr="006B0D2E">
        <w:t>7.3</w:t>
      </w:r>
      <w:r w:rsidR="0093356A" w:rsidRPr="006B0D2E">
        <w:t xml:space="preserve"> GL, distributed temporally over the year using the same pattern as entitlement flow, and spatially across the weir pools using the same proportions as the calculated diversions in each weir pool.</w:t>
      </w:r>
    </w:p>
    <w:p w14:paraId="339E4D7B" w14:textId="43C5DCF1" w:rsidR="00813B21" w:rsidRPr="006B0D2E" w:rsidRDefault="001E29E0" w:rsidP="00833502">
      <w:pPr>
        <w:pStyle w:val="ListParagraph"/>
        <w:numPr>
          <w:ilvl w:val="0"/>
          <w:numId w:val="34"/>
        </w:numPr>
      </w:pPr>
      <w:r>
        <w:lastRenderedPageBreak/>
        <w:t>WPR</w:t>
      </w:r>
      <w:r w:rsidR="00813B21" w:rsidRPr="006B0D2E">
        <w:t xml:space="preserve"> events were removed. C</w:t>
      </w:r>
      <w:r w:rsidR="004E5859">
        <w:t>ommonwealth environmental water</w:t>
      </w:r>
      <w:r w:rsidR="00813B21" w:rsidRPr="006B0D2E">
        <w:t xml:space="preserve"> was used to account for the water use </w:t>
      </w:r>
      <w:r w:rsidR="00B5711E">
        <w:t>due to</w:t>
      </w:r>
      <w:r w:rsidR="00813B21" w:rsidRPr="006B0D2E">
        <w:t xml:space="preserve"> these events in 2015/16, therefore it was assumed that these events would not have occurred without the delivery of C</w:t>
      </w:r>
      <w:r w:rsidR="004E5859">
        <w:t>ommonwealth environmental water</w:t>
      </w:r>
      <w:r w:rsidR="00813B21" w:rsidRPr="006B0D2E">
        <w:t xml:space="preserve">. It was assumed that the water level </w:t>
      </w:r>
      <w:r w:rsidR="000336FB">
        <w:t>were</w:t>
      </w:r>
      <w:r w:rsidR="00813B21" w:rsidRPr="006B0D2E">
        <w:t xml:space="preserve"> held at pool level during</w:t>
      </w:r>
      <w:r w:rsidR="000E31E4">
        <w:t xml:space="preserve"> the raising events, i.e. 6.1 m </w:t>
      </w:r>
      <w:r w:rsidR="00813B21" w:rsidRPr="006B0D2E">
        <w:t>AHD at Lock 2 and 16.3 m AHD at Lock 5.</w:t>
      </w:r>
    </w:p>
    <w:p w14:paraId="46CC98FE" w14:textId="4B659B5A" w:rsidR="007D6DF1" w:rsidRPr="00A81763" w:rsidRDefault="004A3E4F" w:rsidP="009D249D">
      <w:pPr>
        <w:rPr>
          <w:b/>
          <w:i/>
          <w:color w:val="1F497D" w:themeColor="text2"/>
          <w:sz w:val="24"/>
          <w:szCs w:val="24"/>
        </w:rPr>
      </w:pPr>
      <w:r>
        <w:rPr>
          <w:b/>
          <w:i/>
          <w:color w:val="1F497D" w:themeColor="text2"/>
          <w:sz w:val="24"/>
          <w:szCs w:val="24"/>
        </w:rPr>
        <w:t>Water l</w:t>
      </w:r>
      <w:r w:rsidR="007D6DF1" w:rsidRPr="00A81763">
        <w:rPr>
          <w:b/>
          <w:i/>
          <w:color w:val="1F497D" w:themeColor="text2"/>
          <w:sz w:val="24"/>
          <w:szCs w:val="24"/>
        </w:rPr>
        <w:t>evel</w:t>
      </w:r>
    </w:p>
    <w:p w14:paraId="32161E5E" w14:textId="6E97FA4E" w:rsidR="0093356A" w:rsidRPr="00F87B57" w:rsidRDefault="0093356A" w:rsidP="0093356A">
      <w:r w:rsidRPr="00A81763">
        <w:t xml:space="preserve">Results for the three scenarios at the upper end of each weir pool can be seen in Figure </w:t>
      </w:r>
      <w:r w:rsidR="00B9142C" w:rsidRPr="00A81763">
        <w:t>E</w:t>
      </w:r>
      <w:r w:rsidRPr="00A81763">
        <w:t xml:space="preserve">6. The upper reaches of the weir pool are the most responsive to changes in flow, and therefore show the maximum change in water level due to the environmental water. To demonstrate this effect, the simulated water levels in the middle of each weir pool can be seen in Figure </w:t>
      </w:r>
      <w:r w:rsidR="00B9142C" w:rsidRPr="00A81763">
        <w:t>E</w:t>
      </w:r>
      <w:r w:rsidRPr="00A81763">
        <w:t xml:space="preserve">7, where the differences in water level across the scenarios </w:t>
      </w:r>
      <w:r w:rsidR="000D7BB8">
        <w:t xml:space="preserve">were </w:t>
      </w:r>
      <w:r w:rsidRPr="00A81763">
        <w:t>smaller. While not represented, the water levels at each lock are assumed to be the same across all scenarios</w:t>
      </w:r>
      <w:r w:rsidR="00D9691A" w:rsidRPr="00A81763">
        <w:t xml:space="preserve">, with the exception of </w:t>
      </w:r>
      <w:r w:rsidR="00B76926">
        <w:t>when</w:t>
      </w:r>
      <w:r w:rsidR="00D9691A" w:rsidRPr="00A81763">
        <w:t xml:space="preserve"> </w:t>
      </w:r>
      <w:r w:rsidR="001E29E0">
        <w:t>WPR</w:t>
      </w:r>
      <w:r w:rsidR="00A62148" w:rsidRPr="00A81763">
        <w:t xml:space="preserve"> events</w:t>
      </w:r>
      <w:r w:rsidR="00B76926">
        <w:t xml:space="preserve"> were </w:t>
      </w:r>
      <w:r w:rsidR="004E5859">
        <w:t>occurring</w:t>
      </w:r>
      <w:r w:rsidR="00A62148" w:rsidRPr="00A81763">
        <w:t xml:space="preserve"> </w:t>
      </w:r>
      <w:r w:rsidR="00A62148" w:rsidRPr="00F87B57">
        <w:t>at Locks 2 and 5</w:t>
      </w:r>
      <w:r w:rsidRPr="00F87B57">
        <w:t>.</w:t>
      </w:r>
    </w:p>
    <w:p w14:paraId="1597CAAD" w14:textId="07BFBDA2" w:rsidR="0093356A" w:rsidRPr="00F87B57" w:rsidRDefault="0093356A" w:rsidP="0093356A">
      <w:r w:rsidRPr="00F87B57">
        <w:t>It can be seen that environmental water resulted in increases in</w:t>
      </w:r>
      <w:r w:rsidR="00A81763" w:rsidRPr="00F87B57">
        <w:t xml:space="preserve"> water level in</w:t>
      </w:r>
      <w:r w:rsidR="005102DE">
        <w:t xml:space="preserve"> </w:t>
      </w:r>
      <w:r w:rsidR="005E0213">
        <w:t>winter and s</w:t>
      </w:r>
      <w:r w:rsidR="005102DE">
        <w:t>pring of</w:t>
      </w:r>
      <w:r w:rsidR="00A81763" w:rsidRPr="00F87B57">
        <w:t xml:space="preserve"> up to 0.3</w:t>
      </w:r>
      <w:r w:rsidRPr="00F87B57">
        <w:t> m in the upper reaches of the weir pool</w:t>
      </w:r>
      <w:r w:rsidR="00D9255B">
        <w:t xml:space="preserve"> for Weir P</w:t>
      </w:r>
      <w:r w:rsidR="00D05623" w:rsidRPr="00F87B57">
        <w:t>ools 1 and 4</w:t>
      </w:r>
      <w:r w:rsidRPr="00F87B57">
        <w:t xml:space="preserve">. </w:t>
      </w:r>
      <w:r w:rsidR="00D05623" w:rsidRPr="00F87B57">
        <w:t>This increased up to 0.</w:t>
      </w:r>
      <w:r w:rsidR="00246651">
        <w:t>7</w:t>
      </w:r>
      <w:r w:rsidR="00D05623" w:rsidRPr="00F87B57">
        <w:t xml:space="preserve"> m </w:t>
      </w:r>
      <w:r w:rsidR="00246651">
        <w:t xml:space="preserve">in </w:t>
      </w:r>
      <w:r w:rsidR="008E5F68">
        <w:t>spring</w:t>
      </w:r>
      <w:r w:rsidR="00246651">
        <w:t xml:space="preserve"> </w:t>
      </w:r>
      <w:r w:rsidR="00D05623" w:rsidRPr="00F87B57">
        <w:t xml:space="preserve">for </w:t>
      </w:r>
      <w:r w:rsidR="00D9255B">
        <w:t>Weir P</w:t>
      </w:r>
      <w:r w:rsidR="00D05623" w:rsidRPr="00F87B57">
        <w:t xml:space="preserve">ools 2 and 5, during the </w:t>
      </w:r>
      <w:r w:rsidR="001E29E0">
        <w:t>WPR</w:t>
      </w:r>
      <w:r w:rsidR="00D05623" w:rsidRPr="00F87B57">
        <w:t xml:space="preserve"> events. Higher increases of up to 0.9 m were simulated</w:t>
      </w:r>
      <w:r w:rsidRPr="00F87B57">
        <w:t xml:space="preserve"> in the upper reaches of </w:t>
      </w:r>
      <w:r w:rsidR="00D9255B">
        <w:t>Weir P</w:t>
      </w:r>
      <w:r w:rsidRPr="00F87B57">
        <w:t>ool 3, due to</w:t>
      </w:r>
      <w:r w:rsidR="00D05623" w:rsidRPr="00F87B57">
        <w:t xml:space="preserve"> this being the longest weir pool</w:t>
      </w:r>
      <w:r w:rsidR="00D85747">
        <w:t xml:space="preserve"> (and therefore the upper reaches of the weir pool less influenced by Lock 3)</w:t>
      </w:r>
      <w:r w:rsidR="00D05623" w:rsidRPr="00F87B57">
        <w:t>, and also</w:t>
      </w:r>
      <w:r w:rsidRPr="00F87B57">
        <w:t xml:space="preserve"> the much shallower and narrower nature of the Murray River near where Katarapko Creek branches off from the Murray River.</w:t>
      </w:r>
      <w:r w:rsidR="004706DD">
        <w:t xml:space="preserve"> Not</w:t>
      </w:r>
      <w:r w:rsidR="006B4F11">
        <w:t>e</w:t>
      </w:r>
      <w:r w:rsidR="004706DD">
        <w:t xml:space="preserve"> that this increase is limited to the upper reaches of </w:t>
      </w:r>
      <w:r w:rsidR="00D9255B">
        <w:t>W</w:t>
      </w:r>
      <w:r w:rsidR="004706DD">
        <w:t xml:space="preserve">eir </w:t>
      </w:r>
      <w:r w:rsidR="00D9255B">
        <w:t>P</w:t>
      </w:r>
      <w:r w:rsidR="004706DD">
        <w:t xml:space="preserve">ool 3, with much smaller increases in water level occurring near the </w:t>
      </w:r>
      <w:r w:rsidR="00A0114E">
        <w:t>midpoint</w:t>
      </w:r>
      <w:r w:rsidR="004706DD">
        <w:t xml:space="preserve"> of th</w:t>
      </w:r>
      <w:r w:rsidR="00B76926">
        <w:t>is</w:t>
      </w:r>
      <w:r w:rsidR="004706DD">
        <w:t xml:space="preserve"> weir pool (Figure E</w:t>
      </w:r>
      <w:r w:rsidR="00267923">
        <w:t>7)</w:t>
      </w:r>
    </w:p>
    <w:p w14:paraId="7B47101B" w14:textId="77777777" w:rsidR="00C70BD5" w:rsidRPr="00F87B57" w:rsidRDefault="00C70BD5" w:rsidP="009D249D">
      <w:pPr>
        <w:rPr>
          <w:b/>
          <w:i/>
          <w:color w:val="1F497D" w:themeColor="text2"/>
          <w:sz w:val="24"/>
          <w:szCs w:val="24"/>
        </w:rPr>
      </w:pPr>
      <w:r w:rsidRPr="00F87B57">
        <w:rPr>
          <w:b/>
          <w:i/>
          <w:color w:val="1F497D" w:themeColor="text2"/>
          <w:sz w:val="24"/>
          <w:szCs w:val="24"/>
        </w:rPr>
        <w:t>Velocity</w:t>
      </w:r>
    </w:p>
    <w:p w14:paraId="7041E407" w14:textId="3A833C92" w:rsidR="0093356A" w:rsidRPr="00603869" w:rsidRDefault="0093356A" w:rsidP="0093356A">
      <w:r w:rsidRPr="00F87B57">
        <w:t xml:space="preserve">The results for the velocity in each weir pool can be seen in Figure </w:t>
      </w:r>
      <w:r w:rsidR="00B9142C" w:rsidRPr="00F87B57">
        <w:t>E</w:t>
      </w:r>
      <w:r w:rsidR="00D9255B">
        <w:t>8</w:t>
      </w:r>
      <w:r w:rsidRPr="00F87B57">
        <w:t>. The velocities calculated by the models represent the average velocity across a river cross section at each computation point. As these points are not necessarily equality spaced along the river, a length weighted velocity was adopted to calculate the 10</w:t>
      </w:r>
      <w:r w:rsidRPr="00F87B57">
        <w:rPr>
          <w:vertAlign w:val="superscript"/>
        </w:rPr>
        <w:t>th</w:t>
      </w:r>
      <w:r w:rsidRPr="00F87B57">
        <w:t>, 50</w:t>
      </w:r>
      <w:r w:rsidRPr="00F87B57">
        <w:rPr>
          <w:vertAlign w:val="superscript"/>
        </w:rPr>
        <w:t>th</w:t>
      </w:r>
      <w:r w:rsidRPr="00F87B57">
        <w:t xml:space="preserve"> (median) and 90</w:t>
      </w:r>
      <w:r w:rsidRPr="00F87B57">
        <w:rPr>
          <w:vertAlign w:val="superscript"/>
        </w:rPr>
        <w:t>th</w:t>
      </w:r>
      <w:r w:rsidRPr="00F87B57">
        <w:t xml:space="preserve"> percentile velocities within the reach. This approach assumes a constant velocity between computation po</w:t>
      </w:r>
      <w:r w:rsidR="00D9255B">
        <w:t>ints, which may not be accurate;</w:t>
      </w:r>
      <w:r w:rsidRPr="00F87B57">
        <w:t xml:space="preserve"> however</w:t>
      </w:r>
      <w:r w:rsidR="00D9255B">
        <w:t>,</w:t>
      </w:r>
      <w:r w:rsidRPr="00F87B57">
        <w:t xml:space="preserve"> </w:t>
      </w:r>
      <w:r w:rsidR="00D9255B">
        <w:t xml:space="preserve">there is </w:t>
      </w:r>
      <w:r w:rsidRPr="00F87B57">
        <w:t xml:space="preserve">no better information available without adding further cross sections to the models. </w:t>
      </w:r>
      <w:r w:rsidRPr="00F87B57">
        <w:lastRenderedPageBreak/>
        <w:t xml:space="preserve">The median velocity in each weir pool on each day is presented as the solid lines in Figure </w:t>
      </w:r>
      <w:r w:rsidR="00B9142C" w:rsidRPr="00F87B57">
        <w:t>E</w:t>
      </w:r>
      <w:r w:rsidR="00D9255B">
        <w:t>8</w:t>
      </w:r>
      <w:r w:rsidRPr="00F87B57">
        <w:t>, with the range represented by the 10</w:t>
      </w:r>
      <w:r w:rsidRPr="00F87B57">
        <w:rPr>
          <w:vertAlign w:val="superscript"/>
        </w:rPr>
        <w:t>th</w:t>
      </w:r>
      <w:r w:rsidRPr="00F87B57">
        <w:t xml:space="preserve"> and 90</w:t>
      </w:r>
      <w:r w:rsidRPr="00F87B57">
        <w:rPr>
          <w:vertAlign w:val="superscript"/>
        </w:rPr>
        <w:t>th</w:t>
      </w:r>
      <w:r w:rsidRPr="00F87B57">
        <w:t xml:space="preserve"> percentiles represented by the </w:t>
      </w:r>
      <w:r w:rsidRPr="00603869">
        <w:t>shaded area.</w:t>
      </w:r>
    </w:p>
    <w:p w14:paraId="448145A4" w14:textId="40981A53" w:rsidR="0089392A" w:rsidRPr="00603869" w:rsidRDefault="0089392A" w:rsidP="0093356A">
      <w:r w:rsidRPr="00603869">
        <w:t>It can be seen from Figure E8 that without environmental water, the median velocity was less than 0.1 m s</w:t>
      </w:r>
      <w:r w:rsidRPr="00603869">
        <w:rPr>
          <w:vertAlign w:val="superscript"/>
        </w:rPr>
        <w:t>-1</w:t>
      </w:r>
      <w:r w:rsidRPr="00603869">
        <w:t xml:space="preserve">across the weir pools across the year (with some exceptions </w:t>
      </w:r>
      <w:r w:rsidR="002104CC">
        <w:t>in</w:t>
      </w:r>
      <w:r w:rsidRPr="00603869">
        <w:t xml:space="preserve"> </w:t>
      </w:r>
      <w:r w:rsidR="00D9255B">
        <w:t>Weir P</w:t>
      </w:r>
      <w:r w:rsidRPr="00603869">
        <w:t>ool 5</w:t>
      </w:r>
      <w:r w:rsidR="002104CC">
        <w:t>)</w:t>
      </w:r>
      <w:r w:rsidRPr="00603869">
        <w:t>.</w:t>
      </w:r>
      <w:r w:rsidR="00362512" w:rsidRPr="00603869">
        <w:t xml:space="preserve"> Velocities </w:t>
      </w:r>
      <w:r w:rsidR="00CF7D3A">
        <w:t>less</w:t>
      </w:r>
      <w:r w:rsidR="00CF7D3A" w:rsidRPr="00603869">
        <w:t xml:space="preserve"> </w:t>
      </w:r>
      <w:r w:rsidR="00362512" w:rsidRPr="00603869">
        <w:t>than</w:t>
      </w:r>
      <w:r w:rsidRPr="00603869">
        <w:t xml:space="preserve"> 0.1 m s</w:t>
      </w:r>
      <w:r w:rsidRPr="00603869">
        <w:rPr>
          <w:vertAlign w:val="superscript"/>
        </w:rPr>
        <w:t>-1</w:t>
      </w:r>
      <w:r w:rsidR="004C0EEF" w:rsidRPr="00603869">
        <w:rPr>
          <w:vertAlign w:val="superscript"/>
        </w:rPr>
        <w:t xml:space="preserve"> </w:t>
      </w:r>
      <w:r w:rsidR="00D9255B">
        <w:t>represent</w:t>
      </w:r>
      <w:r w:rsidR="00362512" w:rsidRPr="00603869">
        <w:t xml:space="preserve"> slow-flowing habitat, and as such the without environmental water case, with entitlement flow all year, represents close to stagnant weir pools. </w:t>
      </w:r>
      <w:r w:rsidR="00D61AE1" w:rsidRPr="00603869">
        <w:t>In contrast, the with C</w:t>
      </w:r>
      <w:r w:rsidR="00D9255B">
        <w:t>ommonwealth environmental water</w:t>
      </w:r>
      <w:r w:rsidR="00D61AE1" w:rsidRPr="00603869">
        <w:t xml:space="preserve"> case </w:t>
      </w:r>
      <w:r w:rsidR="004C0EEF" w:rsidRPr="00603869">
        <w:t>represents an increase in weir pool median velocity of ~ 0.1 m s</w:t>
      </w:r>
      <w:r w:rsidR="004C0EEF" w:rsidRPr="00603869">
        <w:rPr>
          <w:vertAlign w:val="superscript"/>
        </w:rPr>
        <w:t xml:space="preserve">-1 </w:t>
      </w:r>
      <w:r w:rsidR="004C0EEF" w:rsidRPr="00603869">
        <w:t xml:space="preserve">in winter and spring across the weir pools. </w:t>
      </w:r>
      <w:r w:rsidR="009E3520" w:rsidRPr="00603869">
        <w:t>The shaded blue areas in Figure E8 indicate that</w:t>
      </w:r>
      <w:r w:rsidR="00D9255B">
        <w:t>,</w:t>
      </w:r>
      <w:r w:rsidR="009E3520" w:rsidRPr="00603869">
        <w:t xml:space="preserve"> with C</w:t>
      </w:r>
      <w:r w:rsidR="00D9255B">
        <w:t>ommonwealth environmental water,</w:t>
      </w:r>
      <w:r w:rsidR="009E3520" w:rsidRPr="00603869">
        <w:t xml:space="preserve"> there </w:t>
      </w:r>
      <w:r w:rsidR="00483B6B">
        <w:t>were</w:t>
      </w:r>
      <w:r w:rsidR="00483B6B" w:rsidRPr="00603869">
        <w:t xml:space="preserve"> </w:t>
      </w:r>
      <w:r w:rsidR="009E3520" w:rsidRPr="00603869">
        <w:t xml:space="preserve">some cross sections in each weir pool (typically the upper reaches) </w:t>
      </w:r>
      <w:r w:rsidR="00A85476" w:rsidRPr="00603869">
        <w:t>greater than 0.1</w:t>
      </w:r>
      <w:r w:rsidR="001777BD">
        <w:t>7</w:t>
      </w:r>
      <w:r w:rsidR="00A85476" w:rsidRPr="00603869">
        <w:t xml:space="preserve"> m s</w:t>
      </w:r>
      <w:r w:rsidR="00A85476" w:rsidRPr="00603869">
        <w:rPr>
          <w:vertAlign w:val="superscript"/>
        </w:rPr>
        <w:t>-1</w:t>
      </w:r>
      <w:r w:rsidR="00A85476" w:rsidRPr="00603869">
        <w:t>,</w:t>
      </w:r>
      <w:r w:rsidR="00612171" w:rsidRPr="00603869">
        <w:t xml:space="preserve"> between July and November 2015 as well as </w:t>
      </w:r>
      <w:r w:rsidR="009C68BA">
        <w:t xml:space="preserve">in </w:t>
      </w:r>
      <w:r w:rsidR="00612171" w:rsidRPr="00603869">
        <w:t>February</w:t>
      </w:r>
      <w:r w:rsidR="00B64E81" w:rsidRPr="00603869">
        <w:t xml:space="preserve"> 2016, coinciding with the delivery </w:t>
      </w:r>
      <w:r w:rsidR="0020215A" w:rsidRPr="00603869">
        <w:t>of C</w:t>
      </w:r>
      <w:r w:rsidR="00D9255B">
        <w:t>ommonwealth environmental water increasing QSA to over 9,000 ML </w:t>
      </w:r>
      <w:r w:rsidR="0020215A" w:rsidRPr="00603869">
        <w:t>day</w:t>
      </w:r>
      <w:r w:rsidR="00D9255B">
        <w:rPr>
          <w:vertAlign w:val="superscript"/>
        </w:rPr>
        <w:noBreakHyphen/>
      </w:r>
      <w:r w:rsidR="0020215A" w:rsidRPr="00603869">
        <w:rPr>
          <w:vertAlign w:val="superscript"/>
        </w:rPr>
        <w:t>1</w:t>
      </w:r>
      <w:r w:rsidR="00603869" w:rsidRPr="00603869">
        <w:t>.</w:t>
      </w:r>
    </w:p>
    <w:p w14:paraId="74E93028" w14:textId="6F0164E4" w:rsidR="00A35054" w:rsidRDefault="00322AC1" w:rsidP="0093356A">
      <w:pPr>
        <w:rPr>
          <w:b/>
          <w:i/>
          <w:color w:val="1F497D" w:themeColor="text2"/>
          <w:sz w:val="24"/>
          <w:szCs w:val="24"/>
        </w:rPr>
      </w:pPr>
      <w:r w:rsidRPr="00603869">
        <w:rPr>
          <w:b/>
          <w:i/>
          <w:color w:val="1F497D" w:themeColor="text2"/>
          <w:sz w:val="24"/>
          <w:szCs w:val="24"/>
        </w:rPr>
        <w:t xml:space="preserve">Effects of </w:t>
      </w:r>
      <w:r w:rsidR="004A3E4F">
        <w:rPr>
          <w:b/>
          <w:i/>
          <w:color w:val="1F497D" w:themeColor="text2"/>
          <w:sz w:val="24"/>
          <w:szCs w:val="24"/>
        </w:rPr>
        <w:t>weir pool r</w:t>
      </w:r>
      <w:r w:rsidR="00D6012C" w:rsidRPr="00603869">
        <w:rPr>
          <w:b/>
          <w:i/>
          <w:color w:val="1F497D" w:themeColor="text2"/>
          <w:sz w:val="24"/>
          <w:szCs w:val="24"/>
        </w:rPr>
        <w:t>aising</w:t>
      </w:r>
    </w:p>
    <w:p w14:paraId="058879AE" w14:textId="1BD58153" w:rsidR="00F017B4" w:rsidRDefault="009C1EE4" w:rsidP="0093356A">
      <w:r>
        <w:t>Results with and without C</w:t>
      </w:r>
      <w:r w:rsidR="001D30F5">
        <w:t>ommonwealth environmental water</w:t>
      </w:r>
      <w:r>
        <w:t>, and with and without WPR, on the day corresponding to the largest raising and largest C</w:t>
      </w:r>
      <w:r w:rsidR="001D30F5">
        <w:t>ommonwealth environmental water</w:t>
      </w:r>
      <w:r>
        <w:t xml:space="preserve"> contribution are presented in </w:t>
      </w:r>
      <w:r w:rsidR="000752FD">
        <w:t>Figure E9 and E10 for Weir Pool</w:t>
      </w:r>
      <w:r w:rsidR="000A28BD">
        <w:t>s</w:t>
      </w:r>
      <w:r w:rsidR="000752FD">
        <w:t xml:space="preserve"> 5</w:t>
      </w:r>
      <w:r w:rsidR="007D3B59">
        <w:t xml:space="preserve"> and 2, respectively</w:t>
      </w:r>
      <w:r>
        <w:t>. The 0.5 m WPR can be seen to increase the water level by this amount at Lock 2, at the downstream end of the weir pool (right hand side of the upper plot of</w:t>
      </w:r>
      <w:r w:rsidR="0087682B">
        <w:t xml:space="preserve"> Figure E10</w:t>
      </w:r>
      <w:r>
        <w:t>)</w:t>
      </w:r>
      <w:r w:rsidR="0087682B">
        <w:t xml:space="preserve">, with similar but slightly smaller increases for </w:t>
      </w:r>
      <w:r w:rsidR="00D21BEE">
        <w:t>Weir Pool</w:t>
      </w:r>
      <w:r w:rsidR="0087682B">
        <w:t xml:space="preserve"> 5 (Figure E9)</w:t>
      </w:r>
      <w:r>
        <w:t xml:space="preserve">. </w:t>
      </w:r>
    </w:p>
    <w:p w14:paraId="61DC1044" w14:textId="77777777" w:rsidR="002F6FF0" w:rsidRDefault="009C1EE4" w:rsidP="0093356A">
      <w:r>
        <w:t xml:space="preserve">One concern with </w:t>
      </w:r>
      <w:r w:rsidR="001D30F5">
        <w:t>WPR</w:t>
      </w:r>
      <w:r>
        <w:t xml:space="preserve"> is the </w:t>
      </w:r>
      <w:r w:rsidR="00DD06D1">
        <w:t xml:space="preserve">negative </w:t>
      </w:r>
      <w:r>
        <w:t>impact on velocity, due to increasing the cross sectional area</w:t>
      </w:r>
      <w:r w:rsidR="00F017B4">
        <w:t xml:space="preserve"> to flow</w:t>
      </w:r>
      <w:r>
        <w:t xml:space="preserve"> for the same discharge. This can be seen to occur in </w:t>
      </w:r>
      <w:r w:rsidR="00291963">
        <w:t>Figures E9 and E10</w:t>
      </w:r>
      <w:r>
        <w:t xml:space="preserve">, with lower velocities for the with WPR case compared to without. </w:t>
      </w:r>
      <w:r w:rsidR="00645D75">
        <w:t xml:space="preserve">However, this reduction </w:t>
      </w:r>
      <w:r w:rsidR="00645D75" w:rsidRPr="001D0ABD">
        <w:t>can be seen to be relatively small</w:t>
      </w:r>
      <w:r w:rsidR="00DD06D1">
        <w:t xml:space="preserve"> in 2015/16</w:t>
      </w:r>
      <w:r w:rsidR="00645D75" w:rsidRPr="001D0ABD">
        <w:t>, with the decrease in the velocity typically less than 0.05 m s</w:t>
      </w:r>
      <w:r w:rsidR="00645D75" w:rsidRPr="001D0ABD">
        <w:rPr>
          <w:vertAlign w:val="superscript"/>
        </w:rPr>
        <w:t>-1</w:t>
      </w:r>
      <w:r w:rsidR="001D0ABD">
        <w:t>, and much smaller than the corresponding increase</w:t>
      </w:r>
      <w:r w:rsidR="00E86A31">
        <w:t xml:space="preserve"> in velocity</w:t>
      </w:r>
      <w:r w:rsidR="001D0ABD">
        <w:t xml:space="preserve"> due to the delivery of C</w:t>
      </w:r>
      <w:r w:rsidR="00D21BEE">
        <w:t>ommonwealth environmental water</w:t>
      </w:r>
      <w:r w:rsidR="001D0ABD">
        <w:t xml:space="preserve"> in th</w:t>
      </w:r>
      <w:r w:rsidR="00DD06D1">
        <w:t xml:space="preserve">is </w:t>
      </w:r>
      <w:r w:rsidR="001D0ABD">
        <w:t>water year.</w:t>
      </w:r>
    </w:p>
    <w:p w14:paraId="65A98458" w14:textId="5467FA5F" w:rsidR="000D5236" w:rsidRDefault="002F6FF0" w:rsidP="0093356A">
      <w:r w:rsidRPr="002F6FF0">
        <w:t>There will always be a trade-off between in</w:t>
      </w:r>
      <w:r w:rsidR="007E7E7E">
        <w:t>-</w:t>
      </w:r>
      <w:r w:rsidRPr="002F6FF0">
        <w:t>channel velocity and inundation area when using structures to inundate larger areas with the same flow.</w:t>
      </w:r>
      <w:r w:rsidR="000D5236">
        <w:br w:type="page"/>
      </w:r>
    </w:p>
    <w:p w14:paraId="265649DE" w14:textId="3EC9D1BF" w:rsidR="007850BC" w:rsidRDefault="007B1CEA" w:rsidP="00E844DF">
      <w:pPr>
        <w:keepNext/>
      </w:pPr>
      <w:r>
        <w:rPr>
          <w:noProof/>
          <w:lang w:eastAsia="en-AU"/>
        </w:rPr>
        <w:lastRenderedPageBreak/>
        <w:drawing>
          <wp:inline distT="0" distB="0" distL="0" distR="0" wp14:anchorId="6D88E230" wp14:editId="76192C6A">
            <wp:extent cx="5724525" cy="7867650"/>
            <wp:effectExtent l="0" t="0" r="9525" b="0"/>
            <wp:docPr id="44" name="Picture 44" descr="D:\Documents\Dropbox\LTIM\LTIM\Assessment\Output\WaterLevelU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Dropbox\LTIM\LTIM\Assessment\Output\WaterLevelUpper.pn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724525" cy="7867650"/>
                    </a:xfrm>
                    <a:prstGeom prst="rect">
                      <a:avLst/>
                    </a:prstGeom>
                    <a:noFill/>
                    <a:ln>
                      <a:noFill/>
                    </a:ln>
                  </pic:spPr>
                </pic:pic>
              </a:graphicData>
            </a:graphic>
          </wp:inline>
        </w:drawing>
      </w:r>
    </w:p>
    <w:p w14:paraId="658E657F" w14:textId="57D902BA" w:rsidR="007850BC" w:rsidRDefault="00E844DF" w:rsidP="0026061C">
      <w:pPr>
        <w:pStyle w:val="Caption"/>
        <w:rPr>
          <w:noProof/>
          <w:lang w:eastAsia="en-AU"/>
        </w:rPr>
      </w:pPr>
      <w:bookmarkStart w:id="165" w:name="_Ref428786345"/>
      <w:r>
        <w:t xml:space="preserve">Figure </w:t>
      </w:r>
      <w:r w:rsidR="00DF548C">
        <w:t>E</w:t>
      </w:r>
      <w:r w:rsidR="00C07DC8">
        <w:t>6.</w:t>
      </w:r>
      <w:bookmarkEnd w:id="165"/>
      <w:r>
        <w:t xml:space="preserve"> Modelled</w:t>
      </w:r>
      <w:r w:rsidR="0093356A" w:rsidRPr="0093356A">
        <w:t xml:space="preserve"> water level at the upstream end of each weir pool without environmental water (orange), without Commonwealth environmental water (green), and with all </w:t>
      </w:r>
      <w:r w:rsidR="00F5340C">
        <w:t>w</w:t>
      </w:r>
      <w:r w:rsidR="0093356A" w:rsidRPr="0093356A">
        <w:t>ater (blue).</w:t>
      </w:r>
      <w:r w:rsidR="0026061C">
        <w:rPr>
          <w:noProof/>
          <w:lang w:eastAsia="en-AU"/>
        </w:rPr>
        <w:t xml:space="preserve"> </w:t>
      </w:r>
    </w:p>
    <w:p w14:paraId="658AA237" w14:textId="38A872DD" w:rsidR="007850BC" w:rsidRDefault="007B1CEA" w:rsidP="00FE064E">
      <w:pPr>
        <w:keepNext/>
      </w:pPr>
      <w:r>
        <w:rPr>
          <w:noProof/>
          <w:lang w:eastAsia="en-AU"/>
        </w:rPr>
        <w:lastRenderedPageBreak/>
        <w:drawing>
          <wp:inline distT="0" distB="0" distL="0" distR="0" wp14:anchorId="73A7436B" wp14:editId="577B84F4">
            <wp:extent cx="5724525" cy="7867650"/>
            <wp:effectExtent l="0" t="0" r="9525" b="0"/>
            <wp:docPr id="48" name="Picture 48" descr="D:\Documents\Dropbox\LTIM\LTIM\Assessment\Output\WaterLevel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Dropbox\LTIM\LTIM\Assessment\Output\WaterLevelMid.pn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724525" cy="7867650"/>
                    </a:xfrm>
                    <a:prstGeom prst="rect">
                      <a:avLst/>
                    </a:prstGeom>
                    <a:noFill/>
                    <a:ln>
                      <a:noFill/>
                    </a:ln>
                  </pic:spPr>
                </pic:pic>
              </a:graphicData>
            </a:graphic>
          </wp:inline>
        </w:drawing>
      </w:r>
    </w:p>
    <w:p w14:paraId="5FACA23F" w14:textId="77777777" w:rsidR="00FE064E" w:rsidRDefault="00FE064E" w:rsidP="00FE064E">
      <w:pPr>
        <w:pStyle w:val="Caption"/>
      </w:pPr>
      <w:bookmarkStart w:id="166" w:name="_Ref428786422"/>
      <w:r>
        <w:t xml:space="preserve">Figure </w:t>
      </w:r>
      <w:r w:rsidR="00DF548C">
        <w:t>E</w:t>
      </w:r>
      <w:r w:rsidR="00C07DC8">
        <w:t>7.</w:t>
      </w:r>
      <w:bookmarkEnd w:id="166"/>
      <w:r>
        <w:t xml:space="preserve"> Modelled </w:t>
      </w:r>
      <w:r w:rsidR="0093356A" w:rsidRPr="0093356A">
        <w:t>water level in the midpoint of each weir pool without environmental water (orange), without Commonwealth environmental water (green), and with all water (blue).</w:t>
      </w:r>
    </w:p>
    <w:p w14:paraId="7CD930A3" w14:textId="127DF9EA" w:rsidR="00AC72F2" w:rsidRDefault="00AC72F2" w:rsidP="00AC72F2">
      <w:pPr>
        <w:pStyle w:val="Caption"/>
        <w:rPr>
          <w:noProof/>
          <w:lang w:eastAsia="en-AU"/>
        </w:rPr>
      </w:pPr>
    </w:p>
    <w:p w14:paraId="52D1C2E7" w14:textId="2ABECB7D" w:rsidR="007850BC" w:rsidRDefault="007B1CEA" w:rsidP="00DA3A41">
      <w:pPr>
        <w:keepNext/>
      </w:pPr>
      <w:r>
        <w:rPr>
          <w:b/>
          <w:bCs/>
          <w:noProof/>
          <w:color w:val="auto"/>
          <w:sz w:val="20"/>
          <w:szCs w:val="18"/>
          <w:lang w:eastAsia="en-AU"/>
        </w:rPr>
        <w:lastRenderedPageBreak/>
        <w:drawing>
          <wp:inline distT="0" distB="0" distL="0" distR="0" wp14:anchorId="4BFF8EE2" wp14:editId="02D91547">
            <wp:extent cx="5724525" cy="7524750"/>
            <wp:effectExtent l="0" t="0" r="9525" b="0"/>
            <wp:docPr id="50" name="Picture 50" descr="D:\Documents\Dropbox\LTIM\LTIM\Assessment\Output\Velo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Dropbox\LTIM\LTIM\Assessment\Output\Velocity.png"/>
                    <pic:cNvPicPr>
                      <a:picLocks noChangeAspect="1" noChangeArrowheads="1"/>
                    </pic:cNvPicPr>
                  </pic:nvPicPr>
                  <pic:blipFill rotWithShape="1">
                    <a:blip r:embed="rId92" cstate="email">
                      <a:extLst>
                        <a:ext uri="{28A0092B-C50C-407E-A947-70E740481C1C}">
                          <a14:useLocalDpi xmlns:a14="http://schemas.microsoft.com/office/drawing/2010/main"/>
                        </a:ext>
                      </a:extLst>
                    </a:blip>
                    <a:srcRect t="4358"/>
                    <a:stretch/>
                  </pic:blipFill>
                  <pic:spPr bwMode="auto">
                    <a:xfrm>
                      <a:off x="0" y="0"/>
                      <a:ext cx="5724525" cy="7524750"/>
                    </a:xfrm>
                    <a:prstGeom prst="rect">
                      <a:avLst/>
                    </a:prstGeom>
                    <a:noFill/>
                    <a:ln>
                      <a:noFill/>
                    </a:ln>
                    <a:extLst>
                      <a:ext uri="{53640926-AAD7-44D8-BBD7-CCE9431645EC}">
                        <a14:shadowObscured xmlns:a14="http://schemas.microsoft.com/office/drawing/2010/main"/>
                      </a:ext>
                    </a:extLst>
                  </pic:spPr>
                </pic:pic>
              </a:graphicData>
            </a:graphic>
          </wp:inline>
        </w:drawing>
      </w:r>
    </w:p>
    <w:p w14:paraId="14976B9B" w14:textId="1AB7ACCB" w:rsidR="00D87663" w:rsidRPr="00974A8E" w:rsidRDefault="00DA3A41" w:rsidP="00AC72F2">
      <w:pPr>
        <w:pStyle w:val="Caption"/>
      </w:pPr>
      <w:bookmarkStart w:id="167" w:name="_Ref428788994"/>
      <w:r>
        <w:t xml:space="preserve">Figure </w:t>
      </w:r>
      <w:r w:rsidR="00DF548C">
        <w:t>E</w:t>
      </w:r>
      <w:r w:rsidR="00DF03BC">
        <w:t>8</w:t>
      </w:r>
      <w:r w:rsidR="00C07DC8">
        <w:t>.</w:t>
      </w:r>
      <w:bookmarkEnd w:id="167"/>
      <w:r>
        <w:t xml:space="preserve"> </w:t>
      </w:r>
      <w:r w:rsidRPr="00343B41">
        <w:t>M</w:t>
      </w:r>
      <w:r>
        <w:t xml:space="preserve">edian </w:t>
      </w:r>
      <w:r w:rsidR="0093356A">
        <w:t>m</w:t>
      </w:r>
      <w:r w:rsidR="0093356A" w:rsidRPr="00343B41">
        <w:t xml:space="preserve">odelled </w:t>
      </w:r>
      <w:r w:rsidR="0093356A">
        <w:t>velocity</w:t>
      </w:r>
      <w:r w:rsidR="0093356A" w:rsidRPr="00343B41">
        <w:t xml:space="preserve"> in</w:t>
      </w:r>
      <w:r w:rsidR="0093356A">
        <w:t xml:space="preserve"> each weir pool (line), with the 10</w:t>
      </w:r>
      <w:r w:rsidR="0093356A" w:rsidRPr="00E172F1">
        <w:rPr>
          <w:vertAlign w:val="superscript"/>
        </w:rPr>
        <w:t>th</w:t>
      </w:r>
      <w:r w:rsidR="0093356A">
        <w:t xml:space="preserve"> and 90</w:t>
      </w:r>
      <w:r w:rsidR="0093356A" w:rsidRPr="00E172F1">
        <w:rPr>
          <w:vertAlign w:val="superscript"/>
        </w:rPr>
        <w:t>th</w:t>
      </w:r>
      <w:r w:rsidR="0093356A">
        <w:t xml:space="preserve"> percentile 1D cross section velocities the shaded band. Scenarios presented are </w:t>
      </w:r>
      <w:r w:rsidR="0093356A" w:rsidRPr="00343B41">
        <w:t xml:space="preserve">without environmental water (orange), without </w:t>
      </w:r>
      <w:r w:rsidR="0093356A">
        <w:t>Commonwealth environmental water</w:t>
      </w:r>
      <w:r w:rsidR="0093356A" w:rsidRPr="00343B41">
        <w:t xml:space="preserve"> (green), and with all water (blue)</w:t>
      </w:r>
      <w:r w:rsidR="0093356A">
        <w:t>.</w:t>
      </w:r>
    </w:p>
    <w:p w14:paraId="1007CE36" w14:textId="542EF08F" w:rsidR="00223738" w:rsidRDefault="00223738" w:rsidP="00223738">
      <w:pPr>
        <w:rPr>
          <w:noProof/>
          <w:lang w:eastAsia="en-AU"/>
        </w:rPr>
      </w:pPr>
    </w:p>
    <w:p w14:paraId="397B8E46" w14:textId="5334D3F5" w:rsidR="005923D9" w:rsidRDefault="00E03F39" w:rsidP="005923D9">
      <w:pPr>
        <w:rPr>
          <w:noProof/>
          <w:lang w:eastAsia="en-AU"/>
        </w:rPr>
      </w:pPr>
      <w:r>
        <w:rPr>
          <w:noProof/>
          <w:color w:val="auto"/>
          <w:kern w:val="0"/>
          <w:sz w:val="16"/>
          <w:szCs w:val="16"/>
          <w:lang w:eastAsia="en-AU"/>
        </w:rPr>
        <w:lastRenderedPageBreak/>
        <w:drawing>
          <wp:inline distT="0" distB="0" distL="0" distR="0" wp14:anchorId="2AF3B371" wp14:editId="2CB45045">
            <wp:extent cx="5397247" cy="304008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WP5_WL.png"/>
                    <pic:cNvPicPr/>
                  </pic:nvPicPr>
                  <pic:blipFill rotWithShape="1">
                    <a:blip r:embed="rId93" cstate="email">
                      <a:extLst>
                        <a:ext uri="{28A0092B-C50C-407E-A947-70E740481C1C}">
                          <a14:useLocalDpi xmlns:a14="http://schemas.microsoft.com/office/drawing/2010/main"/>
                        </a:ext>
                      </a:extLst>
                    </a:blip>
                    <a:srcRect b="15534"/>
                    <a:stretch/>
                  </pic:blipFill>
                  <pic:spPr bwMode="auto">
                    <a:xfrm>
                      <a:off x="0" y="0"/>
                      <a:ext cx="5398019" cy="3040518"/>
                    </a:xfrm>
                    <a:prstGeom prst="rect">
                      <a:avLst/>
                    </a:prstGeom>
                    <a:ln>
                      <a:noFill/>
                    </a:ln>
                    <a:extLst>
                      <a:ext uri="{53640926-AAD7-44D8-BBD7-CCE9431645EC}">
                        <a14:shadowObscured xmlns:a14="http://schemas.microsoft.com/office/drawing/2010/main"/>
                      </a:ext>
                    </a:extLst>
                  </pic:spPr>
                </pic:pic>
              </a:graphicData>
            </a:graphic>
          </wp:inline>
        </w:drawing>
      </w:r>
      <w:r w:rsidR="003277C7">
        <w:rPr>
          <w:noProof/>
          <w:color w:val="auto"/>
          <w:kern w:val="0"/>
          <w:sz w:val="16"/>
          <w:szCs w:val="16"/>
          <w:lang w:eastAsia="en-AU"/>
        </w:rPr>
        <w:drawing>
          <wp:inline distT="0" distB="0" distL="0" distR="0" wp14:anchorId="5372C652" wp14:editId="6BB09391">
            <wp:extent cx="5397247" cy="276790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P5_V.png"/>
                    <pic:cNvPicPr/>
                  </pic:nvPicPr>
                  <pic:blipFill rotWithShape="1">
                    <a:blip r:embed="rId94" cstate="email">
                      <a:extLst>
                        <a:ext uri="{28A0092B-C50C-407E-A947-70E740481C1C}">
                          <a14:useLocalDpi xmlns:a14="http://schemas.microsoft.com/office/drawing/2010/main"/>
                        </a:ext>
                      </a:extLst>
                    </a:blip>
                    <a:srcRect t="23096"/>
                    <a:stretch/>
                  </pic:blipFill>
                  <pic:spPr bwMode="auto">
                    <a:xfrm>
                      <a:off x="0" y="0"/>
                      <a:ext cx="5398019" cy="2768303"/>
                    </a:xfrm>
                    <a:prstGeom prst="rect">
                      <a:avLst/>
                    </a:prstGeom>
                    <a:ln>
                      <a:noFill/>
                    </a:ln>
                    <a:extLst>
                      <a:ext uri="{53640926-AAD7-44D8-BBD7-CCE9431645EC}">
                        <a14:shadowObscured xmlns:a14="http://schemas.microsoft.com/office/drawing/2010/main"/>
                      </a:ext>
                    </a:extLst>
                  </pic:spPr>
                </pic:pic>
              </a:graphicData>
            </a:graphic>
          </wp:inline>
        </w:drawing>
      </w:r>
    </w:p>
    <w:p w14:paraId="167EAA3D" w14:textId="08A5B396" w:rsidR="00663580" w:rsidRDefault="00663580" w:rsidP="00663580">
      <w:pPr>
        <w:pStyle w:val="Caption"/>
      </w:pPr>
      <w:bookmarkStart w:id="168" w:name="_Ref428789739"/>
      <w:r>
        <w:t xml:space="preserve">Figure </w:t>
      </w:r>
      <w:r w:rsidR="00DF548C">
        <w:t>E</w:t>
      </w:r>
      <w:r w:rsidR="00DF03BC">
        <w:t>9</w:t>
      </w:r>
      <w:r w:rsidR="00C07DC8">
        <w:t>.</w:t>
      </w:r>
      <w:bookmarkEnd w:id="168"/>
      <w:r>
        <w:t xml:space="preserve"> Change </w:t>
      </w:r>
      <w:r w:rsidR="0093356A" w:rsidRPr="0093356A">
        <w:t xml:space="preserve">in </w:t>
      </w:r>
      <w:r w:rsidR="00047E55">
        <w:t xml:space="preserve">water level and velocity along the weir pool with and without CEW and with and without the weir pool raising for </w:t>
      </w:r>
      <w:r w:rsidR="000A28BD">
        <w:t xml:space="preserve">Weir Pool </w:t>
      </w:r>
      <w:r w:rsidR="00047E55">
        <w:t xml:space="preserve">5 on </w:t>
      </w:r>
      <w:r w:rsidR="002D74B0">
        <w:t>13</w:t>
      </w:r>
      <w:r w:rsidR="001D30F5">
        <w:t xml:space="preserve"> October 20</w:t>
      </w:r>
      <w:r w:rsidR="00047E55">
        <w:t xml:space="preserve">15. </w:t>
      </w:r>
      <w:r w:rsidR="00CC1B6C">
        <w:t>This day represents the largest difference between the scenarios</w:t>
      </w:r>
      <w:r w:rsidR="00047E55">
        <w:t xml:space="preserve">, with the weir pool at the maximum raising, and the largest volume of </w:t>
      </w:r>
      <w:r w:rsidR="000A24D6">
        <w:t>CEW</w:t>
      </w:r>
      <w:r w:rsidR="00047E55">
        <w:t xml:space="preserve"> delivered at the time of the raising.</w:t>
      </w:r>
    </w:p>
    <w:p w14:paraId="1455979E" w14:textId="2F0007BA" w:rsidR="00A8071F" w:rsidRDefault="00A8071F" w:rsidP="00C01B12">
      <w:pPr>
        <w:pStyle w:val="Caption"/>
        <w:rPr>
          <w:noProof/>
          <w:lang w:eastAsia="en-AU"/>
        </w:rPr>
      </w:pPr>
    </w:p>
    <w:p w14:paraId="3A8CAB23" w14:textId="77777777" w:rsidR="007850BC" w:rsidRDefault="007850BC" w:rsidP="007850BC">
      <w:pPr>
        <w:rPr>
          <w:lang w:eastAsia="en-AU"/>
        </w:rPr>
      </w:pPr>
    </w:p>
    <w:p w14:paraId="1759DD94" w14:textId="416BDA16" w:rsidR="005923D9" w:rsidRDefault="003277C7" w:rsidP="005923D9">
      <w:pPr>
        <w:rPr>
          <w:lang w:eastAsia="en-AU"/>
        </w:rPr>
      </w:pPr>
      <w:r>
        <w:rPr>
          <w:noProof/>
          <w:color w:val="auto"/>
          <w:kern w:val="0"/>
          <w:sz w:val="16"/>
          <w:szCs w:val="16"/>
          <w:lang w:eastAsia="en-AU"/>
        </w:rPr>
        <w:lastRenderedPageBreak/>
        <w:drawing>
          <wp:inline distT="0" distB="0" distL="0" distR="0" wp14:anchorId="293DCB13" wp14:editId="187C2C8F">
            <wp:extent cx="5397247" cy="3063834"/>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WP2_WL.png"/>
                    <pic:cNvPicPr/>
                  </pic:nvPicPr>
                  <pic:blipFill rotWithShape="1">
                    <a:blip r:embed="rId67" cstate="email">
                      <a:extLst>
                        <a:ext uri="{28A0092B-C50C-407E-A947-70E740481C1C}">
                          <a14:useLocalDpi xmlns:a14="http://schemas.microsoft.com/office/drawing/2010/main"/>
                        </a:ext>
                      </a:extLst>
                    </a:blip>
                    <a:srcRect b="14874"/>
                    <a:stretch/>
                  </pic:blipFill>
                  <pic:spPr bwMode="auto">
                    <a:xfrm>
                      <a:off x="0" y="0"/>
                      <a:ext cx="5398019" cy="3064272"/>
                    </a:xfrm>
                    <a:prstGeom prst="rect">
                      <a:avLst/>
                    </a:prstGeom>
                    <a:ln>
                      <a:noFill/>
                    </a:ln>
                    <a:extLst>
                      <a:ext uri="{53640926-AAD7-44D8-BBD7-CCE9431645EC}">
                        <a14:shadowObscured xmlns:a14="http://schemas.microsoft.com/office/drawing/2010/main"/>
                      </a:ext>
                    </a:extLst>
                  </pic:spPr>
                </pic:pic>
              </a:graphicData>
            </a:graphic>
          </wp:inline>
        </w:drawing>
      </w:r>
      <w:r>
        <w:rPr>
          <w:noProof/>
          <w:color w:val="auto"/>
          <w:kern w:val="0"/>
          <w:sz w:val="16"/>
          <w:szCs w:val="16"/>
          <w:lang w:eastAsia="en-AU"/>
        </w:rPr>
        <w:drawing>
          <wp:inline distT="0" distB="0" distL="0" distR="0" wp14:anchorId="3DCD60B4" wp14:editId="29533CDC">
            <wp:extent cx="5397247" cy="2791658"/>
            <wp:effectExtent l="0" t="0" r="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WP2_V.png"/>
                    <pic:cNvPicPr/>
                  </pic:nvPicPr>
                  <pic:blipFill rotWithShape="1">
                    <a:blip r:embed="rId68" cstate="email">
                      <a:extLst>
                        <a:ext uri="{28A0092B-C50C-407E-A947-70E740481C1C}">
                          <a14:useLocalDpi xmlns:a14="http://schemas.microsoft.com/office/drawing/2010/main"/>
                        </a:ext>
                      </a:extLst>
                    </a:blip>
                    <a:srcRect t="22436"/>
                    <a:stretch/>
                  </pic:blipFill>
                  <pic:spPr bwMode="auto">
                    <a:xfrm>
                      <a:off x="0" y="0"/>
                      <a:ext cx="5398019" cy="2792057"/>
                    </a:xfrm>
                    <a:prstGeom prst="rect">
                      <a:avLst/>
                    </a:prstGeom>
                    <a:ln>
                      <a:noFill/>
                    </a:ln>
                    <a:extLst>
                      <a:ext uri="{53640926-AAD7-44D8-BBD7-CCE9431645EC}">
                        <a14:shadowObscured xmlns:a14="http://schemas.microsoft.com/office/drawing/2010/main"/>
                      </a:ext>
                    </a:extLst>
                  </pic:spPr>
                </pic:pic>
              </a:graphicData>
            </a:graphic>
          </wp:inline>
        </w:drawing>
      </w:r>
    </w:p>
    <w:p w14:paraId="32A63761" w14:textId="35565723" w:rsidR="00911210" w:rsidRDefault="00663580" w:rsidP="0093356A">
      <w:pPr>
        <w:pStyle w:val="Caption"/>
        <w:rPr>
          <w:bCs w:val="0"/>
        </w:rPr>
      </w:pPr>
      <w:bookmarkStart w:id="169" w:name="_Ref428789746"/>
      <w:r>
        <w:t xml:space="preserve">Figure </w:t>
      </w:r>
      <w:r w:rsidR="00DF548C">
        <w:t>E</w:t>
      </w:r>
      <w:r w:rsidR="00C07DC8">
        <w:t>1</w:t>
      </w:r>
      <w:r w:rsidR="00DF03BC">
        <w:t>0</w:t>
      </w:r>
      <w:r w:rsidR="00C07DC8">
        <w:t>.</w:t>
      </w:r>
      <w:bookmarkEnd w:id="169"/>
      <w:r>
        <w:t xml:space="preserve"> </w:t>
      </w:r>
      <w:r w:rsidR="0030091B">
        <w:t xml:space="preserve">Change </w:t>
      </w:r>
      <w:r w:rsidR="0030091B" w:rsidRPr="0093356A">
        <w:t xml:space="preserve">in </w:t>
      </w:r>
      <w:r w:rsidR="0030091B">
        <w:t xml:space="preserve">water level and velocity along the weir pool with and without CEW and with and without </w:t>
      </w:r>
      <w:r w:rsidR="002D74B0">
        <w:t xml:space="preserve">the weir pool raising for </w:t>
      </w:r>
      <w:r w:rsidR="000A28BD">
        <w:t xml:space="preserve">Weir Pool </w:t>
      </w:r>
      <w:r w:rsidR="002D74B0">
        <w:t>2</w:t>
      </w:r>
      <w:r w:rsidR="0030091B">
        <w:t xml:space="preserve"> on </w:t>
      </w:r>
      <w:r w:rsidR="004C4B05">
        <w:t>3</w:t>
      </w:r>
      <w:r w:rsidR="002D74B0">
        <w:t>1</w:t>
      </w:r>
      <w:r w:rsidR="001D30F5">
        <w:t xml:space="preserve"> October 2</w:t>
      </w:r>
      <w:r w:rsidR="004C4B05">
        <w:t>0</w:t>
      </w:r>
      <w:r w:rsidR="0030091B">
        <w:t xml:space="preserve">15. This day </w:t>
      </w:r>
      <w:r w:rsidR="00531F59">
        <w:t>represents the largest</w:t>
      </w:r>
      <w:r w:rsidR="00693516">
        <w:t xml:space="preserve"> difference</w:t>
      </w:r>
      <w:r w:rsidR="00531F59">
        <w:t xml:space="preserve"> between the scenarios</w:t>
      </w:r>
      <w:r w:rsidR="0030091B">
        <w:t>, with the weir pool at the maximum raising, and the largest volume of CEW delivered at the time of the raising.</w:t>
      </w:r>
      <w:r w:rsidR="00911210">
        <w:rPr>
          <w:b w:val="0"/>
        </w:rPr>
        <w:br w:type="page"/>
      </w:r>
    </w:p>
    <w:p w14:paraId="2DA759CF" w14:textId="77777777" w:rsidR="00D663A9" w:rsidRPr="00553606" w:rsidRDefault="00911210" w:rsidP="00911210">
      <w:pPr>
        <w:pStyle w:val="Heading1"/>
        <w:numPr>
          <w:ilvl w:val="0"/>
          <w:numId w:val="0"/>
        </w:numPr>
      </w:pPr>
      <w:bookmarkStart w:id="170" w:name="_Toc441838752"/>
      <w:bookmarkStart w:id="171" w:name="_Toc474147077"/>
      <w:r w:rsidRPr="00553606">
        <w:lastRenderedPageBreak/>
        <w:t xml:space="preserve">Appendix </w:t>
      </w:r>
      <w:r w:rsidR="0047367A">
        <w:t>F</w:t>
      </w:r>
      <w:r w:rsidRPr="00553606">
        <w:t xml:space="preserve">: </w:t>
      </w:r>
      <w:r w:rsidR="00D663A9" w:rsidRPr="00553606">
        <w:t>Matter Transport</w:t>
      </w:r>
      <w:bookmarkEnd w:id="170"/>
      <w:bookmarkEnd w:id="171"/>
      <w:r w:rsidR="00D663A9" w:rsidRPr="00553606">
        <w:t xml:space="preserve"> </w:t>
      </w:r>
    </w:p>
    <w:p w14:paraId="082D1E50" w14:textId="77777777" w:rsidR="009A4022" w:rsidRDefault="009A4022" w:rsidP="00E4596A">
      <w:pPr>
        <w:rPr>
          <w:b/>
          <w:color w:val="1F497D" w:themeColor="text2"/>
          <w:sz w:val="26"/>
          <w:szCs w:val="26"/>
        </w:rPr>
      </w:pPr>
      <w:r>
        <w:rPr>
          <w:b/>
          <w:color w:val="1F497D" w:themeColor="text2"/>
          <w:sz w:val="26"/>
          <w:szCs w:val="26"/>
        </w:rPr>
        <w:t>Background</w:t>
      </w:r>
    </w:p>
    <w:p w14:paraId="45F09ACF" w14:textId="77777777" w:rsidR="009A4022" w:rsidRPr="00A67C76" w:rsidRDefault="009A4022" w:rsidP="009A4022">
      <w:r w:rsidRPr="00A67C76">
        <w:t xml:space="preserve">Flow provides habitat and resources for aquatic organisms by altering the concentrations and transport of dissolved and particulate </w:t>
      </w:r>
      <w:r>
        <w:t>matter</w:t>
      </w:r>
      <w:r w:rsidRPr="00A67C76">
        <w:t>. Here we consider di</w:t>
      </w:r>
      <w:r>
        <w:t>ssolved and particulate matter</w:t>
      </w:r>
      <w:r w:rsidRPr="00A67C76">
        <w:t xml:space="preserve"> to include:</w:t>
      </w:r>
    </w:p>
    <w:p w14:paraId="3A6FD66F" w14:textId="66910B0A" w:rsidR="009A4022" w:rsidRPr="00A67C76" w:rsidRDefault="006F67CD" w:rsidP="009A4022">
      <w:pPr>
        <w:pStyle w:val="ListParagraph"/>
        <w:numPr>
          <w:ilvl w:val="0"/>
          <w:numId w:val="29"/>
        </w:numPr>
        <w:ind w:left="1134" w:hanging="425"/>
      </w:pPr>
      <w:r>
        <w:t>S</w:t>
      </w:r>
      <w:r w:rsidR="009A4022" w:rsidRPr="00A67C76">
        <w:t xml:space="preserve">alinity, which is a measure of total dissolved salts and is </w:t>
      </w:r>
      <w:r w:rsidR="009A4022">
        <w:t>a key</w:t>
      </w:r>
      <w:r w:rsidR="009A4022" w:rsidRPr="00A67C76">
        <w:t xml:space="preserve"> parameter governing the distribution and abundance of aquatic biota. Salinity is strongly influenced by flow through the alteration of groundwater inputs, evapoconcentration and intrusions of seawater </w:t>
      </w:r>
      <w:r w:rsidR="009A4022" w:rsidRPr="00A67C76">
        <w:rPr>
          <w:noProof/>
        </w:rPr>
        <w:t>(</w:t>
      </w:r>
      <w:r w:rsidR="009A4022" w:rsidRPr="00A67C76">
        <w:rPr>
          <w:rFonts w:eastAsia="Arial Unicode MS"/>
          <w:noProof/>
        </w:rPr>
        <w:t>Brookes</w:t>
      </w:r>
      <w:r w:rsidR="009A4022" w:rsidRPr="00A67C76">
        <w:rPr>
          <w:rFonts w:eastAsia="Arial Unicode MS"/>
          <w:i/>
          <w:noProof/>
        </w:rPr>
        <w:t xml:space="preserve"> et al.</w:t>
      </w:r>
      <w:r w:rsidR="009A4022" w:rsidRPr="00A67C76">
        <w:rPr>
          <w:rFonts w:eastAsia="Arial Unicode MS"/>
          <w:noProof/>
        </w:rPr>
        <w:t xml:space="preserve"> 2009; Aldridge</w:t>
      </w:r>
      <w:r w:rsidR="009A4022" w:rsidRPr="00A67C76">
        <w:rPr>
          <w:rFonts w:eastAsia="Arial Unicode MS"/>
          <w:i/>
          <w:noProof/>
        </w:rPr>
        <w:t xml:space="preserve"> et al.</w:t>
      </w:r>
      <w:r w:rsidR="009A4022" w:rsidRPr="00A67C76">
        <w:rPr>
          <w:rFonts w:eastAsia="Arial Unicode MS"/>
          <w:noProof/>
        </w:rPr>
        <w:t xml:space="preserve"> 2011; 2012; Mosley</w:t>
      </w:r>
      <w:r w:rsidR="009A4022" w:rsidRPr="00A67C76">
        <w:rPr>
          <w:rFonts w:eastAsia="Arial Unicode MS"/>
          <w:i/>
          <w:noProof/>
        </w:rPr>
        <w:t xml:space="preserve"> et al.</w:t>
      </w:r>
      <w:r w:rsidR="009A4022" w:rsidRPr="00A67C76">
        <w:rPr>
          <w:rFonts w:eastAsia="Arial Unicode MS"/>
          <w:noProof/>
        </w:rPr>
        <w:t xml:space="preserve"> 2012</w:t>
      </w:r>
      <w:r w:rsidR="009A4022" w:rsidRPr="00A67C76">
        <w:rPr>
          <w:noProof/>
        </w:rPr>
        <w:t>)</w:t>
      </w:r>
      <w:r w:rsidR="009A4022">
        <w:t>.</w:t>
      </w:r>
    </w:p>
    <w:p w14:paraId="6F8234FE" w14:textId="76688807" w:rsidR="009A4022" w:rsidRPr="00A67C76" w:rsidRDefault="006F67CD" w:rsidP="009A4022">
      <w:pPr>
        <w:pStyle w:val="ListParagraph"/>
        <w:numPr>
          <w:ilvl w:val="0"/>
          <w:numId w:val="29"/>
        </w:numPr>
        <w:ind w:left="1134" w:hanging="425"/>
      </w:pPr>
      <w:r>
        <w:t>D</w:t>
      </w:r>
      <w:r w:rsidR="009A4022" w:rsidRPr="00A67C76">
        <w:t xml:space="preserve">issolved </w:t>
      </w:r>
      <w:r w:rsidR="009A4022">
        <w:t xml:space="preserve">inorganic nutrients, which are essential resources for the growth and survival </w:t>
      </w:r>
      <w:r w:rsidR="00077689">
        <w:t xml:space="preserve">of </w:t>
      </w:r>
      <w:r w:rsidR="009A4022">
        <w:t xml:space="preserve">biota and are readily assimilated </w:t>
      </w:r>
      <w:r w:rsidR="009A4022" w:rsidRPr="00A67C76">
        <w:rPr>
          <w:noProof/>
        </w:rPr>
        <w:t>(Poff</w:t>
      </w:r>
      <w:r w:rsidR="009A4022" w:rsidRPr="00A67C76">
        <w:rPr>
          <w:i/>
          <w:noProof/>
        </w:rPr>
        <w:t xml:space="preserve"> et al.</w:t>
      </w:r>
      <w:r w:rsidR="009A4022" w:rsidRPr="00A67C76">
        <w:rPr>
          <w:noProof/>
        </w:rPr>
        <w:t xml:space="preserve"> 1997)</w:t>
      </w:r>
      <w:r w:rsidR="009A4022" w:rsidRPr="00A67C76">
        <w:t>. Nitrogen, phosphorus and silica are particularly important because they often control the productivity of aquatic ecosystems. Flow results in the mobilisation and transport of dissolved nutrients through the leaching of nutrients from dried sediments and dead organic matter.</w:t>
      </w:r>
    </w:p>
    <w:p w14:paraId="7137D7DA" w14:textId="3BB3B170" w:rsidR="009A4022" w:rsidRPr="00A67C76" w:rsidRDefault="006F67CD" w:rsidP="009A4022">
      <w:pPr>
        <w:pStyle w:val="ListParagraph"/>
        <w:numPr>
          <w:ilvl w:val="0"/>
          <w:numId w:val="29"/>
        </w:numPr>
        <w:ind w:left="1134" w:hanging="425"/>
      </w:pPr>
      <w:r>
        <w:t>P</w:t>
      </w:r>
      <w:r w:rsidR="009A4022" w:rsidRPr="00A67C76">
        <w:t>articulate organic nutrients (phosphorus and nitrogen), which are those nutrients incorporated into the tissue of living and dead organisms. Flow can influence particulate organic nutrient concentrations and transport through a number of mechanisms, including through increased productivity associated with elevated dissolved nutrient concentrations.</w:t>
      </w:r>
    </w:p>
    <w:p w14:paraId="0660AF79" w14:textId="77777777" w:rsidR="009A4022" w:rsidRPr="00A67C76" w:rsidRDefault="006F67CD" w:rsidP="009A4022">
      <w:pPr>
        <w:pStyle w:val="ListParagraph"/>
        <w:numPr>
          <w:ilvl w:val="0"/>
          <w:numId w:val="29"/>
        </w:numPr>
        <w:ind w:left="1134" w:hanging="425"/>
      </w:pPr>
      <w:r>
        <w:t>C</w:t>
      </w:r>
      <w:r w:rsidR="009A4022" w:rsidRPr="00A67C76">
        <w:t xml:space="preserve">hlorophyll </w:t>
      </w:r>
      <w:r w:rsidR="009A4022" w:rsidRPr="00A67C76">
        <w:rPr>
          <w:i/>
        </w:rPr>
        <w:t>a</w:t>
      </w:r>
      <w:r w:rsidR="009A4022" w:rsidRPr="00A67C76">
        <w:t xml:space="preserve">, which is a measure of phytoplankton biomass, with phytoplankton being an important primary producer of riverine ecosystems. Flow can influence chlorophyll </w:t>
      </w:r>
      <w:r w:rsidR="009A4022" w:rsidRPr="00A67C76">
        <w:rPr>
          <w:i/>
        </w:rPr>
        <w:t>a</w:t>
      </w:r>
      <w:r w:rsidR="009A4022" w:rsidRPr="00A67C76">
        <w:t xml:space="preserve"> concentrations and transport through increased phytoplankton productivity. </w:t>
      </w:r>
    </w:p>
    <w:p w14:paraId="7E3BEE49" w14:textId="72481E5E" w:rsidR="009A4022" w:rsidRPr="00A67C76" w:rsidRDefault="00036CFC" w:rsidP="009A4022">
      <w:r w:rsidRPr="00A67C76">
        <w:rPr>
          <w:rFonts w:eastAsia="Arial Unicode MS"/>
          <w:lang w:eastAsia="en-AU"/>
        </w:rPr>
        <w:t xml:space="preserve">Altering the flow regime of riverine systems </w:t>
      </w:r>
      <w:r w:rsidR="00077689">
        <w:rPr>
          <w:rFonts w:eastAsia="Arial Unicode MS"/>
          <w:lang w:eastAsia="en-AU"/>
        </w:rPr>
        <w:t>can</w:t>
      </w:r>
      <w:r w:rsidRPr="00A67C76">
        <w:rPr>
          <w:rFonts w:eastAsia="Arial Unicode MS"/>
          <w:lang w:eastAsia="en-AU"/>
        </w:rPr>
        <w:t xml:space="preserve"> </w:t>
      </w:r>
      <w:r w:rsidR="00077689">
        <w:rPr>
          <w:rFonts w:eastAsia="Arial Unicode MS"/>
          <w:lang w:eastAsia="en-AU"/>
        </w:rPr>
        <w:t>alter</w:t>
      </w:r>
      <w:r w:rsidRPr="00A67C76">
        <w:rPr>
          <w:rFonts w:eastAsia="Arial Unicode MS"/>
          <w:lang w:eastAsia="en-AU"/>
        </w:rPr>
        <w:t xml:space="preserve"> the concentrations and transport of dissolved and particulate </w:t>
      </w:r>
      <w:r>
        <w:rPr>
          <w:rFonts w:eastAsia="Arial Unicode MS"/>
          <w:lang w:eastAsia="en-AU"/>
        </w:rPr>
        <w:t>matter</w:t>
      </w:r>
      <w:r w:rsidRPr="00A67C76">
        <w:rPr>
          <w:rFonts w:eastAsia="Arial Unicode MS"/>
          <w:lang w:eastAsia="en-AU"/>
        </w:rPr>
        <w:t xml:space="preserve"> (</w:t>
      </w:r>
      <w:r w:rsidRPr="00A67C76">
        <w:rPr>
          <w:rFonts w:eastAsia="Arial Unicode MS"/>
          <w:noProof/>
          <w:lang w:eastAsia="en-AU"/>
        </w:rPr>
        <w:t>Aldridge</w:t>
      </w:r>
      <w:r w:rsidRPr="00A67C76">
        <w:rPr>
          <w:rFonts w:eastAsia="Arial Unicode MS"/>
          <w:i/>
          <w:noProof/>
          <w:lang w:eastAsia="en-AU"/>
        </w:rPr>
        <w:t xml:space="preserve"> et al.</w:t>
      </w:r>
      <w:r w:rsidRPr="00A67C76">
        <w:rPr>
          <w:rFonts w:eastAsia="Arial Unicode MS"/>
          <w:noProof/>
          <w:lang w:eastAsia="en-AU"/>
        </w:rPr>
        <w:t xml:space="preserve"> 2012</w:t>
      </w:r>
      <w:r w:rsidRPr="00A67C76">
        <w:rPr>
          <w:rFonts w:eastAsia="Arial Unicode MS"/>
          <w:lang w:eastAsia="en-AU"/>
        </w:rPr>
        <w:t xml:space="preserve">). For example, reduced flow can result in salinisation through evapoconcentration and the intrusion of saline water; reduced </w:t>
      </w:r>
      <w:r w:rsidR="009A4022" w:rsidRPr="00A67C76">
        <w:rPr>
          <w:rFonts w:eastAsia="Arial Unicode MS"/>
          <w:lang w:eastAsia="en-AU"/>
        </w:rPr>
        <w:t xml:space="preserve">nutrient concentrations due to decreased mobilisation of nutrients from the floodplain; reduced primary productivity because of nutrient limitation; and thus </w:t>
      </w:r>
      <w:r w:rsidR="009A4022" w:rsidRPr="00A67C76">
        <w:rPr>
          <w:rFonts w:eastAsia="Arial Unicode MS"/>
          <w:lang w:eastAsia="en-AU"/>
        </w:rPr>
        <w:lastRenderedPageBreak/>
        <w:t>reduced secondary productivity. Such observations have been made in the Murray</w:t>
      </w:r>
      <w:r w:rsidR="009A4022">
        <w:rPr>
          <w:rFonts w:eastAsia="Arial Unicode MS"/>
          <w:lang w:eastAsia="en-AU"/>
        </w:rPr>
        <w:t xml:space="preserve"> River</w:t>
      </w:r>
      <w:r w:rsidR="009A4022" w:rsidRPr="00A67C76">
        <w:rPr>
          <w:rFonts w:eastAsia="Arial Unicode MS"/>
          <w:lang w:eastAsia="en-AU"/>
        </w:rPr>
        <w:t xml:space="preserve">, including the </w:t>
      </w:r>
      <w:r w:rsidR="00D22E4C">
        <w:rPr>
          <w:rFonts w:eastAsia="Arial Unicode MS"/>
          <w:lang w:eastAsia="en-AU"/>
        </w:rPr>
        <w:t>LMR</w:t>
      </w:r>
      <w:r w:rsidR="009A4022" w:rsidRPr="00A67C76">
        <w:rPr>
          <w:rFonts w:eastAsia="Arial Unicode MS"/>
          <w:lang w:eastAsia="en-AU"/>
        </w:rPr>
        <w:t xml:space="preserve">, Lower Lakes and Coorong </w:t>
      </w:r>
      <w:r w:rsidR="009A4022" w:rsidRPr="00A67C76">
        <w:rPr>
          <w:rFonts w:eastAsia="Arial Unicode MS"/>
          <w:noProof/>
          <w:lang w:eastAsia="en-AU"/>
        </w:rPr>
        <w:t>(Brookes</w:t>
      </w:r>
      <w:r w:rsidR="009A4022" w:rsidRPr="00A67C76">
        <w:rPr>
          <w:rFonts w:eastAsia="Arial Unicode MS"/>
          <w:i/>
          <w:noProof/>
          <w:lang w:eastAsia="en-AU"/>
        </w:rPr>
        <w:t xml:space="preserve"> et al.</w:t>
      </w:r>
      <w:r w:rsidR="009A4022" w:rsidRPr="00A67C76">
        <w:rPr>
          <w:rFonts w:eastAsia="Arial Unicode MS"/>
          <w:noProof/>
          <w:lang w:eastAsia="en-AU"/>
        </w:rPr>
        <w:t xml:space="preserve"> 2009; Aldridge</w:t>
      </w:r>
      <w:r w:rsidR="009A4022" w:rsidRPr="00A67C76">
        <w:rPr>
          <w:rFonts w:eastAsia="Arial Unicode MS"/>
          <w:i/>
          <w:noProof/>
          <w:lang w:eastAsia="en-AU"/>
        </w:rPr>
        <w:t xml:space="preserve"> et al.</w:t>
      </w:r>
      <w:r w:rsidR="009A4022" w:rsidRPr="00A67C76">
        <w:rPr>
          <w:rFonts w:eastAsia="Arial Unicode MS"/>
          <w:noProof/>
          <w:lang w:eastAsia="en-AU"/>
        </w:rPr>
        <w:t xml:space="preserve"> 2011; 2012; Mosley</w:t>
      </w:r>
      <w:r w:rsidR="009A4022" w:rsidRPr="00A67C76">
        <w:rPr>
          <w:rFonts w:eastAsia="Arial Unicode MS"/>
          <w:i/>
          <w:noProof/>
          <w:lang w:eastAsia="en-AU"/>
        </w:rPr>
        <w:t xml:space="preserve"> et al.</w:t>
      </w:r>
      <w:r w:rsidR="009A4022" w:rsidRPr="00A67C76">
        <w:rPr>
          <w:rFonts w:eastAsia="Arial Unicode MS"/>
          <w:noProof/>
          <w:lang w:eastAsia="en-AU"/>
        </w:rPr>
        <w:t xml:space="preserve"> 2012)</w:t>
      </w:r>
      <w:r w:rsidR="009A4022" w:rsidRPr="00A67C76">
        <w:t xml:space="preserve">. </w:t>
      </w:r>
    </w:p>
    <w:p w14:paraId="5C31576F" w14:textId="1407B9F0" w:rsidR="009A4022" w:rsidRDefault="00036CFC" w:rsidP="009A4022">
      <w:r w:rsidRPr="00A67C76">
        <w:t xml:space="preserve">Environmental flow deliveries may be used to reinstate some of the natural processes that control the concentrations and transport of dissolved and particulate </w:t>
      </w:r>
      <w:r>
        <w:t>matter (</w:t>
      </w:r>
      <w:r w:rsidRPr="00A67C76">
        <w:rPr>
          <w:rFonts w:eastAsia="Arial Unicode MS"/>
          <w:noProof/>
          <w:lang w:eastAsia="en-AU"/>
        </w:rPr>
        <w:t>Aldridge</w:t>
      </w:r>
      <w:r w:rsidRPr="00A67C76">
        <w:rPr>
          <w:rFonts w:eastAsia="Arial Unicode MS"/>
          <w:i/>
          <w:noProof/>
          <w:lang w:eastAsia="en-AU"/>
        </w:rPr>
        <w:t xml:space="preserve"> et al.</w:t>
      </w:r>
      <w:r w:rsidRPr="00A67C76">
        <w:rPr>
          <w:rFonts w:eastAsia="Arial Unicode MS"/>
          <w:noProof/>
          <w:lang w:eastAsia="en-AU"/>
        </w:rPr>
        <w:t xml:space="preserve"> 2012</w:t>
      </w:r>
      <w:r>
        <w:rPr>
          <w:rFonts w:eastAsia="Arial Unicode MS"/>
          <w:noProof/>
          <w:lang w:eastAsia="en-AU"/>
        </w:rPr>
        <w:t xml:space="preserve">; 2013; Ye </w:t>
      </w:r>
      <w:r w:rsidRPr="00B47B27">
        <w:rPr>
          <w:rFonts w:eastAsia="Arial Unicode MS"/>
          <w:i/>
          <w:noProof/>
          <w:lang w:eastAsia="en-AU"/>
        </w:rPr>
        <w:t>et al</w:t>
      </w:r>
      <w:r>
        <w:rPr>
          <w:rFonts w:eastAsia="Arial Unicode MS"/>
          <w:noProof/>
          <w:lang w:eastAsia="en-AU"/>
        </w:rPr>
        <w:t>. 2015a</w:t>
      </w:r>
      <w:r w:rsidR="00077689">
        <w:rPr>
          <w:rFonts w:eastAsia="Arial Unicode MS"/>
          <w:noProof/>
          <w:lang w:eastAsia="en-AU"/>
        </w:rPr>
        <w:t>; 2015</w:t>
      </w:r>
      <w:r>
        <w:rPr>
          <w:rFonts w:eastAsia="Arial Unicode MS"/>
          <w:noProof/>
          <w:lang w:eastAsia="en-AU"/>
        </w:rPr>
        <w:t>b; 2016</w:t>
      </w:r>
      <w:r w:rsidR="008F1A86">
        <w:rPr>
          <w:rFonts w:eastAsia="Arial Unicode MS"/>
          <w:noProof/>
          <w:lang w:eastAsia="en-AU"/>
        </w:rPr>
        <w:t>a</w:t>
      </w:r>
      <w:r>
        <w:t>)</w:t>
      </w:r>
      <w:r w:rsidRPr="00A67C76">
        <w:t xml:space="preserve">. In doing so, these flows may provide ecological benefits through the provision of habitat and resources for biota. </w:t>
      </w:r>
      <w:r>
        <w:rPr>
          <w:lang w:val="en-US"/>
        </w:rPr>
        <w:t xml:space="preserve">To assess the </w:t>
      </w:r>
      <w:r>
        <w:t>contribution of environmental water use</w:t>
      </w:r>
      <w:r>
        <w:rPr>
          <w:lang w:val="en-US"/>
        </w:rPr>
        <w:t xml:space="preserve"> to matter transport in 2015/16, a hydrodynamic-biogeochemical model was applied for the region below Lock 1 to the Murray Mouth. The model was</w:t>
      </w:r>
      <w:r w:rsidRPr="00A67C76">
        <w:t xml:space="preserve"> validate</w:t>
      </w:r>
      <w:r>
        <w:t>d</w:t>
      </w:r>
      <w:r w:rsidRPr="00A67C76">
        <w:t xml:space="preserve"> </w:t>
      </w:r>
      <w:r>
        <w:t>with water quality data</w:t>
      </w:r>
      <w:r w:rsidR="009A4022">
        <w:t xml:space="preserve">. </w:t>
      </w:r>
    </w:p>
    <w:p w14:paraId="6BF43355" w14:textId="105A6C5B" w:rsidR="009162CC" w:rsidRPr="00553606" w:rsidRDefault="00553606" w:rsidP="00E4596A">
      <w:pPr>
        <w:rPr>
          <w:b/>
          <w:color w:val="1F497D" w:themeColor="text2"/>
          <w:sz w:val="26"/>
          <w:szCs w:val="26"/>
        </w:rPr>
      </w:pPr>
      <w:r w:rsidRPr="00553606">
        <w:rPr>
          <w:b/>
          <w:color w:val="1F497D" w:themeColor="text2"/>
          <w:sz w:val="26"/>
          <w:szCs w:val="26"/>
        </w:rPr>
        <w:t xml:space="preserve">Water </w:t>
      </w:r>
      <w:r w:rsidR="00AD036D">
        <w:rPr>
          <w:b/>
          <w:color w:val="1F497D" w:themeColor="text2"/>
          <w:sz w:val="26"/>
          <w:szCs w:val="26"/>
        </w:rPr>
        <w:t>q</w:t>
      </w:r>
      <w:r w:rsidRPr="00553606">
        <w:rPr>
          <w:b/>
          <w:color w:val="1F497D" w:themeColor="text2"/>
          <w:sz w:val="26"/>
          <w:szCs w:val="26"/>
        </w:rPr>
        <w:t xml:space="preserve">uality </w:t>
      </w:r>
      <w:r w:rsidR="00AD036D">
        <w:rPr>
          <w:b/>
          <w:color w:val="1F497D" w:themeColor="text2"/>
          <w:sz w:val="26"/>
          <w:szCs w:val="26"/>
        </w:rPr>
        <w:t>s</w:t>
      </w:r>
      <w:r w:rsidRPr="00553606">
        <w:rPr>
          <w:b/>
          <w:color w:val="1F497D" w:themeColor="text2"/>
          <w:sz w:val="26"/>
          <w:szCs w:val="26"/>
        </w:rPr>
        <w:t xml:space="preserve">ampling and </w:t>
      </w:r>
      <w:r w:rsidR="00AD036D">
        <w:rPr>
          <w:b/>
          <w:color w:val="1F497D" w:themeColor="text2"/>
          <w:sz w:val="26"/>
          <w:szCs w:val="26"/>
        </w:rPr>
        <w:t>a</w:t>
      </w:r>
      <w:r w:rsidRPr="00553606">
        <w:rPr>
          <w:b/>
          <w:color w:val="1F497D" w:themeColor="text2"/>
          <w:sz w:val="26"/>
          <w:szCs w:val="26"/>
        </w:rPr>
        <w:t>nalyses</w:t>
      </w:r>
    </w:p>
    <w:p w14:paraId="1262474E" w14:textId="1AFF089A" w:rsidR="003669D5" w:rsidRDefault="00036CFC" w:rsidP="003669D5">
      <w:bookmarkStart w:id="172" w:name="_Ref433017708"/>
      <w:r w:rsidRPr="00A67C76">
        <w:t xml:space="preserve">Water quality was monitored between </w:t>
      </w:r>
      <w:r>
        <w:t>July</w:t>
      </w:r>
      <w:r w:rsidRPr="00A67C76">
        <w:t xml:space="preserve"> 201</w:t>
      </w:r>
      <w:r>
        <w:t>5</w:t>
      </w:r>
      <w:r w:rsidRPr="00A67C76">
        <w:t xml:space="preserve"> and </w:t>
      </w:r>
      <w:r>
        <w:t>June 2016 (Table F</w:t>
      </w:r>
      <w:r w:rsidRPr="00EA458F">
        <w:t>1).</w:t>
      </w:r>
      <w:r w:rsidRPr="00A67C76">
        <w:t xml:space="preserve"> At each sampling site, measurements of water temperature, electrical conductivity, dissolved oxygen, pH and turbidity were taken. In addition, integrated-depth water samples were collected and sent to the Australian Water Quality Centre, an accredited laboratory of the National Association of Testing Authorities. Samples were analysed for filterable reactive phosphorus (herein phosphate), total phosphorus, nitrate, ammonium, total Kjeldahl nitrogen, dissolved </w:t>
      </w:r>
      <w:r w:rsidR="00AA6DD2">
        <w:t>silica</w:t>
      </w:r>
      <w:r w:rsidRPr="00A67C76">
        <w:t xml:space="preserve"> and chlorophyll </w:t>
      </w:r>
      <w:r w:rsidRPr="00A67C76">
        <w:rPr>
          <w:i/>
        </w:rPr>
        <w:t>a</w:t>
      </w:r>
      <w:r w:rsidRPr="00A67C76">
        <w:t xml:space="preserve"> using standard techniques. </w:t>
      </w:r>
      <w:r>
        <w:t>Organic nitrogen was calculated as the difference between total Kjeldahl nitrogen and ammonium</w:t>
      </w:r>
      <w:r w:rsidR="003669D5">
        <w:t>.</w:t>
      </w:r>
    </w:p>
    <w:p w14:paraId="5F5645E3" w14:textId="77777777" w:rsidR="00E4596A" w:rsidRDefault="00E4596A">
      <w:pPr>
        <w:spacing w:before="0" w:after="200" w:line="276" w:lineRule="auto"/>
        <w:rPr>
          <w:rFonts w:eastAsia="MS Mincho" w:cs="Arial"/>
          <w:b/>
          <w:bCs/>
          <w:color w:val="auto"/>
          <w:kern w:val="0"/>
          <w:sz w:val="20"/>
          <w:lang w:val="en-US"/>
        </w:rPr>
      </w:pPr>
      <w:r>
        <w:br w:type="page"/>
      </w:r>
    </w:p>
    <w:p w14:paraId="0BC40B68" w14:textId="77777777" w:rsidR="00EA458F" w:rsidRDefault="00EA458F" w:rsidP="00B46038">
      <w:pPr>
        <w:pStyle w:val="Captions"/>
      </w:pPr>
      <w:r>
        <w:lastRenderedPageBreak/>
        <w:t>Tabl</w:t>
      </w:r>
      <w:bookmarkEnd w:id="172"/>
      <w:r w:rsidR="00A27BD7">
        <w:t xml:space="preserve">e </w:t>
      </w:r>
      <w:r w:rsidR="0061623E">
        <w:t>F</w:t>
      </w:r>
      <w:r>
        <w:t xml:space="preserve">1. </w:t>
      </w:r>
      <w:r w:rsidRPr="00A67C76">
        <w:t>Sampling sites</w:t>
      </w:r>
      <w:r>
        <w:t xml:space="preserve"> within each water-body</w:t>
      </w:r>
    </w:p>
    <w:tbl>
      <w:tblPr>
        <w:tblStyle w:val="TableGrid"/>
        <w:tblW w:w="9180" w:type="dxa"/>
        <w:tblLayout w:type="fixed"/>
        <w:tblLook w:val="04A0" w:firstRow="1" w:lastRow="0" w:firstColumn="1" w:lastColumn="0" w:noHBand="0" w:noVBand="1"/>
      </w:tblPr>
      <w:tblGrid>
        <w:gridCol w:w="1526"/>
        <w:gridCol w:w="2835"/>
        <w:gridCol w:w="3402"/>
        <w:gridCol w:w="1417"/>
      </w:tblGrid>
      <w:tr w:rsidR="00036CFC" w:rsidRPr="00555A65" w14:paraId="169416C1" w14:textId="77777777" w:rsidTr="00036CFC">
        <w:trPr>
          <w:trHeight w:val="340"/>
        </w:trPr>
        <w:tc>
          <w:tcPr>
            <w:tcW w:w="1526" w:type="dxa"/>
          </w:tcPr>
          <w:p w14:paraId="067A6046" w14:textId="77777777" w:rsidR="00036CFC" w:rsidRPr="00555A65" w:rsidRDefault="00036CFC" w:rsidP="00677F69">
            <w:pPr>
              <w:contextualSpacing/>
              <w:rPr>
                <w:b/>
                <w:sz w:val="19"/>
                <w:szCs w:val="19"/>
              </w:rPr>
            </w:pPr>
            <w:r w:rsidRPr="00555A65">
              <w:rPr>
                <w:b/>
                <w:sz w:val="19"/>
                <w:szCs w:val="19"/>
              </w:rPr>
              <w:t>Water-body</w:t>
            </w:r>
          </w:p>
        </w:tc>
        <w:tc>
          <w:tcPr>
            <w:tcW w:w="2835" w:type="dxa"/>
          </w:tcPr>
          <w:p w14:paraId="1FCC0D63" w14:textId="77777777" w:rsidR="00036CFC" w:rsidRPr="00555A65" w:rsidRDefault="00036CFC" w:rsidP="00677F69">
            <w:pPr>
              <w:contextualSpacing/>
              <w:rPr>
                <w:b/>
                <w:sz w:val="19"/>
                <w:szCs w:val="19"/>
              </w:rPr>
            </w:pPr>
            <w:r w:rsidRPr="00555A65">
              <w:rPr>
                <w:b/>
                <w:sz w:val="19"/>
                <w:szCs w:val="19"/>
              </w:rPr>
              <w:t>Sampling site</w:t>
            </w:r>
          </w:p>
        </w:tc>
        <w:tc>
          <w:tcPr>
            <w:tcW w:w="3402" w:type="dxa"/>
          </w:tcPr>
          <w:p w14:paraId="722A4C07" w14:textId="518710D2" w:rsidR="00036CFC" w:rsidRPr="00555A65" w:rsidRDefault="00036CFC" w:rsidP="00677F69">
            <w:pPr>
              <w:contextualSpacing/>
              <w:rPr>
                <w:b/>
                <w:sz w:val="19"/>
                <w:szCs w:val="19"/>
              </w:rPr>
            </w:pPr>
            <w:r w:rsidRPr="00555A65">
              <w:rPr>
                <w:b/>
                <w:sz w:val="19"/>
                <w:szCs w:val="19"/>
              </w:rPr>
              <w:t>Sampling frequency</w:t>
            </w:r>
          </w:p>
        </w:tc>
        <w:tc>
          <w:tcPr>
            <w:tcW w:w="1417" w:type="dxa"/>
          </w:tcPr>
          <w:p w14:paraId="5BB3AA2B" w14:textId="77777777" w:rsidR="00036CFC" w:rsidRPr="00555A65" w:rsidRDefault="00036CFC" w:rsidP="00677F69">
            <w:pPr>
              <w:contextualSpacing/>
              <w:rPr>
                <w:b/>
                <w:sz w:val="19"/>
                <w:szCs w:val="19"/>
              </w:rPr>
            </w:pPr>
            <w:r w:rsidRPr="00555A65">
              <w:rPr>
                <w:b/>
                <w:sz w:val="19"/>
                <w:szCs w:val="19"/>
              </w:rPr>
              <w:t>Data source</w:t>
            </w:r>
          </w:p>
        </w:tc>
      </w:tr>
      <w:tr w:rsidR="00036CFC" w:rsidRPr="00555A65" w14:paraId="2C0B7BA6" w14:textId="77777777" w:rsidTr="00036CFC">
        <w:trPr>
          <w:trHeight w:val="340"/>
        </w:trPr>
        <w:tc>
          <w:tcPr>
            <w:tcW w:w="1526" w:type="dxa"/>
            <w:vMerge w:val="restart"/>
          </w:tcPr>
          <w:p w14:paraId="4A39A981" w14:textId="77777777" w:rsidR="00036CFC" w:rsidRPr="00555A65" w:rsidRDefault="00036CFC" w:rsidP="00677F69">
            <w:pPr>
              <w:contextualSpacing/>
              <w:rPr>
                <w:color w:val="auto"/>
                <w:sz w:val="19"/>
                <w:szCs w:val="19"/>
              </w:rPr>
            </w:pPr>
            <w:r w:rsidRPr="00555A65">
              <w:rPr>
                <w:sz w:val="19"/>
                <w:szCs w:val="19"/>
              </w:rPr>
              <w:t>Murray River Channel</w:t>
            </w:r>
          </w:p>
        </w:tc>
        <w:tc>
          <w:tcPr>
            <w:tcW w:w="2835" w:type="dxa"/>
          </w:tcPr>
          <w:p w14:paraId="212886F7" w14:textId="77777777" w:rsidR="00036CFC" w:rsidRPr="00555A65" w:rsidRDefault="00036CFC" w:rsidP="00677F69">
            <w:pPr>
              <w:contextualSpacing/>
              <w:rPr>
                <w:color w:val="auto"/>
                <w:sz w:val="19"/>
                <w:szCs w:val="19"/>
              </w:rPr>
            </w:pPr>
            <w:r w:rsidRPr="00555A65">
              <w:rPr>
                <w:color w:val="auto"/>
                <w:sz w:val="19"/>
                <w:szCs w:val="19"/>
              </w:rPr>
              <w:t>Morgan</w:t>
            </w:r>
          </w:p>
        </w:tc>
        <w:tc>
          <w:tcPr>
            <w:tcW w:w="3402" w:type="dxa"/>
            <w:vAlign w:val="center"/>
          </w:tcPr>
          <w:p w14:paraId="2ACE880D" w14:textId="3B1B9C2A" w:rsidR="00036CFC" w:rsidRPr="00555A65" w:rsidRDefault="00036CFC" w:rsidP="00036CFC">
            <w:pPr>
              <w:contextualSpacing/>
              <w:jc w:val="center"/>
              <w:rPr>
                <w:color w:val="auto"/>
                <w:sz w:val="19"/>
                <w:szCs w:val="19"/>
              </w:rPr>
            </w:pPr>
            <w:r w:rsidRPr="00555A65">
              <w:rPr>
                <w:color w:val="auto"/>
                <w:sz w:val="19"/>
                <w:szCs w:val="19"/>
              </w:rPr>
              <w:t>Approximately weekly between 01/07/2015 and 30/06/16</w:t>
            </w:r>
          </w:p>
        </w:tc>
        <w:tc>
          <w:tcPr>
            <w:tcW w:w="1417" w:type="dxa"/>
            <w:vAlign w:val="center"/>
          </w:tcPr>
          <w:p w14:paraId="504617CA" w14:textId="77777777" w:rsidR="00036CFC" w:rsidRPr="00555A65" w:rsidRDefault="00036CFC" w:rsidP="00036CFC">
            <w:pPr>
              <w:contextualSpacing/>
              <w:jc w:val="center"/>
              <w:rPr>
                <w:color w:val="auto"/>
                <w:sz w:val="19"/>
                <w:szCs w:val="19"/>
              </w:rPr>
            </w:pPr>
            <w:r w:rsidRPr="00555A65">
              <w:rPr>
                <w:color w:val="auto"/>
                <w:sz w:val="19"/>
                <w:szCs w:val="19"/>
              </w:rPr>
              <w:t>SA Water</w:t>
            </w:r>
          </w:p>
        </w:tc>
      </w:tr>
      <w:tr w:rsidR="00036CFC" w:rsidRPr="00555A65" w14:paraId="3760C1A3" w14:textId="77777777" w:rsidTr="00036CFC">
        <w:trPr>
          <w:trHeight w:val="340"/>
        </w:trPr>
        <w:tc>
          <w:tcPr>
            <w:tcW w:w="1526" w:type="dxa"/>
            <w:vMerge/>
          </w:tcPr>
          <w:p w14:paraId="4F934BEC" w14:textId="77777777" w:rsidR="00036CFC" w:rsidRPr="00555A65" w:rsidRDefault="00036CFC" w:rsidP="00677F69">
            <w:pPr>
              <w:contextualSpacing/>
              <w:rPr>
                <w:color w:val="auto"/>
                <w:sz w:val="19"/>
                <w:szCs w:val="19"/>
              </w:rPr>
            </w:pPr>
          </w:p>
        </w:tc>
        <w:tc>
          <w:tcPr>
            <w:tcW w:w="2835" w:type="dxa"/>
          </w:tcPr>
          <w:p w14:paraId="60D4748C" w14:textId="77777777" w:rsidR="00036CFC" w:rsidRPr="00555A65" w:rsidRDefault="00036CFC" w:rsidP="00677F69">
            <w:pPr>
              <w:contextualSpacing/>
              <w:rPr>
                <w:color w:val="auto"/>
                <w:sz w:val="19"/>
                <w:szCs w:val="19"/>
              </w:rPr>
            </w:pPr>
            <w:r w:rsidRPr="00555A65">
              <w:rPr>
                <w:color w:val="auto"/>
                <w:sz w:val="19"/>
                <w:szCs w:val="19"/>
              </w:rPr>
              <w:t>Wellington</w:t>
            </w:r>
          </w:p>
        </w:tc>
        <w:tc>
          <w:tcPr>
            <w:tcW w:w="3402" w:type="dxa"/>
            <w:vMerge w:val="restart"/>
            <w:vAlign w:val="center"/>
          </w:tcPr>
          <w:p w14:paraId="5A678AD2" w14:textId="77777777" w:rsidR="00036CFC" w:rsidRPr="00555A65" w:rsidRDefault="00036CFC" w:rsidP="00036CFC">
            <w:pPr>
              <w:contextualSpacing/>
              <w:jc w:val="center"/>
              <w:rPr>
                <w:color w:val="auto"/>
                <w:sz w:val="19"/>
                <w:szCs w:val="19"/>
              </w:rPr>
            </w:pPr>
            <w:r w:rsidRPr="00555A65">
              <w:rPr>
                <w:color w:val="auto"/>
                <w:sz w:val="19"/>
                <w:szCs w:val="19"/>
              </w:rPr>
              <w:t>Approximately four times between 01/07/2015 and 30/06/16</w:t>
            </w:r>
          </w:p>
        </w:tc>
        <w:tc>
          <w:tcPr>
            <w:tcW w:w="1417" w:type="dxa"/>
            <w:vMerge w:val="restart"/>
            <w:vAlign w:val="center"/>
          </w:tcPr>
          <w:p w14:paraId="51458091" w14:textId="77777777" w:rsidR="00036CFC" w:rsidRPr="00555A65" w:rsidRDefault="00036CFC" w:rsidP="00036CFC">
            <w:pPr>
              <w:contextualSpacing/>
              <w:jc w:val="center"/>
              <w:rPr>
                <w:color w:val="auto"/>
                <w:sz w:val="19"/>
                <w:szCs w:val="19"/>
              </w:rPr>
            </w:pPr>
            <w:r w:rsidRPr="00555A65">
              <w:rPr>
                <w:color w:val="auto"/>
                <w:sz w:val="19"/>
                <w:szCs w:val="19"/>
              </w:rPr>
              <w:t>Murray Futures (DEWNR)</w:t>
            </w:r>
          </w:p>
          <w:p w14:paraId="72621230" w14:textId="07C87A7A" w:rsidR="00036CFC" w:rsidRPr="00555A65" w:rsidRDefault="00036CFC" w:rsidP="00036CFC">
            <w:pPr>
              <w:contextualSpacing/>
              <w:jc w:val="center"/>
              <w:rPr>
                <w:color w:val="auto"/>
                <w:sz w:val="19"/>
                <w:szCs w:val="19"/>
              </w:rPr>
            </w:pPr>
          </w:p>
        </w:tc>
      </w:tr>
      <w:tr w:rsidR="00036CFC" w:rsidRPr="00555A65" w14:paraId="7FC3DBB7" w14:textId="77777777" w:rsidTr="00036CFC">
        <w:trPr>
          <w:trHeight w:val="340"/>
        </w:trPr>
        <w:tc>
          <w:tcPr>
            <w:tcW w:w="1526" w:type="dxa"/>
            <w:vMerge w:val="restart"/>
          </w:tcPr>
          <w:p w14:paraId="15F149FB" w14:textId="77777777" w:rsidR="00036CFC" w:rsidRPr="00555A65" w:rsidRDefault="00036CFC" w:rsidP="00677F69">
            <w:pPr>
              <w:contextualSpacing/>
              <w:rPr>
                <w:color w:val="auto"/>
                <w:sz w:val="19"/>
                <w:szCs w:val="19"/>
              </w:rPr>
            </w:pPr>
            <w:r w:rsidRPr="00555A65">
              <w:rPr>
                <w:color w:val="auto"/>
                <w:sz w:val="19"/>
                <w:szCs w:val="19"/>
              </w:rPr>
              <w:t>Lower Lakes</w:t>
            </w:r>
          </w:p>
        </w:tc>
        <w:tc>
          <w:tcPr>
            <w:tcW w:w="2835" w:type="dxa"/>
          </w:tcPr>
          <w:p w14:paraId="64AFEBC3" w14:textId="3444EFFB" w:rsidR="00036CFC" w:rsidRPr="00555A65" w:rsidRDefault="00036CFC" w:rsidP="00677F69">
            <w:pPr>
              <w:contextualSpacing/>
              <w:rPr>
                <w:color w:val="auto"/>
                <w:sz w:val="19"/>
                <w:szCs w:val="19"/>
              </w:rPr>
            </w:pPr>
            <w:r w:rsidRPr="00555A65">
              <w:rPr>
                <w:color w:val="auto"/>
                <w:sz w:val="19"/>
                <w:szCs w:val="19"/>
              </w:rPr>
              <w:t>Lake Alexandrina Opening</w:t>
            </w:r>
            <w:r w:rsidRPr="00555A65" w:rsidDel="0030247F">
              <w:rPr>
                <w:color w:val="auto"/>
                <w:sz w:val="19"/>
                <w:szCs w:val="19"/>
              </w:rPr>
              <w:t xml:space="preserve"> </w:t>
            </w:r>
          </w:p>
        </w:tc>
        <w:tc>
          <w:tcPr>
            <w:tcW w:w="3402" w:type="dxa"/>
            <w:vMerge/>
          </w:tcPr>
          <w:p w14:paraId="4BF47FEA" w14:textId="77777777" w:rsidR="00036CFC" w:rsidRPr="00555A65" w:rsidRDefault="00036CFC" w:rsidP="00677F69">
            <w:pPr>
              <w:contextualSpacing/>
              <w:rPr>
                <w:color w:val="auto"/>
                <w:sz w:val="19"/>
                <w:szCs w:val="19"/>
              </w:rPr>
            </w:pPr>
          </w:p>
        </w:tc>
        <w:tc>
          <w:tcPr>
            <w:tcW w:w="1417" w:type="dxa"/>
            <w:vMerge/>
          </w:tcPr>
          <w:p w14:paraId="7DDC194F" w14:textId="77777777" w:rsidR="00036CFC" w:rsidRPr="00555A65" w:rsidRDefault="00036CFC" w:rsidP="00677F69">
            <w:pPr>
              <w:contextualSpacing/>
              <w:rPr>
                <w:color w:val="auto"/>
                <w:sz w:val="19"/>
                <w:szCs w:val="19"/>
              </w:rPr>
            </w:pPr>
          </w:p>
        </w:tc>
      </w:tr>
      <w:tr w:rsidR="00036CFC" w:rsidRPr="00555A65" w14:paraId="78A1B1A3" w14:textId="77777777" w:rsidTr="00036CFC">
        <w:trPr>
          <w:trHeight w:val="340"/>
        </w:trPr>
        <w:tc>
          <w:tcPr>
            <w:tcW w:w="1526" w:type="dxa"/>
            <w:vMerge/>
          </w:tcPr>
          <w:p w14:paraId="17D0EA9A" w14:textId="77777777" w:rsidR="00036CFC" w:rsidRPr="00555A65" w:rsidRDefault="00036CFC" w:rsidP="00677F69">
            <w:pPr>
              <w:contextualSpacing/>
              <w:rPr>
                <w:color w:val="auto"/>
                <w:sz w:val="19"/>
                <w:szCs w:val="19"/>
              </w:rPr>
            </w:pPr>
          </w:p>
        </w:tc>
        <w:tc>
          <w:tcPr>
            <w:tcW w:w="2835" w:type="dxa"/>
          </w:tcPr>
          <w:p w14:paraId="44C4D7CF" w14:textId="77777777" w:rsidR="00036CFC" w:rsidRPr="00555A65" w:rsidRDefault="00036CFC" w:rsidP="00677F69">
            <w:pPr>
              <w:contextualSpacing/>
              <w:rPr>
                <w:color w:val="auto"/>
                <w:sz w:val="19"/>
                <w:szCs w:val="19"/>
              </w:rPr>
            </w:pPr>
            <w:r w:rsidRPr="00555A65">
              <w:rPr>
                <w:color w:val="auto"/>
                <w:sz w:val="19"/>
                <w:szCs w:val="19"/>
              </w:rPr>
              <w:t>Poltalloch</w:t>
            </w:r>
          </w:p>
        </w:tc>
        <w:tc>
          <w:tcPr>
            <w:tcW w:w="3402" w:type="dxa"/>
            <w:vMerge/>
          </w:tcPr>
          <w:p w14:paraId="4E97ED13" w14:textId="77777777" w:rsidR="00036CFC" w:rsidRPr="00555A65" w:rsidRDefault="00036CFC" w:rsidP="00677F69">
            <w:pPr>
              <w:contextualSpacing/>
              <w:rPr>
                <w:color w:val="auto"/>
                <w:sz w:val="19"/>
                <w:szCs w:val="19"/>
              </w:rPr>
            </w:pPr>
          </w:p>
        </w:tc>
        <w:tc>
          <w:tcPr>
            <w:tcW w:w="1417" w:type="dxa"/>
            <w:vMerge/>
          </w:tcPr>
          <w:p w14:paraId="356ED9AE" w14:textId="77777777" w:rsidR="00036CFC" w:rsidRPr="00555A65" w:rsidRDefault="00036CFC" w:rsidP="00677F69">
            <w:pPr>
              <w:contextualSpacing/>
              <w:rPr>
                <w:color w:val="auto"/>
                <w:sz w:val="19"/>
                <w:szCs w:val="19"/>
              </w:rPr>
            </w:pPr>
          </w:p>
        </w:tc>
      </w:tr>
      <w:tr w:rsidR="00036CFC" w:rsidRPr="00555A65" w14:paraId="098BA4A0" w14:textId="77777777" w:rsidTr="00036CFC">
        <w:trPr>
          <w:trHeight w:val="340"/>
        </w:trPr>
        <w:tc>
          <w:tcPr>
            <w:tcW w:w="1526" w:type="dxa"/>
            <w:vMerge/>
          </w:tcPr>
          <w:p w14:paraId="6E28BAB7" w14:textId="77777777" w:rsidR="00036CFC" w:rsidRPr="00555A65" w:rsidRDefault="00036CFC" w:rsidP="00677F69">
            <w:pPr>
              <w:contextualSpacing/>
              <w:rPr>
                <w:color w:val="auto"/>
                <w:sz w:val="19"/>
                <w:szCs w:val="19"/>
              </w:rPr>
            </w:pPr>
          </w:p>
        </w:tc>
        <w:tc>
          <w:tcPr>
            <w:tcW w:w="2835" w:type="dxa"/>
          </w:tcPr>
          <w:p w14:paraId="2B8FEC1A" w14:textId="77777777" w:rsidR="00036CFC" w:rsidRPr="00555A65" w:rsidRDefault="00036CFC" w:rsidP="00677F69">
            <w:pPr>
              <w:contextualSpacing/>
              <w:rPr>
                <w:color w:val="auto"/>
                <w:sz w:val="19"/>
                <w:szCs w:val="19"/>
              </w:rPr>
            </w:pPr>
            <w:r w:rsidRPr="00555A65">
              <w:rPr>
                <w:color w:val="auto"/>
                <w:sz w:val="19"/>
                <w:szCs w:val="19"/>
              </w:rPr>
              <w:t>Milang</w:t>
            </w:r>
          </w:p>
        </w:tc>
        <w:tc>
          <w:tcPr>
            <w:tcW w:w="3402" w:type="dxa"/>
            <w:vMerge/>
          </w:tcPr>
          <w:p w14:paraId="4B617165" w14:textId="77777777" w:rsidR="00036CFC" w:rsidRPr="00555A65" w:rsidRDefault="00036CFC" w:rsidP="00677F69">
            <w:pPr>
              <w:contextualSpacing/>
              <w:rPr>
                <w:color w:val="auto"/>
                <w:sz w:val="19"/>
                <w:szCs w:val="19"/>
              </w:rPr>
            </w:pPr>
          </w:p>
        </w:tc>
        <w:tc>
          <w:tcPr>
            <w:tcW w:w="1417" w:type="dxa"/>
            <w:vMerge/>
          </w:tcPr>
          <w:p w14:paraId="74480242" w14:textId="77777777" w:rsidR="00036CFC" w:rsidRPr="00555A65" w:rsidRDefault="00036CFC" w:rsidP="00677F69">
            <w:pPr>
              <w:contextualSpacing/>
              <w:rPr>
                <w:color w:val="auto"/>
                <w:sz w:val="19"/>
                <w:szCs w:val="19"/>
              </w:rPr>
            </w:pPr>
          </w:p>
        </w:tc>
      </w:tr>
      <w:tr w:rsidR="00036CFC" w:rsidRPr="00555A65" w14:paraId="46067EEA" w14:textId="77777777" w:rsidTr="00036CFC">
        <w:trPr>
          <w:trHeight w:val="340"/>
        </w:trPr>
        <w:tc>
          <w:tcPr>
            <w:tcW w:w="1526" w:type="dxa"/>
            <w:vMerge/>
          </w:tcPr>
          <w:p w14:paraId="4D375156" w14:textId="77777777" w:rsidR="00036CFC" w:rsidRPr="00555A65" w:rsidRDefault="00036CFC" w:rsidP="00677F69">
            <w:pPr>
              <w:contextualSpacing/>
              <w:rPr>
                <w:color w:val="auto"/>
                <w:sz w:val="19"/>
                <w:szCs w:val="19"/>
              </w:rPr>
            </w:pPr>
          </w:p>
        </w:tc>
        <w:tc>
          <w:tcPr>
            <w:tcW w:w="2835" w:type="dxa"/>
          </w:tcPr>
          <w:p w14:paraId="5E382775" w14:textId="53B73138" w:rsidR="00036CFC" w:rsidRPr="00555A65" w:rsidRDefault="00036CFC" w:rsidP="00677F69">
            <w:pPr>
              <w:contextualSpacing/>
              <w:rPr>
                <w:color w:val="auto"/>
                <w:sz w:val="19"/>
                <w:szCs w:val="19"/>
              </w:rPr>
            </w:pPr>
            <w:r w:rsidRPr="00555A65">
              <w:rPr>
                <w:color w:val="auto"/>
                <w:sz w:val="19"/>
                <w:szCs w:val="19"/>
              </w:rPr>
              <w:t>Lake Alexandrina Middle</w:t>
            </w:r>
            <w:r w:rsidRPr="00555A65" w:rsidDel="0030247F">
              <w:rPr>
                <w:color w:val="auto"/>
                <w:sz w:val="19"/>
                <w:szCs w:val="19"/>
              </w:rPr>
              <w:t xml:space="preserve"> </w:t>
            </w:r>
          </w:p>
        </w:tc>
        <w:tc>
          <w:tcPr>
            <w:tcW w:w="3402" w:type="dxa"/>
            <w:vMerge/>
          </w:tcPr>
          <w:p w14:paraId="2B4E9DD4" w14:textId="77777777" w:rsidR="00036CFC" w:rsidRPr="00555A65" w:rsidRDefault="00036CFC" w:rsidP="00677F69">
            <w:pPr>
              <w:contextualSpacing/>
              <w:rPr>
                <w:color w:val="auto"/>
                <w:sz w:val="19"/>
                <w:szCs w:val="19"/>
              </w:rPr>
            </w:pPr>
          </w:p>
        </w:tc>
        <w:tc>
          <w:tcPr>
            <w:tcW w:w="1417" w:type="dxa"/>
            <w:vMerge/>
          </w:tcPr>
          <w:p w14:paraId="02099E31" w14:textId="77777777" w:rsidR="00036CFC" w:rsidRPr="00555A65" w:rsidRDefault="00036CFC" w:rsidP="00677F69">
            <w:pPr>
              <w:contextualSpacing/>
              <w:rPr>
                <w:color w:val="auto"/>
                <w:sz w:val="19"/>
                <w:szCs w:val="19"/>
              </w:rPr>
            </w:pPr>
          </w:p>
        </w:tc>
      </w:tr>
      <w:tr w:rsidR="00036CFC" w:rsidRPr="00555A65" w14:paraId="626F2F40" w14:textId="77777777" w:rsidTr="00036CFC">
        <w:trPr>
          <w:trHeight w:val="340"/>
        </w:trPr>
        <w:tc>
          <w:tcPr>
            <w:tcW w:w="1526" w:type="dxa"/>
            <w:vMerge/>
          </w:tcPr>
          <w:p w14:paraId="023FAAEF" w14:textId="77777777" w:rsidR="00036CFC" w:rsidRPr="00555A65" w:rsidRDefault="00036CFC" w:rsidP="00677F69">
            <w:pPr>
              <w:contextualSpacing/>
              <w:rPr>
                <w:color w:val="auto"/>
                <w:sz w:val="19"/>
                <w:szCs w:val="19"/>
              </w:rPr>
            </w:pPr>
          </w:p>
        </w:tc>
        <w:tc>
          <w:tcPr>
            <w:tcW w:w="2835" w:type="dxa"/>
          </w:tcPr>
          <w:p w14:paraId="5F8D47B9" w14:textId="77777777" w:rsidR="00036CFC" w:rsidRPr="00555A65" w:rsidRDefault="00036CFC" w:rsidP="00677F69">
            <w:pPr>
              <w:contextualSpacing/>
              <w:rPr>
                <w:color w:val="auto"/>
                <w:sz w:val="19"/>
                <w:szCs w:val="19"/>
              </w:rPr>
            </w:pPr>
            <w:r w:rsidRPr="00555A65">
              <w:rPr>
                <w:color w:val="auto"/>
                <w:sz w:val="19"/>
                <w:szCs w:val="19"/>
              </w:rPr>
              <w:t>Point McLeay</w:t>
            </w:r>
          </w:p>
        </w:tc>
        <w:tc>
          <w:tcPr>
            <w:tcW w:w="3402" w:type="dxa"/>
            <w:vMerge/>
          </w:tcPr>
          <w:p w14:paraId="4A056730" w14:textId="77777777" w:rsidR="00036CFC" w:rsidRPr="00555A65" w:rsidRDefault="00036CFC" w:rsidP="00677F69">
            <w:pPr>
              <w:contextualSpacing/>
              <w:rPr>
                <w:color w:val="auto"/>
                <w:sz w:val="19"/>
                <w:szCs w:val="19"/>
              </w:rPr>
            </w:pPr>
          </w:p>
        </w:tc>
        <w:tc>
          <w:tcPr>
            <w:tcW w:w="1417" w:type="dxa"/>
            <w:vMerge/>
          </w:tcPr>
          <w:p w14:paraId="4C548B42" w14:textId="77777777" w:rsidR="00036CFC" w:rsidRPr="00555A65" w:rsidRDefault="00036CFC" w:rsidP="00677F69">
            <w:pPr>
              <w:contextualSpacing/>
              <w:rPr>
                <w:color w:val="auto"/>
                <w:sz w:val="19"/>
                <w:szCs w:val="19"/>
              </w:rPr>
            </w:pPr>
          </w:p>
        </w:tc>
      </w:tr>
      <w:tr w:rsidR="00036CFC" w:rsidRPr="00555A65" w14:paraId="65C1706D" w14:textId="77777777" w:rsidTr="00036CFC">
        <w:trPr>
          <w:trHeight w:val="340"/>
        </w:trPr>
        <w:tc>
          <w:tcPr>
            <w:tcW w:w="1526" w:type="dxa"/>
            <w:vMerge/>
          </w:tcPr>
          <w:p w14:paraId="5E74A701" w14:textId="77777777" w:rsidR="00036CFC" w:rsidRPr="00555A65" w:rsidRDefault="00036CFC" w:rsidP="00677F69">
            <w:pPr>
              <w:contextualSpacing/>
              <w:rPr>
                <w:color w:val="auto"/>
                <w:sz w:val="19"/>
                <w:szCs w:val="19"/>
              </w:rPr>
            </w:pPr>
          </w:p>
        </w:tc>
        <w:tc>
          <w:tcPr>
            <w:tcW w:w="2835" w:type="dxa"/>
          </w:tcPr>
          <w:p w14:paraId="3C37BBC3" w14:textId="25D32FC7" w:rsidR="00036CFC" w:rsidRPr="00555A65" w:rsidRDefault="00036CFC" w:rsidP="00677F69">
            <w:pPr>
              <w:contextualSpacing/>
              <w:rPr>
                <w:color w:val="auto"/>
                <w:sz w:val="19"/>
                <w:szCs w:val="19"/>
              </w:rPr>
            </w:pPr>
            <w:r w:rsidRPr="00555A65">
              <w:rPr>
                <w:color w:val="auto"/>
                <w:sz w:val="19"/>
                <w:szCs w:val="19"/>
              </w:rPr>
              <w:t xml:space="preserve">Finniss River </w:t>
            </w:r>
          </w:p>
        </w:tc>
        <w:tc>
          <w:tcPr>
            <w:tcW w:w="3402" w:type="dxa"/>
            <w:vMerge/>
          </w:tcPr>
          <w:p w14:paraId="412AFEFB" w14:textId="77777777" w:rsidR="00036CFC" w:rsidRPr="00555A65" w:rsidRDefault="00036CFC" w:rsidP="00677F69">
            <w:pPr>
              <w:contextualSpacing/>
              <w:rPr>
                <w:color w:val="auto"/>
                <w:sz w:val="19"/>
                <w:szCs w:val="19"/>
              </w:rPr>
            </w:pPr>
          </w:p>
        </w:tc>
        <w:tc>
          <w:tcPr>
            <w:tcW w:w="1417" w:type="dxa"/>
            <w:vMerge/>
          </w:tcPr>
          <w:p w14:paraId="2984C68A" w14:textId="77777777" w:rsidR="00036CFC" w:rsidRPr="00555A65" w:rsidRDefault="00036CFC" w:rsidP="00677F69">
            <w:pPr>
              <w:contextualSpacing/>
              <w:rPr>
                <w:color w:val="auto"/>
                <w:sz w:val="19"/>
                <w:szCs w:val="19"/>
              </w:rPr>
            </w:pPr>
          </w:p>
        </w:tc>
      </w:tr>
      <w:tr w:rsidR="00036CFC" w:rsidRPr="00555A65" w14:paraId="1EC7B186" w14:textId="77777777" w:rsidTr="00036CFC">
        <w:trPr>
          <w:trHeight w:val="340"/>
        </w:trPr>
        <w:tc>
          <w:tcPr>
            <w:tcW w:w="1526" w:type="dxa"/>
            <w:vMerge/>
          </w:tcPr>
          <w:p w14:paraId="4902ECB3" w14:textId="77777777" w:rsidR="00036CFC" w:rsidRPr="00555A65" w:rsidRDefault="00036CFC" w:rsidP="00677F69">
            <w:pPr>
              <w:contextualSpacing/>
              <w:rPr>
                <w:color w:val="auto"/>
                <w:sz w:val="19"/>
                <w:szCs w:val="19"/>
              </w:rPr>
            </w:pPr>
          </w:p>
        </w:tc>
        <w:tc>
          <w:tcPr>
            <w:tcW w:w="2835" w:type="dxa"/>
          </w:tcPr>
          <w:p w14:paraId="103F6679" w14:textId="77777777" w:rsidR="00036CFC" w:rsidRPr="00555A65" w:rsidRDefault="00036CFC" w:rsidP="00677F69">
            <w:pPr>
              <w:contextualSpacing/>
              <w:rPr>
                <w:color w:val="auto"/>
                <w:sz w:val="19"/>
                <w:szCs w:val="19"/>
              </w:rPr>
            </w:pPr>
            <w:r w:rsidRPr="00555A65">
              <w:rPr>
                <w:color w:val="auto"/>
                <w:sz w:val="19"/>
                <w:szCs w:val="19"/>
              </w:rPr>
              <w:t>Currency Creek</w:t>
            </w:r>
          </w:p>
        </w:tc>
        <w:tc>
          <w:tcPr>
            <w:tcW w:w="3402" w:type="dxa"/>
            <w:vMerge/>
          </w:tcPr>
          <w:p w14:paraId="6B4AE275" w14:textId="77777777" w:rsidR="00036CFC" w:rsidRPr="00555A65" w:rsidRDefault="00036CFC" w:rsidP="00677F69">
            <w:pPr>
              <w:contextualSpacing/>
              <w:rPr>
                <w:color w:val="auto"/>
                <w:sz w:val="19"/>
                <w:szCs w:val="19"/>
              </w:rPr>
            </w:pPr>
          </w:p>
        </w:tc>
        <w:tc>
          <w:tcPr>
            <w:tcW w:w="1417" w:type="dxa"/>
            <w:vMerge/>
          </w:tcPr>
          <w:p w14:paraId="32DE8CAE" w14:textId="77777777" w:rsidR="00036CFC" w:rsidRPr="00555A65" w:rsidRDefault="00036CFC" w:rsidP="00677F69">
            <w:pPr>
              <w:contextualSpacing/>
              <w:rPr>
                <w:color w:val="auto"/>
                <w:sz w:val="19"/>
                <w:szCs w:val="19"/>
              </w:rPr>
            </w:pPr>
          </w:p>
        </w:tc>
      </w:tr>
      <w:tr w:rsidR="00036CFC" w:rsidRPr="00555A65" w14:paraId="28A7DB2E" w14:textId="77777777" w:rsidTr="00036CFC">
        <w:trPr>
          <w:trHeight w:val="340"/>
        </w:trPr>
        <w:tc>
          <w:tcPr>
            <w:tcW w:w="1526" w:type="dxa"/>
            <w:vMerge/>
          </w:tcPr>
          <w:p w14:paraId="6DF23200" w14:textId="77777777" w:rsidR="00036CFC" w:rsidRPr="00555A65" w:rsidRDefault="00036CFC" w:rsidP="00677F69">
            <w:pPr>
              <w:contextualSpacing/>
              <w:rPr>
                <w:color w:val="auto"/>
                <w:sz w:val="19"/>
                <w:szCs w:val="19"/>
              </w:rPr>
            </w:pPr>
          </w:p>
        </w:tc>
        <w:tc>
          <w:tcPr>
            <w:tcW w:w="2835" w:type="dxa"/>
          </w:tcPr>
          <w:p w14:paraId="7F751F69" w14:textId="77777777" w:rsidR="00036CFC" w:rsidRPr="00555A65" w:rsidRDefault="00036CFC" w:rsidP="00677F69">
            <w:pPr>
              <w:contextualSpacing/>
              <w:rPr>
                <w:color w:val="auto"/>
                <w:sz w:val="19"/>
                <w:szCs w:val="19"/>
              </w:rPr>
            </w:pPr>
            <w:r w:rsidRPr="00555A65">
              <w:rPr>
                <w:color w:val="auto"/>
                <w:sz w:val="19"/>
                <w:szCs w:val="19"/>
              </w:rPr>
              <w:t>Goolwa Barrage</w:t>
            </w:r>
          </w:p>
        </w:tc>
        <w:tc>
          <w:tcPr>
            <w:tcW w:w="3402" w:type="dxa"/>
            <w:vMerge/>
          </w:tcPr>
          <w:p w14:paraId="4B42F143" w14:textId="77777777" w:rsidR="00036CFC" w:rsidRPr="00555A65" w:rsidRDefault="00036CFC" w:rsidP="00677F69">
            <w:pPr>
              <w:contextualSpacing/>
              <w:rPr>
                <w:color w:val="auto"/>
                <w:sz w:val="19"/>
                <w:szCs w:val="19"/>
              </w:rPr>
            </w:pPr>
          </w:p>
        </w:tc>
        <w:tc>
          <w:tcPr>
            <w:tcW w:w="1417" w:type="dxa"/>
            <w:vMerge/>
          </w:tcPr>
          <w:p w14:paraId="622E6364" w14:textId="77777777" w:rsidR="00036CFC" w:rsidRPr="00555A65" w:rsidRDefault="00036CFC" w:rsidP="00677F69">
            <w:pPr>
              <w:contextualSpacing/>
              <w:rPr>
                <w:color w:val="auto"/>
                <w:sz w:val="19"/>
                <w:szCs w:val="19"/>
              </w:rPr>
            </w:pPr>
          </w:p>
        </w:tc>
      </w:tr>
      <w:tr w:rsidR="00036CFC" w:rsidRPr="00555A65" w14:paraId="7C4D5950" w14:textId="77777777" w:rsidTr="00036CFC">
        <w:trPr>
          <w:trHeight w:val="340"/>
        </w:trPr>
        <w:tc>
          <w:tcPr>
            <w:tcW w:w="1526" w:type="dxa"/>
            <w:vMerge/>
          </w:tcPr>
          <w:p w14:paraId="4A90441C" w14:textId="77777777" w:rsidR="00036CFC" w:rsidRPr="00555A65" w:rsidRDefault="00036CFC" w:rsidP="00677F69">
            <w:pPr>
              <w:contextualSpacing/>
              <w:rPr>
                <w:color w:val="auto"/>
                <w:sz w:val="19"/>
                <w:szCs w:val="19"/>
              </w:rPr>
            </w:pPr>
          </w:p>
        </w:tc>
        <w:tc>
          <w:tcPr>
            <w:tcW w:w="2835" w:type="dxa"/>
          </w:tcPr>
          <w:p w14:paraId="1B91BC31" w14:textId="77777777" w:rsidR="00036CFC" w:rsidRPr="00555A65" w:rsidRDefault="00036CFC" w:rsidP="00677F69">
            <w:pPr>
              <w:contextualSpacing/>
              <w:rPr>
                <w:color w:val="auto"/>
                <w:sz w:val="19"/>
                <w:szCs w:val="19"/>
              </w:rPr>
            </w:pPr>
            <w:r w:rsidRPr="00555A65">
              <w:rPr>
                <w:rFonts w:cs="Arial"/>
                <w:kern w:val="0"/>
                <w:sz w:val="19"/>
                <w:szCs w:val="19"/>
                <w:lang w:eastAsia="en-AU"/>
              </w:rPr>
              <w:t>Lake Albert Opening</w:t>
            </w:r>
          </w:p>
        </w:tc>
        <w:tc>
          <w:tcPr>
            <w:tcW w:w="3402" w:type="dxa"/>
            <w:vMerge/>
          </w:tcPr>
          <w:p w14:paraId="40ED6B5C" w14:textId="77777777" w:rsidR="00036CFC" w:rsidRPr="00555A65" w:rsidRDefault="00036CFC" w:rsidP="00677F69">
            <w:pPr>
              <w:contextualSpacing/>
              <w:rPr>
                <w:color w:val="auto"/>
                <w:sz w:val="19"/>
                <w:szCs w:val="19"/>
              </w:rPr>
            </w:pPr>
          </w:p>
        </w:tc>
        <w:tc>
          <w:tcPr>
            <w:tcW w:w="1417" w:type="dxa"/>
            <w:vMerge/>
          </w:tcPr>
          <w:p w14:paraId="6F3C6DCE" w14:textId="77777777" w:rsidR="00036CFC" w:rsidRPr="00555A65" w:rsidRDefault="00036CFC" w:rsidP="00677F69">
            <w:pPr>
              <w:contextualSpacing/>
              <w:rPr>
                <w:color w:val="auto"/>
                <w:sz w:val="19"/>
                <w:szCs w:val="19"/>
              </w:rPr>
            </w:pPr>
          </w:p>
        </w:tc>
      </w:tr>
      <w:tr w:rsidR="00036CFC" w:rsidRPr="00555A65" w14:paraId="0C2D6E32" w14:textId="77777777" w:rsidTr="00036CFC">
        <w:trPr>
          <w:trHeight w:val="340"/>
        </w:trPr>
        <w:tc>
          <w:tcPr>
            <w:tcW w:w="1526" w:type="dxa"/>
            <w:vMerge/>
          </w:tcPr>
          <w:p w14:paraId="3E685E67" w14:textId="77777777" w:rsidR="00036CFC" w:rsidRPr="00555A65" w:rsidRDefault="00036CFC" w:rsidP="00677F69">
            <w:pPr>
              <w:contextualSpacing/>
              <w:rPr>
                <w:color w:val="auto"/>
                <w:sz w:val="19"/>
                <w:szCs w:val="19"/>
              </w:rPr>
            </w:pPr>
          </w:p>
        </w:tc>
        <w:tc>
          <w:tcPr>
            <w:tcW w:w="2835" w:type="dxa"/>
          </w:tcPr>
          <w:p w14:paraId="44FA7780" w14:textId="77777777" w:rsidR="00036CFC" w:rsidRPr="00555A65" w:rsidRDefault="00036CFC" w:rsidP="00677F69">
            <w:pPr>
              <w:contextualSpacing/>
              <w:rPr>
                <w:color w:val="auto"/>
                <w:sz w:val="19"/>
                <w:szCs w:val="19"/>
              </w:rPr>
            </w:pPr>
            <w:r w:rsidRPr="00555A65">
              <w:rPr>
                <w:color w:val="auto"/>
                <w:sz w:val="19"/>
                <w:szCs w:val="19"/>
              </w:rPr>
              <w:t>Lake Albert Middle</w:t>
            </w:r>
          </w:p>
        </w:tc>
        <w:tc>
          <w:tcPr>
            <w:tcW w:w="3402" w:type="dxa"/>
            <w:vMerge/>
          </w:tcPr>
          <w:p w14:paraId="57C73A6C" w14:textId="77777777" w:rsidR="00036CFC" w:rsidRPr="00555A65" w:rsidRDefault="00036CFC" w:rsidP="00677F69">
            <w:pPr>
              <w:contextualSpacing/>
              <w:rPr>
                <w:color w:val="auto"/>
                <w:sz w:val="19"/>
                <w:szCs w:val="19"/>
              </w:rPr>
            </w:pPr>
          </w:p>
        </w:tc>
        <w:tc>
          <w:tcPr>
            <w:tcW w:w="1417" w:type="dxa"/>
            <w:vMerge/>
          </w:tcPr>
          <w:p w14:paraId="111921AC" w14:textId="77777777" w:rsidR="00036CFC" w:rsidRPr="00555A65" w:rsidRDefault="00036CFC" w:rsidP="00677F69">
            <w:pPr>
              <w:contextualSpacing/>
              <w:rPr>
                <w:color w:val="auto"/>
                <w:sz w:val="19"/>
                <w:szCs w:val="19"/>
              </w:rPr>
            </w:pPr>
          </w:p>
        </w:tc>
      </w:tr>
      <w:tr w:rsidR="00036CFC" w:rsidRPr="00555A65" w14:paraId="41472AB2" w14:textId="77777777" w:rsidTr="00036CFC">
        <w:trPr>
          <w:trHeight w:val="340"/>
        </w:trPr>
        <w:tc>
          <w:tcPr>
            <w:tcW w:w="1526" w:type="dxa"/>
            <w:vMerge/>
          </w:tcPr>
          <w:p w14:paraId="45E93C2C" w14:textId="77777777" w:rsidR="00036CFC" w:rsidRPr="00555A65" w:rsidRDefault="00036CFC" w:rsidP="00677F69">
            <w:pPr>
              <w:contextualSpacing/>
              <w:rPr>
                <w:color w:val="auto"/>
                <w:sz w:val="19"/>
                <w:szCs w:val="19"/>
              </w:rPr>
            </w:pPr>
          </w:p>
        </w:tc>
        <w:tc>
          <w:tcPr>
            <w:tcW w:w="2835" w:type="dxa"/>
          </w:tcPr>
          <w:p w14:paraId="1FB62CD1" w14:textId="77777777" w:rsidR="00036CFC" w:rsidRPr="00555A65" w:rsidRDefault="00036CFC" w:rsidP="00677F69">
            <w:pPr>
              <w:contextualSpacing/>
              <w:rPr>
                <w:color w:val="auto"/>
                <w:sz w:val="19"/>
                <w:szCs w:val="19"/>
              </w:rPr>
            </w:pPr>
            <w:r w:rsidRPr="00555A65">
              <w:rPr>
                <w:color w:val="auto"/>
                <w:sz w:val="19"/>
                <w:szCs w:val="19"/>
              </w:rPr>
              <w:t>Meningie</w:t>
            </w:r>
          </w:p>
        </w:tc>
        <w:tc>
          <w:tcPr>
            <w:tcW w:w="3402" w:type="dxa"/>
            <w:vMerge/>
          </w:tcPr>
          <w:p w14:paraId="2AE216AF" w14:textId="77777777" w:rsidR="00036CFC" w:rsidRPr="00555A65" w:rsidRDefault="00036CFC" w:rsidP="00677F69">
            <w:pPr>
              <w:contextualSpacing/>
              <w:rPr>
                <w:color w:val="auto"/>
                <w:sz w:val="19"/>
                <w:szCs w:val="19"/>
              </w:rPr>
            </w:pPr>
          </w:p>
        </w:tc>
        <w:tc>
          <w:tcPr>
            <w:tcW w:w="1417" w:type="dxa"/>
            <w:vMerge/>
          </w:tcPr>
          <w:p w14:paraId="3E8CF95D" w14:textId="77777777" w:rsidR="00036CFC" w:rsidRPr="00555A65" w:rsidRDefault="00036CFC" w:rsidP="00677F69">
            <w:pPr>
              <w:contextualSpacing/>
              <w:rPr>
                <w:color w:val="auto"/>
                <w:sz w:val="19"/>
                <w:szCs w:val="19"/>
              </w:rPr>
            </w:pPr>
          </w:p>
        </w:tc>
      </w:tr>
      <w:tr w:rsidR="00036CFC" w:rsidRPr="00555A65" w14:paraId="70CA306F" w14:textId="77777777" w:rsidTr="00036CFC">
        <w:trPr>
          <w:trHeight w:val="340"/>
        </w:trPr>
        <w:tc>
          <w:tcPr>
            <w:tcW w:w="1526" w:type="dxa"/>
            <w:vMerge w:val="restart"/>
          </w:tcPr>
          <w:p w14:paraId="623DB432" w14:textId="77777777" w:rsidR="00036CFC" w:rsidRPr="00555A65" w:rsidRDefault="00036CFC" w:rsidP="00677F69">
            <w:pPr>
              <w:contextualSpacing/>
              <w:rPr>
                <w:color w:val="auto"/>
                <w:sz w:val="19"/>
                <w:szCs w:val="19"/>
              </w:rPr>
            </w:pPr>
            <w:r w:rsidRPr="00555A65">
              <w:rPr>
                <w:color w:val="auto"/>
                <w:sz w:val="19"/>
                <w:szCs w:val="19"/>
              </w:rPr>
              <w:t>Coorong</w:t>
            </w:r>
          </w:p>
        </w:tc>
        <w:tc>
          <w:tcPr>
            <w:tcW w:w="2835" w:type="dxa"/>
          </w:tcPr>
          <w:p w14:paraId="76131EC9" w14:textId="7989B075" w:rsidR="00036CFC" w:rsidRPr="00555A65" w:rsidRDefault="00036CFC" w:rsidP="00677F69">
            <w:pPr>
              <w:spacing w:line="240" w:lineRule="auto"/>
              <w:contextualSpacing/>
              <w:rPr>
                <w:color w:val="auto"/>
                <w:sz w:val="19"/>
                <w:szCs w:val="19"/>
              </w:rPr>
            </w:pPr>
            <w:r w:rsidRPr="00555A65">
              <w:rPr>
                <w:sz w:val="19"/>
                <w:szCs w:val="19"/>
              </w:rPr>
              <w:t>Monument Road</w:t>
            </w:r>
            <w:r w:rsidRPr="00555A65" w:rsidDel="00A413AE">
              <w:rPr>
                <w:sz w:val="19"/>
                <w:szCs w:val="19"/>
              </w:rPr>
              <w:t xml:space="preserve"> </w:t>
            </w:r>
          </w:p>
        </w:tc>
        <w:tc>
          <w:tcPr>
            <w:tcW w:w="3402" w:type="dxa"/>
            <w:vMerge/>
          </w:tcPr>
          <w:p w14:paraId="56910752" w14:textId="77777777" w:rsidR="00036CFC" w:rsidRPr="00555A65" w:rsidRDefault="00036CFC" w:rsidP="00677F69">
            <w:pPr>
              <w:contextualSpacing/>
              <w:rPr>
                <w:color w:val="auto"/>
                <w:sz w:val="19"/>
                <w:szCs w:val="19"/>
              </w:rPr>
            </w:pPr>
          </w:p>
        </w:tc>
        <w:tc>
          <w:tcPr>
            <w:tcW w:w="1417" w:type="dxa"/>
            <w:vMerge/>
          </w:tcPr>
          <w:p w14:paraId="14D2A9D6" w14:textId="77777777" w:rsidR="00036CFC" w:rsidRPr="00555A65" w:rsidRDefault="00036CFC" w:rsidP="00677F69">
            <w:pPr>
              <w:contextualSpacing/>
              <w:rPr>
                <w:color w:val="auto"/>
                <w:sz w:val="19"/>
                <w:szCs w:val="19"/>
              </w:rPr>
            </w:pPr>
          </w:p>
        </w:tc>
      </w:tr>
      <w:tr w:rsidR="00036CFC" w:rsidRPr="00555A65" w14:paraId="260A2C5D" w14:textId="77777777" w:rsidTr="00036CFC">
        <w:trPr>
          <w:trHeight w:val="340"/>
        </w:trPr>
        <w:tc>
          <w:tcPr>
            <w:tcW w:w="1526" w:type="dxa"/>
            <w:vMerge/>
          </w:tcPr>
          <w:p w14:paraId="17B10D49" w14:textId="77777777" w:rsidR="00036CFC" w:rsidRPr="00555A65" w:rsidRDefault="00036CFC" w:rsidP="00677F69">
            <w:pPr>
              <w:contextualSpacing/>
              <w:rPr>
                <w:sz w:val="19"/>
                <w:szCs w:val="19"/>
              </w:rPr>
            </w:pPr>
          </w:p>
        </w:tc>
        <w:tc>
          <w:tcPr>
            <w:tcW w:w="2835" w:type="dxa"/>
          </w:tcPr>
          <w:p w14:paraId="7E575FD7" w14:textId="77777777" w:rsidR="00036CFC" w:rsidRPr="00555A65" w:rsidRDefault="00036CFC" w:rsidP="00677F69">
            <w:pPr>
              <w:spacing w:line="240" w:lineRule="auto"/>
              <w:contextualSpacing/>
              <w:rPr>
                <w:sz w:val="19"/>
                <w:szCs w:val="19"/>
              </w:rPr>
            </w:pPr>
            <w:r w:rsidRPr="00555A65">
              <w:rPr>
                <w:sz w:val="19"/>
                <w:szCs w:val="19"/>
              </w:rPr>
              <w:t>Murray Mouth</w:t>
            </w:r>
          </w:p>
        </w:tc>
        <w:tc>
          <w:tcPr>
            <w:tcW w:w="3402" w:type="dxa"/>
            <w:vMerge/>
          </w:tcPr>
          <w:p w14:paraId="7904AF64" w14:textId="77777777" w:rsidR="00036CFC" w:rsidRPr="00555A65" w:rsidRDefault="00036CFC" w:rsidP="00677F69">
            <w:pPr>
              <w:contextualSpacing/>
              <w:rPr>
                <w:sz w:val="19"/>
                <w:szCs w:val="19"/>
              </w:rPr>
            </w:pPr>
          </w:p>
        </w:tc>
        <w:tc>
          <w:tcPr>
            <w:tcW w:w="1417" w:type="dxa"/>
            <w:vMerge/>
          </w:tcPr>
          <w:p w14:paraId="43C98BEF" w14:textId="77777777" w:rsidR="00036CFC" w:rsidRPr="00555A65" w:rsidRDefault="00036CFC" w:rsidP="00677F69">
            <w:pPr>
              <w:contextualSpacing/>
              <w:rPr>
                <w:sz w:val="19"/>
                <w:szCs w:val="19"/>
              </w:rPr>
            </w:pPr>
          </w:p>
        </w:tc>
      </w:tr>
      <w:tr w:rsidR="00036CFC" w:rsidRPr="00555A65" w14:paraId="239131E9" w14:textId="77777777" w:rsidTr="00036CFC">
        <w:trPr>
          <w:trHeight w:val="340"/>
        </w:trPr>
        <w:tc>
          <w:tcPr>
            <w:tcW w:w="1526" w:type="dxa"/>
            <w:vMerge/>
          </w:tcPr>
          <w:p w14:paraId="6F54ABC5" w14:textId="77777777" w:rsidR="00036CFC" w:rsidRPr="00555A65" w:rsidRDefault="00036CFC" w:rsidP="00677F69">
            <w:pPr>
              <w:contextualSpacing/>
              <w:rPr>
                <w:sz w:val="19"/>
                <w:szCs w:val="19"/>
              </w:rPr>
            </w:pPr>
          </w:p>
        </w:tc>
        <w:tc>
          <w:tcPr>
            <w:tcW w:w="2835" w:type="dxa"/>
          </w:tcPr>
          <w:p w14:paraId="1E4EA96B" w14:textId="32436287" w:rsidR="00036CFC" w:rsidRPr="00555A65" w:rsidRDefault="00036CFC" w:rsidP="00677F69">
            <w:pPr>
              <w:contextualSpacing/>
              <w:rPr>
                <w:sz w:val="19"/>
                <w:szCs w:val="19"/>
              </w:rPr>
            </w:pPr>
            <w:r w:rsidRPr="00555A65">
              <w:rPr>
                <w:sz w:val="19"/>
                <w:szCs w:val="19"/>
              </w:rPr>
              <w:t>Ewe Island</w:t>
            </w:r>
            <w:r w:rsidRPr="00555A65" w:rsidDel="00840623">
              <w:rPr>
                <w:sz w:val="19"/>
                <w:szCs w:val="19"/>
              </w:rPr>
              <w:t xml:space="preserve"> </w:t>
            </w:r>
          </w:p>
        </w:tc>
        <w:tc>
          <w:tcPr>
            <w:tcW w:w="3402" w:type="dxa"/>
            <w:vMerge/>
          </w:tcPr>
          <w:p w14:paraId="4AC6234B" w14:textId="77777777" w:rsidR="00036CFC" w:rsidRPr="00555A65" w:rsidRDefault="00036CFC" w:rsidP="00677F69">
            <w:pPr>
              <w:contextualSpacing/>
              <w:rPr>
                <w:sz w:val="19"/>
                <w:szCs w:val="19"/>
              </w:rPr>
            </w:pPr>
          </w:p>
        </w:tc>
        <w:tc>
          <w:tcPr>
            <w:tcW w:w="1417" w:type="dxa"/>
            <w:vMerge/>
          </w:tcPr>
          <w:p w14:paraId="2E44E1A5" w14:textId="77777777" w:rsidR="00036CFC" w:rsidRPr="00555A65" w:rsidRDefault="00036CFC" w:rsidP="00677F69">
            <w:pPr>
              <w:contextualSpacing/>
              <w:rPr>
                <w:sz w:val="19"/>
                <w:szCs w:val="19"/>
              </w:rPr>
            </w:pPr>
          </w:p>
        </w:tc>
      </w:tr>
      <w:tr w:rsidR="00036CFC" w:rsidRPr="00555A65" w14:paraId="2D92F0B5" w14:textId="77777777" w:rsidTr="00036CFC">
        <w:trPr>
          <w:trHeight w:val="340"/>
        </w:trPr>
        <w:tc>
          <w:tcPr>
            <w:tcW w:w="1526" w:type="dxa"/>
            <w:vMerge/>
          </w:tcPr>
          <w:p w14:paraId="14348F9D" w14:textId="77777777" w:rsidR="00036CFC" w:rsidRPr="00555A65" w:rsidRDefault="00036CFC" w:rsidP="00677F69">
            <w:pPr>
              <w:contextualSpacing/>
              <w:rPr>
                <w:sz w:val="19"/>
                <w:szCs w:val="19"/>
              </w:rPr>
            </w:pPr>
          </w:p>
        </w:tc>
        <w:tc>
          <w:tcPr>
            <w:tcW w:w="2835" w:type="dxa"/>
          </w:tcPr>
          <w:p w14:paraId="3F7636F4" w14:textId="5E27AFC8" w:rsidR="00036CFC" w:rsidRPr="00555A65" w:rsidRDefault="00036CFC" w:rsidP="00677F69">
            <w:pPr>
              <w:contextualSpacing/>
              <w:rPr>
                <w:sz w:val="19"/>
                <w:szCs w:val="19"/>
              </w:rPr>
            </w:pPr>
            <w:r w:rsidRPr="00555A65">
              <w:rPr>
                <w:sz w:val="19"/>
                <w:szCs w:val="19"/>
              </w:rPr>
              <w:t>Tauwitchere</w:t>
            </w:r>
          </w:p>
        </w:tc>
        <w:tc>
          <w:tcPr>
            <w:tcW w:w="3402" w:type="dxa"/>
            <w:vMerge/>
          </w:tcPr>
          <w:p w14:paraId="3526FBF8" w14:textId="77777777" w:rsidR="00036CFC" w:rsidRPr="00555A65" w:rsidRDefault="00036CFC" w:rsidP="00677F69">
            <w:pPr>
              <w:contextualSpacing/>
              <w:rPr>
                <w:sz w:val="19"/>
                <w:szCs w:val="19"/>
              </w:rPr>
            </w:pPr>
          </w:p>
        </w:tc>
        <w:tc>
          <w:tcPr>
            <w:tcW w:w="1417" w:type="dxa"/>
            <w:vMerge/>
          </w:tcPr>
          <w:p w14:paraId="339D1DF4" w14:textId="77777777" w:rsidR="00036CFC" w:rsidRPr="00555A65" w:rsidRDefault="00036CFC" w:rsidP="00677F69">
            <w:pPr>
              <w:contextualSpacing/>
              <w:rPr>
                <w:sz w:val="19"/>
                <w:szCs w:val="19"/>
              </w:rPr>
            </w:pPr>
          </w:p>
        </w:tc>
      </w:tr>
      <w:tr w:rsidR="00036CFC" w:rsidRPr="00555A65" w14:paraId="3B080657" w14:textId="77777777" w:rsidTr="00036CFC">
        <w:trPr>
          <w:trHeight w:val="340"/>
        </w:trPr>
        <w:tc>
          <w:tcPr>
            <w:tcW w:w="1526" w:type="dxa"/>
            <w:vMerge/>
          </w:tcPr>
          <w:p w14:paraId="79292C23" w14:textId="77777777" w:rsidR="00036CFC" w:rsidRPr="00555A65" w:rsidRDefault="00036CFC" w:rsidP="00677F69">
            <w:pPr>
              <w:contextualSpacing/>
              <w:rPr>
                <w:sz w:val="19"/>
                <w:szCs w:val="19"/>
              </w:rPr>
            </w:pPr>
          </w:p>
        </w:tc>
        <w:tc>
          <w:tcPr>
            <w:tcW w:w="2835" w:type="dxa"/>
          </w:tcPr>
          <w:p w14:paraId="3B8F397E" w14:textId="338F6439" w:rsidR="00036CFC" w:rsidRPr="00555A65" w:rsidRDefault="00036CFC" w:rsidP="00677F69">
            <w:pPr>
              <w:contextualSpacing/>
              <w:rPr>
                <w:sz w:val="19"/>
                <w:szCs w:val="19"/>
              </w:rPr>
            </w:pPr>
            <w:r w:rsidRPr="00555A65">
              <w:rPr>
                <w:sz w:val="19"/>
                <w:szCs w:val="19"/>
              </w:rPr>
              <w:t>Mark Point</w:t>
            </w:r>
            <w:r w:rsidRPr="00555A65" w:rsidDel="00A413AE">
              <w:rPr>
                <w:sz w:val="19"/>
                <w:szCs w:val="19"/>
              </w:rPr>
              <w:t xml:space="preserve"> </w:t>
            </w:r>
          </w:p>
        </w:tc>
        <w:tc>
          <w:tcPr>
            <w:tcW w:w="3402" w:type="dxa"/>
            <w:vMerge/>
          </w:tcPr>
          <w:p w14:paraId="009D7D81" w14:textId="77777777" w:rsidR="00036CFC" w:rsidRPr="00555A65" w:rsidRDefault="00036CFC" w:rsidP="00677F69">
            <w:pPr>
              <w:contextualSpacing/>
              <w:rPr>
                <w:sz w:val="19"/>
                <w:szCs w:val="19"/>
              </w:rPr>
            </w:pPr>
          </w:p>
        </w:tc>
        <w:tc>
          <w:tcPr>
            <w:tcW w:w="1417" w:type="dxa"/>
            <w:vMerge/>
          </w:tcPr>
          <w:p w14:paraId="34E47277" w14:textId="77777777" w:rsidR="00036CFC" w:rsidRPr="00555A65" w:rsidRDefault="00036CFC" w:rsidP="00677F69">
            <w:pPr>
              <w:contextualSpacing/>
              <w:rPr>
                <w:sz w:val="19"/>
                <w:szCs w:val="19"/>
              </w:rPr>
            </w:pPr>
          </w:p>
        </w:tc>
      </w:tr>
      <w:tr w:rsidR="00036CFC" w:rsidRPr="00555A65" w14:paraId="166E071A" w14:textId="77777777" w:rsidTr="00036CFC">
        <w:trPr>
          <w:trHeight w:val="340"/>
        </w:trPr>
        <w:tc>
          <w:tcPr>
            <w:tcW w:w="1526" w:type="dxa"/>
            <w:vMerge/>
          </w:tcPr>
          <w:p w14:paraId="3DE8050B" w14:textId="77777777" w:rsidR="00036CFC" w:rsidRPr="00555A65" w:rsidRDefault="00036CFC" w:rsidP="00677F69">
            <w:pPr>
              <w:contextualSpacing/>
              <w:rPr>
                <w:sz w:val="19"/>
                <w:szCs w:val="19"/>
              </w:rPr>
            </w:pPr>
          </w:p>
        </w:tc>
        <w:tc>
          <w:tcPr>
            <w:tcW w:w="2835" w:type="dxa"/>
          </w:tcPr>
          <w:p w14:paraId="09165975" w14:textId="77777777" w:rsidR="00036CFC" w:rsidRPr="00555A65" w:rsidRDefault="00036CFC" w:rsidP="00677F69">
            <w:pPr>
              <w:contextualSpacing/>
              <w:rPr>
                <w:sz w:val="19"/>
                <w:szCs w:val="19"/>
              </w:rPr>
            </w:pPr>
            <w:r w:rsidRPr="00555A65">
              <w:rPr>
                <w:sz w:val="19"/>
                <w:szCs w:val="19"/>
              </w:rPr>
              <w:t>Long Point</w:t>
            </w:r>
          </w:p>
        </w:tc>
        <w:tc>
          <w:tcPr>
            <w:tcW w:w="3402" w:type="dxa"/>
            <w:vMerge/>
          </w:tcPr>
          <w:p w14:paraId="3972848B" w14:textId="77777777" w:rsidR="00036CFC" w:rsidRPr="00555A65" w:rsidRDefault="00036CFC" w:rsidP="00677F69">
            <w:pPr>
              <w:contextualSpacing/>
              <w:rPr>
                <w:sz w:val="19"/>
                <w:szCs w:val="19"/>
              </w:rPr>
            </w:pPr>
          </w:p>
        </w:tc>
        <w:tc>
          <w:tcPr>
            <w:tcW w:w="1417" w:type="dxa"/>
            <w:vMerge/>
          </w:tcPr>
          <w:p w14:paraId="79539452" w14:textId="77777777" w:rsidR="00036CFC" w:rsidRPr="00555A65" w:rsidRDefault="00036CFC" w:rsidP="00677F69">
            <w:pPr>
              <w:contextualSpacing/>
              <w:rPr>
                <w:sz w:val="19"/>
                <w:szCs w:val="19"/>
              </w:rPr>
            </w:pPr>
          </w:p>
        </w:tc>
      </w:tr>
      <w:tr w:rsidR="00036CFC" w:rsidRPr="00555A65" w14:paraId="760D1D12" w14:textId="77777777" w:rsidTr="00036CFC">
        <w:trPr>
          <w:trHeight w:val="340"/>
        </w:trPr>
        <w:tc>
          <w:tcPr>
            <w:tcW w:w="1526" w:type="dxa"/>
            <w:vMerge/>
          </w:tcPr>
          <w:p w14:paraId="161326EC" w14:textId="77777777" w:rsidR="00036CFC" w:rsidRPr="00555A65" w:rsidRDefault="00036CFC" w:rsidP="00677F69">
            <w:pPr>
              <w:contextualSpacing/>
              <w:rPr>
                <w:sz w:val="19"/>
                <w:szCs w:val="19"/>
              </w:rPr>
            </w:pPr>
          </w:p>
        </w:tc>
        <w:tc>
          <w:tcPr>
            <w:tcW w:w="2835" w:type="dxa"/>
          </w:tcPr>
          <w:p w14:paraId="77C8E13B" w14:textId="77777777" w:rsidR="00036CFC" w:rsidRPr="00555A65" w:rsidRDefault="00036CFC" w:rsidP="00677F69">
            <w:pPr>
              <w:contextualSpacing/>
              <w:rPr>
                <w:sz w:val="19"/>
                <w:szCs w:val="19"/>
              </w:rPr>
            </w:pPr>
            <w:r w:rsidRPr="00555A65">
              <w:rPr>
                <w:sz w:val="19"/>
                <w:szCs w:val="19"/>
              </w:rPr>
              <w:t>Parnka Point</w:t>
            </w:r>
          </w:p>
        </w:tc>
        <w:tc>
          <w:tcPr>
            <w:tcW w:w="3402" w:type="dxa"/>
            <w:vMerge/>
          </w:tcPr>
          <w:p w14:paraId="707588CB" w14:textId="77777777" w:rsidR="00036CFC" w:rsidRPr="00555A65" w:rsidRDefault="00036CFC" w:rsidP="00677F69">
            <w:pPr>
              <w:contextualSpacing/>
              <w:rPr>
                <w:sz w:val="19"/>
                <w:szCs w:val="19"/>
              </w:rPr>
            </w:pPr>
          </w:p>
        </w:tc>
        <w:tc>
          <w:tcPr>
            <w:tcW w:w="1417" w:type="dxa"/>
            <w:vMerge/>
          </w:tcPr>
          <w:p w14:paraId="680DD765" w14:textId="77777777" w:rsidR="00036CFC" w:rsidRPr="00555A65" w:rsidRDefault="00036CFC" w:rsidP="00677F69">
            <w:pPr>
              <w:contextualSpacing/>
              <w:rPr>
                <w:sz w:val="19"/>
                <w:szCs w:val="19"/>
              </w:rPr>
            </w:pPr>
          </w:p>
        </w:tc>
      </w:tr>
      <w:tr w:rsidR="00036CFC" w:rsidRPr="00555A65" w14:paraId="27085EE1" w14:textId="77777777" w:rsidTr="00036CFC">
        <w:trPr>
          <w:trHeight w:val="340"/>
        </w:trPr>
        <w:tc>
          <w:tcPr>
            <w:tcW w:w="1526" w:type="dxa"/>
            <w:vMerge/>
          </w:tcPr>
          <w:p w14:paraId="70214481" w14:textId="77777777" w:rsidR="00036CFC" w:rsidRPr="00555A65" w:rsidRDefault="00036CFC" w:rsidP="00677F69">
            <w:pPr>
              <w:contextualSpacing/>
              <w:rPr>
                <w:sz w:val="19"/>
                <w:szCs w:val="19"/>
              </w:rPr>
            </w:pPr>
          </w:p>
        </w:tc>
        <w:tc>
          <w:tcPr>
            <w:tcW w:w="2835" w:type="dxa"/>
          </w:tcPr>
          <w:p w14:paraId="474E0A90" w14:textId="1F04AD02" w:rsidR="00036CFC" w:rsidRPr="00555A65" w:rsidRDefault="00036CFC" w:rsidP="00677F69">
            <w:pPr>
              <w:contextualSpacing/>
              <w:rPr>
                <w:sz w:val="19"/>
                <w:szCs w:val="19"/>
              </w:rPr>
            </w:pPr>
            <w:r w:rsidRPr="00555A65">
              <w:rPr>
                <w:sz w:val="19"/>
                <w:szCs w:val="19"/>
              </w:rPr>
              <w:t>Villa de Yumpa</w:t>
            </w:r>
          </w:p>
        </w:tc>
        <w:tc>
          <w:tcPr>
            <w:tcW w:w="3402" w:type="dxa"/>
            <w:vMerge/>
          </w:tcPr>
          <w:p w14:paraId="17F82057" w14:textId="77777777" w:rsidR="00036CFC" w:rsidRPr="00555A65" w:rsidRDefault="00036CFC" w:rsidP="00677F69">
            <w:pPr>
              <w:contextualSpacing/>
              <w:rPr>
                <w:sz w:val="19"/>
                <w:szCs w:val="19"/>
              </w:rPr>
            </w:pPr>
          </w:p>
        </w:tc>
        <w:tc>
          <w:tcPr>
            <w:tcW w:w="1417" w:type="dxa"/>
            <w:vMerge/>
          </w:tcPr>
          <w:p w14:paraId="24FD5DE8" w14:textId="77777777" w:rsidR="00036CFC" w:rsidRPr="00555A65" w:rsidRDefault="00036CFC" w:rsidP="00677F69">
            <w:pPr>
              <w:contextualSpacing/>
              <w:rPr>
                <w:sz w:val="19"/>
                <w:szCs w:val="19"/>
              </w:rPr>
            </w:pPr>
          </w:p>
        </w:tc>
      </w:tr>
      <w:tr w:rsidR="00036CFC" w:rsidRPr="00555A65" w14:paraId="05FF7100" w14:textId="77777777" w:rsidTr="00036CFC">
        <w:trPr>
          <w:trHeight w:val="340"/>
        </w:trPr>
        <w:tc>
          <w:tcPr>
            <w:tcW w:w="1526" w:type="dxa"/>
            <w:vMerge/>
          </w:tcPr>
          <w:p w14:paraId="072CB02A" w14:textId="77777777" w:rsidR="00036CFC" w:rsidRPr="00555A65" w:rsidRDefault="00036CFC" w:rsidP="00677F69">
            <w:pPr>
              <w:contextualSpacing/>
              <w:rPr>
                <w:sz w:val="19"/>
                <w:szCs w:val="19"/>
              </w:rPr>
            </w:pPr>
          </w:p>
        </w:tc>
        <w:tc>
          <w:tcPr>
            <w:tcW w:w="2835" w:type="dxa"/>
          </w:tcPr>
          <w:p w14:paraId="586EE73D" w14:textId="77777777" w:rsidR="00036CFC" w:rsidRPr="00555A65" w:rsidRDefault="00036CFC" w:rsidP="00677F69">
            <w:pPr>
              <w:contextualSpacing/>
              <w:rPr>
                <w:sz w:val="19"/>
                <w:szCs w:val="19"/>
              </w:rPr>
            </w:pPr>
            <w:r w:rsidRPr="00555A65">
              <w:rPr>
                <w:sz w:val="19"/>
                <w:szCs w:val="19"/>
              </w:rPr>
              <w:t xml:space="preserve">Jack Point (north) </w:t>
            </w:r>
          </w:p>
        </w:tc>
        <w:tc>
          <w:tcPr>
            <w:tcW w:w="3402" w:type="dxa"/>
            <w:vMerge/>
          </w:tcPr>
          <w:p w14:paraId="31AA00E7" w14:textId="77777777" w:rsidR="00036CFC" w:rsidRPr="00555A65" w:rsidRDefault="00036CFC" w:rsidP="00677F69">
            <w:pPr>
              <w:contextualSpacing/>
              <w:rPr>
                <w:sz w:val="19"/>
                <w:szCs w:val="19"/>
              </w:rPr>
            </w:pPr>
          </w:p>
        </w:tc>
        <w:tc>
          <w:tcPr>
            <w:tcW w:w="1417" w:type="dxa"/>
            <w:vMerge/>
          </w:tcPr>
          <w:p w14:paraId="61F16D6A" w14:textId="77777777" w:rsidR="00036CFC" w:rsidRPr="00555A65" w:rsidRDefault="00036CFC" w:rsidP="00677F69">
            <w:pPr>
              <w:contextualSpacing/>
              <w:rPr>
                <w:sz w:val="19"/>
                <w:szCs w:val="19"/>
              </w:rPr>
            </w:pPr>
          </w:p>
        </w:tc>
      </w:tr>
      <w:tr w:rsidR="00036CFC" w:rsidRPr="00555A65" w14:paraId="6452A4BF" w14:textId="77777777" w:rsidTr="00036CFC">
        <w:trPr>
          <w:trHeight w:val="340"/>
        </w:trPr>
        <w:tc>
          <w:tcPr>
            <w:tcW w:w="1526" w:type="dxa"/>
            <w:vMerge/>
          </w:tcPr>
          <w:p w14:paraId="339EB949" w14:textId="77777777" w:rsidR="00036CFC" w:rsidRPr="00555A65" w:rsidRDefault="00036CFC" w:rsidP="00677F69">
            <w:pPr>
              <w:contextualSpacing/>
              <w:rPr>
                <w:sz w:val="19"/>
                <w:szCs w:val="19"/>
              </w:rPr>
            </w:pPr>
          </w:p>
        </w:tc>
        <w:tc>
          <w:tcPr>
            <w:tcW w:w="2835" w:type="dxa"/>
          </w:tcPr>
          <w:p w14:paraId="6B36E668" w14:textId="77777777" w:rsidR="00036CFC" w:rsidRPr="00555A65" w:rsidRDefault="00036CFC" w:rsidP="00677F69">
            <w:pPr>
              <w:contextualSpacing/>
              <w:rPr>
                <w:sz w:val="19"/>
                <w:szCs w:val="19"/>
              </w:rPr>
            </w:pPr>
            <w:r w:rsidRPr="00555A65">
              <w:rPr>
                <w:sz w:val="19"/>
                <w:szCs w:val="19"/>
              </w:rPr>
              <w:t>Salt Creek (south)</w:t>
            </w:r>
          </w:p>
        </w:tc>
        <w:tc>
          <w:tcPr>
            <w:tcW w:w="3402" w:type="dxa"/>
            <w:vMerge/>
          </w:tcPr>
          <w:p w14:paraId="34320929" w14:textId="77777777" w:rsidR="00036CFC" w:rsidRPr="00555A65" w:rsidRDefault="00036CFC" w:rsidP="00677F69">
            <w:pPr>
              <w:contextualSpacing/>
              <w:rPr>
                <w:sz w:val="19"/>
                <w:szCs w:val="19"/>
              </w:rPr>
            </w:pPr>
          </w:p>
        </w:tc>
        <w:tc>
          <w:tcPr>
            <w:tcW w:w="1417" w:type="dxa"/>
            <w:vMerge/>
          </w:tcPr>
          <w:p w14:paraId="7E963A97" w14:textId="77777777" w:rsidR="00036CFC" w:rsidRPr="00555A65" w:rsidRDefault="00036CFC" w:rsidP="00677F69">
            <w:pPr>
              <w:contextualSpacing/>
              <w:rPr>
                <w:sz w:val="19"/>
                <w:szCs w:val="19"/>
              </w:rPr>
            </w:pPr>
          </w:p>
        </w:tc>
      </w:tr>
    </w:tbl>
    <w:p w14:paraId="3657324B" w14:textId="77777777" w:rsidR="00EA458F" w:rsidRDefault="00EA458F" w:rsidP="00EA458F">
      <w:pPr>
        <w:spacing w:before="0" w:after="200" w:line="276" w:lineRule="auto"/>
        <w:rPr>
          <w:b/>
          <w:color w:val="1F497D" w:themeColor="text2"/>
          <w:sz w:val="26"/>
          <w:szCs w:val="26"/>
        </w:rPr>
      </w:pPr>
    </w:p>
    <w:p w14:paraId="4A314308" w14:textId="77FB9B13" w:rsidR="00EA458F" w:rsidRPr="00553606" w:rsidRDefault="00E4596A" w:rsidP="00EA458F">
      <w:pPr>
        <w:spacing w:before="0" w:after="200" w:line="276" w:lineRule="auto"/>
        <w:rPr>
          <w:b/>
          <w:color w:val="1F497D" w:themeColor="text2"/>
          <w:sz w:val="26"/>
          <w:szCs w:val="26"/>
        </w:rPr>
      </w:pPr>
      <w:r>
        <w:rPr>
          <w:b/>
          <w:color w:val="1F497D" w:themeColor="text2"/>
          <w:sz w:val="26"/>
          <w:szCs w:val="26"/>
        </w:rPr>
        <w:t xml:space="preserve">Hydrodynamic–biogeochemical </w:t>
      </w:r>
      <w:r w:rsidR="00AD036D">
        <w:rPr>
          <w:b/>
          <w:color w:val="1F497D" w:themeColor="text2"/>
          <w:sz w:val="26"/>
          <w:szCs w:val="26"/>
        </w:rPr>
        <w:t>m</w:t>
      </w:r>
      <w:r w:rsidR="00EA458F">
        <w:rPr>
          <w:b/>
          <w:color w:val="1F497D" w:themeColor="text2"/>
          <w:sz w:val="26"/>
          <w:szCs w:val="26"/>
        </w:rPr>
        <w:t>odelling</w:t>
      </w:r>
    </w:p>
    <w:p w14:paraId="5EE5774D" w14:textId="36064701" w:rsidR="003669D5" w:rsidRPr="00F529A2" w:rsidRDefault="00996267" w:rsidP="003669D5">
      <w:r>
        <w:rPr>
          <w:lang w:val="en-US"/>
        </w:rPr>
        <w:t xml:space="preserve">To assess the effects of the environmental water delivery on salt and nutrient transport between Lock 1 and the Southern Ocean, a hydrodynamic-biogeochemical model was set-up and applied. </w:t>
      </w:r>
      <w:r>
        <w:rPr>
          <w:u w:color="0B4CB4"/>
          <w:lang w:val="en-US"/>
        </w:rPr>
        <w:t xml:space="preserve">The model platform used was the coupled hydrodynamic-biogeochemical model TUFLOW-FV-AED, developed by BMTWBM and the University of Western Australia. </w:t>
      </w:r>
      <w:r>
        <w:t>TUFLOW-FV is now used extensively in the region for hydrological purposes</w:t>
      </w:r>
      <w:r w:rsidR="00AA6DD2">
        <w:t>, and</w:t>
      </w:r>
      <w:r>
        <w:t xml:space="preserve"> was used to assess the contribution of environmental water to dissolved and particulate matter during 2013/14 and 2014/15 (</w:t>
      </w:r>
      <w:r>
        <w:rPr>
          <w:color w:val="auto"/>
          <w:lang w:val="en-US"/>
        </w:rPr>
        <w:t xml:space="preserve">Ye </w:t>
      </w:r>
      <w:r w:rsidRPr="00F529A2">
        <w:rPr>
          <w:i/>
          <w:color w:val="auto"/>
          <w:lang w:val="en-US"/>
        </w:rPr>
        <w:t>et al</w:t>
      </w:r>
      <w:r w:rsidR="008F1A86">
        <w:rPr>
          <w:color w:val="auto"/>
          <w:lang w:val="en-US"/>
        </w:rPr>
        <w:t>. 2016a</w:t>
      </w:r>
      <w:r w:rsidR="00AA6DD2">
        <w:rPr>
          <w:color w:val="auto"/>
          <w:lang w:val="en-US"/>
        </w:rPr>
        <w:t>;</w:t>
      </w:r>
      <w:r>
        <w:rPr>
          <w:color w:val="auto"/>
          <w:lang w:val="en-US"/>
        </w:rPr>
        <w:t xml:space="preserve"> 2016</w:t>
      </w:r>
      <w:r w:rsidR="008F1A86">
        <w:rPr>
          <w:color w:val="auto"/>
          <w:lang w:val="en-US"/>
        </w:rPr>
        <w:t>b</w:t>
      </w:r>
      <w:r>
        <w:t xml:space="preserve">). </w:t>
      </w:r>
      <w:r>
        <w:rPr>
          <w:lang w:val="en-US"/>
        </w:rPr>
        <w:t xml:space="preserve">A single </w:t>
      </w:r>
      <w:r>
        <w:rPr>
          <w:lang w:val="en-US"/>
        </w:rPr>
        <w:lastRenderedPageBreak/>
        <w:t xml:space="preserve">model domain was applied spanning Lock 1 to the Southern Ocean, including the </w:t>
      </w:r>
      <w:r w:rsidRPr="00EA458F">
        <w:rPr>
          <w:lang w:val="en-US"/>
        </w:rPr>
        <w:t>Coorong</w:t>
      </w:r>
      <w:r>
        <w:rPr>
          <w:u w:color="0B4CB4"/>
          <w:lang w:val="en-US"/>
        </w:rPr>
        <w:t xml:space="preserve"> (Figure F</w:t>
      </w:r>
      <w:r w:rsidRPr="00EA458F">
        <w:rPr>
          <w:u w:color="0B4CB4"/>
          <w:lang w:val="en-US"/>
        </w:rPr>
        <w:t>1).</w:t>
      </w:r>
      <w:r>
        <w:rPr>
          <w:lang w:val="en-US"/>
        </w:rPr>
        <w:t xml:space="preserve"> </w:t>
      </w:r>
      <w:r>
        <w:rPr>
          <w:u w:color="0B4CB4"/>
          <w:lang w:val="en-US"/>
        </w:rPr>
        <w:t>The TUFLOW-FV model (BMTWBM) adopts an unstructured-</w:t>
      </w:r>
      <w:r w:rsidRPr="00C83F41">
        <w:rPr>
          <w:color w:val="auto"/>
          <w:lang w:val="en-US"/>
        </w:rPr>
        <w:t>grid model that simulates velocity, temperature and salinity dynamics in response to meteorological and inflow dynamics. In this application, AED was configured to simulate the dynamics of light, oxygen, nutrients, organic matte</w:t>
      </w:r>
      <w:r>
        <w:rPr>
          <w:color w:val="auto"/>
          <w:lang w:val="en-US"/>
        </w:rPr>
        <w:t>r, turbidity and phytoplankton</w:t>
      </w:r>
      <w:r w:rsidR="003669D5" w:rsidRPr="00C83F41">
        <w:rPr>
          <w:color w:val="auto"/>
          <w:lang w:val="en-US"/>
        </w:rPr>
        <w:t xml:space="preserve">. </w:t>
      </w:r>
    </w:p>
    <w:p w14:paraId="241EA64E" w14:textId="77777777" w:rsidR="00EA458F" w:rsidRDefault="00EA458F" w:rsidP="00EA458F">
      <w:pPr>
        <w:widowControl w:val="0"/>
        <w:rPr>
          <w:u w:color="0B4CB4"/>
          <w:lang w:val="en-US"/>
        </w:rPr>
      </w:pPr>
      <w:r>
        <w:rPr>
          <w:noProof/>
          <w:u w:color="0B4CB4"/>
          <w:lang w:eastAsia="en-AU"/>
        </w:rPr>
        <w:lastRenderedPageBreak/>
        <w:drawing>
          <wp:inline distT="0" distB="0" distL="0" distR="0" wp14:anchorId="2F27F698" wp14:editId="2B2BE07D">
            <wp:extent cx="5411093" cy="8077200"/>
            <wp:effectExtent l="0" t="0" r="0" b="0"/>
            <wp:docPr id="58" name="Picture 58" descr="\\uofa\users$\users6\a1054786\Desktop\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fa\users$\users6\a1054786\Desktop\aa.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429514" cy="8104697"/>
                    </a:xfrm>
                    <a:prstGeom prst="rect">
                      <a:avLst/>
                    </a:prstGeom>
                    <a:noFill/>
                    <a:ln>
                      <a:noFill/>
                    </a:ln>
                  </pic:spPr>
                </pic:pic>
              </a:graphicData>
            </a:graphic>
          </wp:inline>
        </w:drawing>
      </w:r>
    </w:p>
    <w:p w14:paraId="46DED64D" w14:textId="77777777" w:rsidR="00EA458F" w:rsidRDefault="00EA458F" w:rsidP="00B46038">
      <w:pPr>
        <w:pStyle w:val="Captions"/>
        <w:rPr>
          <w:u w:color="0B4CB4"/>
        </w:rPr>
      </w:pPr>
      <w:bookmarkStart w:id="173" w:name="_Ref433017800"/>
      <w:r>
        <w:t>Figure</w:t>
      </w:r>
      <w:bookmarkEnd w:id="173"/>
      <w:r w:rsidR="00A27BD7">
        <w:t xml:space="preserve"> </w:t>
      </w:r>
      <w:r w:rsidR="00DF548C">
        <w:t>F</w:t>
      </w:r>
      <w:r>
        <w:t>1.</w:t>
      </w:r>
      <w:r>
        <w:rPr>
          <w:u w:color="0B4CB4"/>
        </w:rPr>
        <w:t xml:space="preserve"> Overview of model domain applied in this study using TUFLOW-FV. Grid provided courtesy of Department of Environment, Water and Natural Resources.</w:t>
      </w:r>
    </w:p>
    <w:p w14:paraId="6DD02B40" w14:textId="6C7132BA" w:rsidR="003669D5" w:rsidRPr="00A67C76" w:rsidRDefault="003669D5" w:rsidP="003669D5">
      <w:r>
        <w:rPr>
          <w:u w:color="0B4CB4"/>
          <w:lang w:val="en-US"/>
        </w:rPr>
        <w:lastRenderedPageBreak/>
        <w:t>The model runs were initialised with data from a range of data sources. Inflow data (Lock 1)</w:t>
      </w:r>
      <w:r w:rsidR="00AA6DD2">
        <w:rPr>
          <w:u w:color="0B4CB4"/>
          <w:lang w:val="en-US"/>
        </w:rPr>
        <w:t>,</w:t>
      </w:r>
      <w:r>
        <w:rPr>
          <w:u w:color="0B4CB4"/>
          <w:lang w:val="en-US"/>
        </w:rPr>
        <w:t xml:space="preserve"> used to drive the main river domain</w:t>
      </w:r>
      <w:r w:rsidR="00AA6DD2">
        <w:rPr>
          <w:u w:color="0B4CB4"/>
          <w:lang w:val="en-US"/>
        </w:rPr>
        <w:t>,</w:t>
      </w:r>
      <w:r>
        <w:rPr>
          <w:u w:color="0B4CB4"/>
          <w:lang w:val="en-US"/>
        </w:rPr>
        <w:t xml:space="preserve"> were provided by the Murray</w:t>
      </w:r>
      <w:r w:rsidR="009935B6">
        <w:rPr>
          <w:u w:color="0B4CB4"/>
          <w:lang w:val="en-US"/>
        </w:rPr>
        <w:t>–</w:t>
      </w:r>
      <w:r>
        <w:rPr>
          <w:u w:color="0B4CB4"/>
          <w:lang w:val="en-US"/>
        </w:rPr>
        <w:t xml:space="preserve">Darling Basin Authority for three scenarios (Figure </w:t>
      </w:r>
      <w:r w:rsidR="00DF548C">
        <w:rPr>
          <w:u w:color="0B4CB4"/>
          <w:lang w:val="en-US"/>
        </w:rPr>
        <w:t>F</w:t>
      </w:r>
      <w:r w:rsidRPr="00EA458F">
        <w:rPr>
          <w:u w:color="0B4CB4"/>
          <w:lang w:val="en-US"/>
        </w:rPr>
        <w:t>2):</w:t>
      </w:r>
    </w:p>
    <w:p w14:paraId="661829F0" w14:textId="16F932D9" w:rsidR="003669D5" w:rsidRPr="00A67C76" w:rsidRDefault="00AA6DD2" w:rsidP="003669D5">
      <w:pPr>
        <w:pStyle w:val="ListParagraph"/>
        <w:numPr>
          <w:ilvl w:val="0"/>
          <w:numId w:val="25"/>
        </w:numPr>
        <w:spacing w:before="240"/>
        <w:ind w:left="928"/>
      </w:pPr>
      <w:r>
        <w:t>‘</w:t>
      </w:r>
      <w:r w:rsidR="003669D5" w:rsidRPr="00A67C76">
        <w:t xml:space="preserve">with </w:t>
      </w:r>
      <w:r w:rsidR="003669D5">
        <w:t xml:space="preserve">all </w:t>
      </w:r>
      <w:r w:rsidR="003669D5" w:rsidRPr="00A67C76">
        <w:t>water</w:t>
      </w:r>
      <w:r>
        <w:t>’</w:t>
      </w:r>
      <w:r w:rsidR="003669D5">
        <w:t xml:space="preserve"> (i.e. observed, including all environmental </w:t>
      </w:r>
      <w:r w:rsidR="00445329">
        <w:t xml:space="preserve">and consumptive </w:t>
      </w:r>
      <w:r w:rsidR="003669D5">
        <w:t>water)</w:t>
      </w:r>
      <w:r w:rsidR="003669D5" w:rsidRPr="00A67C76">
        <w:t xml:space="preserve">; </w:t>
      </w:r>
    </w:p>
    <w:p w14:paraId="480DC769" w14:textId="52534E42" w:rsidR="003669D5" w:rsidRPr="00A67C76" w:rsidRDefault="003669D5" w:rsidP="003669D5">
      <w:pPr>
        <w:pStyle w:val="ListParagraph"/>
        <w:numPr>
          <w:ilvl w:val="0"/>
          <w:numId w:val="25"/>
        </w:numPr>
        <w:spacing w:before="240"/>
        <w:ind w:left="928"/>
      </w:pPr>
      <w:r w:rsidRPr="00A67C76">
        <w:t>with</w:t>
      </w:r>
      <w:r>
        <w:t>out C</w:t>
      </w:r>
      <w:r w:rsidRPr="00A67C76">
        <w:t>ommonwealth environmental water</w:t>
      </w:r>
      <w:r w:rsidR="00996267" w:rsidRPr="00996267">
        <w:t xml:space="preserve"> </w:t>
      </w:r>
      <w:r w:rsidR="00996267">
        <w:t>(</w:t>
      </w:r>
      <w:r w:rsidR="00AA6DD2">
        <w:t>‘</w:t>
      </w:r>
      <w:r w:rsidR="00996267">
        <w:t>No CEW</w:t>
      </w:r>
      <w:r w:rsidR="00AA6DD2">
        <w:t>’</w:t>
      </w:r>
      <w:r w:rsidR="00996267">
        <w:t>)</w:t>
      </w:r>
      <w:r w:rsidRPr="00A67C76">
        <w:t xml:space="preserve">; </w:t>
      </w:r>
      <w:r>
        <w:t>and</w:t>
      </w:r>
    </w:p>
    <w:p w14:paraId="53A7DE36" w14:textId="1582A978" w:rsidR="003669D5" w:rsidRPr="00A67C76" w:rsidRDefault="003669D5" w:rsidP="003669D5">
      <w:pPr>
        <w:pStyle w:val="ListParagraph"/>
        <w:numPr>
          <w:ilvl w:val="0"/>
          <w:numId w:val="25"/>
        </w:numPr>
        <w:spacing w:before="240"/>
        <w:ind w:left="928"/>
      </w:pPr>
      <w:r w:rsidRPr="00A67C76">
        <w:t xml:space="preserve">without </w:t>
      </w:r>
      <w:r>
        <w:t xml:space="preserve">any environmental </w:t>
      </w:r>
      <w:r w:rsidR="00996267">
        <w:t>water (</w:t>
      </w:r>
      <w:r w:rsidR="00AA6DD2">
        <w:t>‘</w:t>
      </w:r>
      <w:r w:rsidR="00996267">
        <w:t>No eWater</w:t>
      </w:r>
      <w:r w:rsidR="00AA6DD2">
        <w:t>’</w:t>
      </w:r>
      <w:r w:rsidR="00996267">
        <w:t>).</w:t>
      </w:r>
    </w:p>
    <w:p w14:paraId="6A049A00" w14:textId="7798A508" w:rsidR="003669D5" w:rsidRDefault="003669D5" w:rsidP="003669D5">
      <w:pPr>
        <w:rPr>
          <w:u w:color="0B4CB4"/>
          <w:lang w:val="en-US"/>
        </w:rPr>
      </w:pPr>
      <w:r>
        <w:rPr>
          <w:u w:color="0B4CB4"/>
          <w:lang w:val="en-US"/>
        </w:rPr>
        <w:t xml:space="preserve">These simulations were run for the period between </w:t>
      </w:r>
      <w:r w:rsidR="00996267">
        <w:rPr>
          <w:u w:color="0B4CB4"/>
          <w:lang w:val="en-US"/>
        </w:rPr>
        <w:t>July 2015 and June 2016.</w:t>
      </w:r>
      <w:r>
        <w:rPr>
          <w:u w:color="0B4CB4"/>
          <w:lang w:val="en-US"/>
        </w:rPr>
        <w:t xml:space="preserve"> </w:t>
      </w:r>
    </w:p>
    <w:p w14:paraId="4D94F0C7" w14:textId="2392FD27" w:rsidR="00EA458F" w:rsidRDefault="00996267" w:rsidP="00996267">
      <w:pPr>
        <w:jc w:val="center"/>
        <w:rPr>
          <w:rFonts w:ascii="Calibri" w:hAnsi="Calibri" w:cs="Calibri"/>
          <w:sz w:val="30"/>
          <w:szCs w:val="30"/>
          <w:u w:color="0B4CB4"/>
          <w:lang w:val="en-US"/>
        </w:rPr>
      </w:pPr>
      <w:r w:rsidRPr="00AA6DD2">
        <w:rPr>
          <w:noProof/>
          <w:lang w:eastAsia="en-AU"/>
        </w:rPr>
        <w:drawing>
          <wp:inline distT="0" distB="0" distL="0" distR="0" wp14:anchorId="59067C49" wp14:editId="68DAE26B">
            <wp:extent cx="4981575" cy="2695575"/>
            <wp:effectExtent l="0" t="0" r="9525" b="9525"/>
            <wp:docPr id="34" name="Picture 34" descr="E:\Upload 20161114\Lock1_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pload 20161114\Lock1_Flow.pn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981575" cy="2695575"/>
                    </a:xfrm>
                    <a:prstGeom prst="rect">
                      <a:avLst/>
                    </a:prstGeom>
                    <a:noFill/>
                    <a:ln>
                      <a:noFill/>
                    </a:ln>
                  </pic:spPr>
                </pic:pic>
              </a:graphicData>
            </a:graphic>
          </wp:inline>
        </w:drawing>
      </w:r>
    </w:p>
    <w:p w14:paraId="65E5E905" w14:textId="36001B45" w:rsidR="00EA458F" w:rsidRPr="007C7F00" w:rsidRDefault="00EA458F" w:rsidP="00B46038">
      <w:pPr>
        <w:pStyle w:val="Captions"/>
        <w:rPr>
          <w:u w:color="0B4CB4"/>
        </w:rPr>
      </w:pPr>
      <w:bookmarkStart w:id="174" w:name="_Ref433017843"/>
      <w:r>
        <w:t>Figur</w:t>
      </w:r>
      <w:bookmarkEnd w:id="174"/>
      <w:r w:rsidR="00A27BD7">
        <w:t xml:space="preserve">e </w:t>
      </w:r>
      <w:r w:rsidR="00DF548C">
        <w:t>F</w:t>
      </w:r>
      <w:r>
        <w:t xml:space="preserve">2. </w:t>
      </w:r>
      <w:r>
        <w:rPr>
          <w:u w:color="0B4CB4"/>
        </w:rPr>
        <w:t xml:space="preserve">Overview of </w:t>
      </w:r>
      <w:r w:rsidR="003669D5">
        <w:rPr>
          <w:u w:color="0B4CB4"/>
        </w:rPr>
        <w:t xml:space="preserve">the </w:t>
      </w:r>
      <w:r w:rsidR="003669D5" w:rsidRPr="003669D5">
        <w:rPr>
          <w:u w:color="0B4CB4"/>
        </w:rPr>
        <w:t>three flow scenarios assessed by the model simulations. Scenarios include with all water, without Commonwealth environmental water (No CEW) and without any environmental water (No eWater). Flows were applied to the model at the upstream Lock</w:t>
      </w:r>
      <w:r w:rsidR="00AA6DD2">
        <w:rPr>
          <w:u w:color="0B4CB4"/>
        </w:rPr>
        <w:t xml:space="preserve"> </w:t>
      </w:r>
      <w:r w:rsidR="003669D5" w:rsidRPr="003669D5">
        <w:rPr>
          <w:u w:color="0B4CB4"/>
        </w:rPr>
        <w:t>1 boundary.</w:t>
      </w:r>
    </w:p>
    <w:p w14:paraId="74EB19EB" w14:textId="7C91421C" w:rsidR="009821C1" w:rsidRDefault="009821C1" w:rsidP="009821C1">
      <w:pPr>
        <w:rPr>
          <w:u w:color="0B4CB4"/>
          <w:lang w:val="en-US"/>
        </w:rPr>
      </w:pPr>
      <w:r>
        <w:rPr>
          <w:u w:color="0B4CB4"/>
          <w:lang w:val="en-US"/>
        </w:rPr>
        <w:t xml:space="preserve">Additional flow specifications for SA Water off-takes were also included. Irrigation return flows were assumed to be negligible over this period and were not included in the model. Similarly, flows from Eastern Mount Lofty Ranges were not included since their contribution to the Lower Lakes </w:t>
      </w:r>
      <w:r w:rsidRPr="00C83F41">
        <w:rPr>
          <w:color w:val="auto"/>
          <w:lang w:val="en-US"/>
        </w:rPr>
        <w:t>is</w:t>
      </w:r>
      <w:r>
        <w:rPr>
          <w:color w:val="auto"/>
          <w:lang w:val="en-US"/>
        </w:rPr>
        <w:t xml:space="preserve"> considered to be relatively</w:t>
      </w:r>
      <w:r w:rsidRPr="00C83F41">
        <w:rPr>
          <w:color w:val="auto"/>
          <w:lang w:val="en-US"/>
        </w:rPr>
        <w:t xml:space="preserve"> minor (Cook</w:t>
      </w:r>
      <w:r w:rsidRPr="00C83F41">
        <w:rPr>
          <w:i/>
          <w:iCs/>
          <w:color w:val="auto"/>
          <w:lang w:val="en-US"/>
        </w:rPr>
        <w:t xml:space="preserve"> et al.</w:t>
      </w:r>
      <w:r w:rsidRPr="00C83F41">
        <w:rPr>
          <w:color w:val="auto"/>
          <w:lang w:val="en-US"/>
        </w:rPr>
        <w:t xml:space="preserve"> 2010). Meteorological conditions were based on</w:t>
      </w:r>
      <w:r w:rsidRPr="00C83F41">
        <w:rPr>
          <w:color w:val="auto"/>
          <w:u w:color="0B4CB4"/>
          <w:lang w:val="en-US"/>
        </w:rPr>
        <w:t xml:space="preserve"> </w:t>
      </w:r>
      <w:r>
        <w:rPr>
          <w:u w:color="0B4CB4"/>
          <w:lang w:val="en-US"/>
        </w:rPr>
        <w:t xml:space="preserve">data from Narrung. Between Lake Alexandrina and the Coorong four barrages were included (Goolwa, Mundoo, Ewe Island and Tauwitchere) and set with a spill-over height of 0.72 m AHD. The barrage operation was set to include gate operation based on operational information provided through discussions with representatives of Department of Environment, </w:t>
      </w:r>
      <w:r>
        <w:rPr>
          <w:u w:color="0B4CB4"/>
          <w:lang w:val="en-US"/>
        </w:rPr>
        <w:lastRenderedPageBreak/>
        <w:t xml:space="preserve">Water and Natural Resources. </w:t>
      </w:r>
      <w:r>
        <w:rPr>
          <w:lang w:val="en-US"/>
        </w:rPr>
        <w:t>At the bottom of the domain, two open boundaries were specified, one at the Murray Mouth and one at Salt Creek. Murray Mouth water level was based on Victor Harbor tidal data, which is available at 10 min resolution. Salt Creek flow data was set based on available flow data from the WaterConnect website (DEWNR).</w:t>
      </w:r>
    </w:p>
    <w:p w14:paraId="7A4E53B0" w14:textId="77777777" w:rsidR="009821C1" w:rsidRDefault="009821C1" w:rsidP="009821C1">
      <w:pPr>
        <w:widowControl w:val="0"/>
      </w:pPr>
      <w:r>
        <w:rPr>
          <w:u w:color="0B4CB4"/>
          <w:lang w:val="en-US"/>
        </w:rPr>
        <w:t xml:space="preserve">Water quality conditions for both boundary points were set based on a linear interpolation of the measured nutrient and salinity data collected as part of this study. Water quality conditions for the river inflow at Lock 1 were determined based on interpolation of available data from Lock 1 or Morgan. For water quality properties for the without environmental water scenarios, rating curves were developed for flow and concentration. Based on the daily flow difference, a scaled concentration was estimated for water quality parameters including salinity, phosphate, ammonium, nitrate, total nitrogen and silica. </w:t>
      </w:r>
      <w:r w:rsidRPr="00A67C76">
        <w:t xml:space="preserve">The physico-chemical information </w:t>
      </w:r>
      <w:r>
        <w:t xml:space="preserve">at other sites </w:t>
      </w:r>
      <w:r w:rsidRPr="00A67C76">
        <w:t xml:space="preserve">was used to validate </w:t>
      </w:r>
      <w:r>
        <w:t xml:space="preserve">the </w:t>
      </w:r>
      <w:r w:rsidRPr="00A67C76">
        <w:t>model</w:t>
      </w:r>
      <w:r>
        <w:t xml:space="preserve">. </w:t>
      </w:r>
    </w:p>
    <w:p w14:paraId="18AB3EB9" w14:textId="259A5DB2" w:rsidR="009821C1" w:rsidRDefault="009821C1" w:rsidP="009821C1">
      <w:r w:rsidRPr="001462BD">
        <w:t>The inf</w:t>
      </w:r>
      <w:r>
        <w:t>luence of environmental water</w:t>
      </w:r>
      <w:r w:rsidRPr="001462BD">
        <w:t xml:space="preserve"> on the concentrations of </w:t>
      </w:r>
      <w:r>
        <w:t>matter</w:t>
      </w:r>
      <w:r w:rsidRPr="001462BD">
        <w:t xml:space="preserve"> was assessed through a comparison of modelled concentrations </w:t>
      </w:r>
      <w:r>
        <w:t xml:space="preserve">for the various scenarios </w:t>
      </w:r>
      <w:r w:rsidRPr="001462BD">
        <w:t xml:space="preserve">for the </w:t>
      </w:r>
      <w:r w:rsidRPr="00622496">
        <w:t>Murray River Channel</w:t>
      </w:r>
      <w:r w:rsidRPr="001462BD">
        <w:t xml:space="preserve"> (Wellington), Lower Lakes (Lake Alexandrina Middle) and Murray Mouth. </w:t>
      </w:r>
      <w:r>
        <w:t xml:space="preserve">Modelled concentrations are presented as medians of modelled cells within areas surrounding sampling sites (Figure F3). A range in concentrations within those cells is also presented for the </w:t>
      </w:r>
      <w:r w:rsidR="00AA6DD2">
        <w:t>‘with all w</w:t>
      </w:r>
      <w:r>
        <w:t>ater</w:t>
      </w:r>
      <w:r w:rsidR="00AA6DD2">
        <w:t>’</w:t>
      </w:r>
      <w:r>
        <w:t xml:space="preserve"> scenario. </w:t>
      </w:r>
    </w:p>
    <w:p w14:paraId="097EEE10" w14:textId="2C8A7E04" w:rsidR="009821C1" w:rsidRDefault="009821C1" w:rsidP="009821C1">
      <w:pPr>
        <w:jc w:val="center"/>
      </w:pPr>
      <w:r>
        <w:rPr>
          <w:noProof/>
          <w:lang w:eastAsia="en-AU"/>
        </w:rPr>
        <w:lastRenderedPageBreak/>
        <w:drawing>
          <wp:inline distT="0" distB="0" distL="0" distR="0" wp14:anchorId="581129EE" wp14:editId="267CEFE5">
            <wp:extent cx="4464000" cy="3380785"/>
            <wp:effectExtent l="0" t="0" r="0" b="0"/>
            <wp:docPr id="35" name="Picture 35" descr="E:\Upload 20161114\Plotting 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pload 20161114\Plotting Sites.pn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4464000" cy="3380785"/>
                    </a:xfrm>
                    <a:prstGeom prst="rect">
                      <a:avLst/>
                    </a:prstGeom>
                    <a:noFill/>
                    <a:ln>
                      <a:noFill/>
                    </a:ln>
                  </pic:spPr>
                </pic:pic>
              </a:graphicData>
            </a:graphic>
          </wp:inline>
        </w:drawing>
      </w:r>
    </w:p>
    <w:p w14:paraId="1BFAB880" w14:textId="69DA0A5A" w:rsidR="009821C1" w:rsidRDefault="009821C1" w:rsidP="00B46038">
      <w:pPr>
        <w:pStyle w:val="Captions"/>
      </w:pPr>
      <w:r w:rsidRPr="00A323DD">
        <w:t>Figure F3.</w:t>
      </w:r>
      <w:r>
        <w:t xml:space="preserve"> Modelled cells (circled) used for calculating the modelled concentration of sites (Wellington, Lake Alexandrina Middle and Murray Mouth).</w:t>
      </w:r>
    </w:p>
    <w:p w14:paraId="33DB2816" w14:textId="694281E5" w:rsidR="009821C1" w:rsidRDefault="009821C1" w:rsidP="009821C1">
      <w:r w:rsidRPr="001462BD">
        <w:t xml:space="preserve">The transport of </w:t>
      </w:r>
      <w:r>
        <w:t>matter</w:t>
      </w:r>
      <w:r w:rsidRPr="001462BD">
        <w:t xml:space="preserve"> was assessed through modelled exports from the </w:t>
      </w:r>
      <w:r w:rsidRPr="00622496">
        <w:t>Murray River Channel</w:t>
      </w:r>
      <w:r w:rsidRPr="003F53C1">
        <w:t xml:space="preserve"> </w:t>
      </w:r>
      <w:r w:rsidRPr="001462BD">
        <w:t>(Wellington), Lower Lakes (Barrages) and Murray Mouth. Findings are presented for salinity, ammonium, phosphate, dissolved silica, organic nitrogen, organic phosphorus</w:t>
      </w:r>
      <w:r>
        <w:t xml:space="preserve"> and</w:t>
      </w:r>
      <w:r w:rsidRPr="001462BD">
        <w:t xml:space="preserve"> chlorophyll </w:t>
      </w:r>
      <w:r w:rsidRPr="001462BD">
        <w:rPr>
          <w:i/>
        </w:rPr>
        <w:t>a</w:t>
      </w:r>
      <w:r w:rsidRPr="001462BD">
        <w:t xml:space="preserve">. Salinity is presented as practical salinity units (PSU), a measurement of the </w:t>
      </w:r>
      <w:r w:rsidRPr="001462BD">
        <w:rPr>
          <w:rFonts w:eastAsiaTheme="minorHAnsi"/>
          <w:color w:val="auto"/>
          <w:kern w:val="0"/>
        </w:rPr>
        <w:t xml:space="preserve">measured conductivity to standard </w:t>
      </w:r>
      <w:r w:rsidR="00A323DD">
        <w:rPr>
          <w:rFonts w:eastAsiaTheme="minorHAnsi"/>
          <w:color w:val="auto"/>
          <w:kern w:val="0"/>
        </w:rPr>
        <w:t>potassium chloride (</w:t>
      </w:r>
      <w:r w:rsidRPr="001462BD">
        <w:rPr>
          <w:rFonts w:eastAsiaTheme="minorHAnsi"/>
          <w:color w:val="auto"/>
          <w:kern w:val="0"/>
        </w:rPr>
        <w:t>KCl</w:t>
      </w:r>
      <w:r w:rsidR="00A323DD">
        <w:rPr>
          <w:rFonts w:eastAsiaTheme="minorHAnsi"/>
          <w:color w:val="auto"/>
          <w:kern w:val="0"/>
        </w:rPr>
        <w:t>)</w:t>
      </w:r>
      <w:r w:rsidRPr="001462BD">
        <w:rPr>
          <w:rFonts w:eastAsiaTheme="minorHAnsi"/>
          <w:color w:val="auto"/>
          <w:kern w:val="0"/>
        </w:rPr>
        <w:t xml:space="preserve"> conductivity</w:t>
      </w:r>
      <w:r>
        <w:t xml:space="preserve">. PSU was used for validating model outputs as it overcomes observed differences in electrical conductivity caused by changes in water temperature. One </w:t>
      </w:r>
      <w:r w:rsidRPr="001462BD">
        <w:t>PSU is approximately equal to</w:t>
      </w:r>
      <w:r>
        <w:t xml:space="preserve"> part per thousand.</w:t>
      </w:r>
      <w:r w:rsidRPr="0091617C">
        <w:t xml:space="preserve"> </w:t>
      </w:r>
    </w:p>
    <w:p w14:paraId="05DF67ED" w14:textId="377E1DE9" w:rsidR="00EA458F" w:rsidRDefault="009821C1" w:rsidP="009821C1">
      <w:pPr>
        <w:rPr>
          <w:b/>
          <w:color w:val="1F497D" w:themeColor="text2"/>
          <w:sz w:val="26"/>
          <w:szCs w:val="26"/>
        </w:rPr>
      </w:pPr>
      <w:r w:rsidRPr="00A67C76">
        <w:t xml:space="preserve">The </w:t>
      </w:r>
      <w:r>
        <w:t>in</w:t>
      </w:r>
      <w:r w:rsidRPr="00A67C76">
        <w:t xml:space="preserve">flow data </w:t>
      </w:r>
      <w:r>
        <w:t xml:space="preserve">that were </w:t>
      </w:r>
      <w:r>
        <w:rPr>
          <w:u w:color="0B4CB4"/>
          <w:lang w:val="en-US"/>
        </w:rPr>
        <w:t xml:space="preserve">used to drive the main river domain </w:t>
      </w:r>
      <w:r w:rsidRPr="00A67C76">
        <w:t xml:space="preserve">are treated as indicative only </w:t>
      </w:r>
      <w:r>
        <w:t>as they do not</w:t>
      </w:r>
      <w:r w:rsidRPr="00A67C76">
        <w:t xml:space="preserve"> </w:t>
      </w:r>
      <w:r>
        <w:t xml:space="preserve">account for all </w:t>
      </w:r>
      <w:r w:rsidRPr="00A67C76">
        <w:t xml:space="preserve">complexities </w:t>
      </w:r>
      <w:r>
        <w:t>associated with</w:t>
      </w:r>
      <w:r w:rsidRPr="00A67C76">
        <w:t xml:space="preserve"> water accounting</w:t>
      </w:r>
      <w:r>
        <w:t>, water attenuation through the system and different management decisions that may have been made if the volume of environmental water provided had not been available (</w:t>
      </w:r>
      <w:r w:rsidRPr="00F318AD">
        <w:rPr>
          <w:rFonts w:cs="Arial"/>
          <w:color w:val="222222"/>
          <w:szCs w:val="22"/>
          <w:shd w:val="clear" w:color="auto" w:fill="FFFFFF"/>
        </w:rPr>
        <w:t>Neville Garland</w:t>
      </w:r>
      <w:r>
        <w:rPr>
          <w:rFonts w:cs="Arial"/>
          <w:color w:val="222222"/>
          <w:szCs w:val="22"/>
          <w:shd w:val="clear" w:color="auto" w:fill="FFFFFF"/>
        </w:rPr>
        <w:t>, MDBA,</w:t>
      </w:r>
      <w:r w:rsidRPr="00F318AD">
        <w:t xml:space="preserve"> </w:t>
      </w:r>
      <w:r>
        <w:t>pers. comm.</w:t>
      </w:r>
      <w:r w:rsidRPr="00F318AD">
        <w:rPr>
          <w:rFonts w:cs="Arial"/>
          <w:color w:val="222222"/>
          <w:szCs w:val="22"/>
          <w:shd w:val="clear" w:color="auto" w:fill="FFFFFF"/>
        </w:rPr>
        <w:t>)</w:t>
      </w:r>
      <w:r w:rsidRPr="00F318AD">
        <w:rPr>
          <w:szCs w:val="22"/>
        </w:rPr>
        <w:t>.</w:t>
      </w:r>
      <w:r>
        <w:t xml:space="preserve"> </w:t>
      </w:r>
      <w:r w:rsidRPr="00A67C76">
        <w:t xml:space="preserve">Assumptions </w:t>
      </w:r>
      <w:r>
        <w:t>made to address these complexities</w:t>
      </w:r>
      <w:r w:rsidRPr="00A67C76">
        <w:t xml:space="preserve"> result in uncertainty in the model outputs and so outputs are not be treated as absolute values</w:t>
      </w:r>
      <w:r>
        <w:t xml:space="preserve"> </w:t>
      </w:r>
      <w:r w:rsidRPr="00A67C76">
        <w:rPr>
          <w:noProof/>
        </w:rPr>
        <w:t>(refer to Aldridge</w:t>
      </w:r>
      <w:r w:rsidRPr="00A67C76">
        <w:rPr>
          <w:i/>
          <w:noProof/>
        </w:rPr>
        <w:t xml:space="preserve"> et al.</w:t>
      </w:r>
      <w:r w:rsidRPr="00A67C76">
        <w:rPr>
          <w:noProof/>
        </w:rPr>
        <w:t xml:space="preserve"> 2013 for more detail)</w:t>
      </w:r>
      <w:r w:rsidRPr="00A67C76">
        <w:t>. When assessing the relative differences between scenarios, the uncertainties are considered to influence the accuracy of each scenario equally and so the model outputs are used to assess the general re</w:t>
      </w:r>
      <w:r>
        <w:t>sponse to environmental water delivery</w:t>
      </w:r>
      <w:r w:rsidR="003669D5" w:rsidRPr="00A67C76">
        <w:t>.</w:t>
      </w:r>
      <w:r>
        <w:t xml:space="preserve"> </w:t>
      </w:r>
    </w:p>
    <w:p w14:paraId="66A2AC63" w14:textId="77777777" w:rsidR="00EA458F" w:rsidRDefault="00EE4CE2" w:rsidP="00EA458F">
      <w:pPr>
        <w:spacing w:before="0" w:after="200" w:line="276" w:lineRule="auto"/>
        <w:rPr>
          <w:b/>
          <w:color w:val="1F497D" w:themeColor="text2"/>
          <w:sz w:val="26"/>
          <w:szCs w:val="26"/>
        </w:rPr>
      </w:pPr>
      <w:r>
        <w:rPr>
          <w:b/>
          <w:color w:val="1F497D" w:themeColor="text2"/>
          <w:sz w:val="26"/>
          <w:szCs w:val="26"/>
        </w:rPr>
        <w:lastRenderedPageBreak/>
        <w:t>Results</w:t>
      </w:r>
    </w:p>
    <w:p w14:paraId="09BC4223" w14:textId="49D6FD58" w:rsidR="00553606" w:rsidRPr="00553606" w:rsidRDefault="009821C1" w:rsidP="00EA458F">
      <w:r>
        <w:t xml:space="preserve">The findings are discussed in </w:t>
      </w:r>
      <w:r w:rsidRPr="00EA458F">
        <w:t xml:space="preserve">Section </w:t>
      </w:r>
      <w:r>
        <w:fldChar w:fldCharType="begin"/>
      </w:r>
      <w:r>
        <w:instrText xml:space="preserve"> REF _Ref433384013 \r \h  \* MERGEFORMAT </w:instrText>
      </w:r>
      <w:r>
        <w:fldChar w:fldCharType="separate"/>
      </w:r>
      <w:r w:rsidR="004260C4">
        <w:t>2.2</w:t>
      </w:r>
      <w:r>
        <w:fldChar w:fldCharType="end"/>
      </w:r>
      <w:r w:rsidRPr="00EA458F">
        <w:t xml:space="preserve"> Matter Transport. Here, more detailed presentation of data is included </w:t>
      </w:r>
      <w:r>
        <w:t>(Figure</w:t>
      </w:r>
      <w:r w:rsidR="00A323DD">
        <w:t>s</w:t>
      </w:r>
      <w:r>
        <w:t xml:space="preserve"> F4</w:t>
      </w:r>
      <w:r w:rsidRPr="00EA458F">
        <w:t>–</w:t>
      </w:r>
      <w:r>
        <w:t>11</w:t>
      </w:r>
      <w:r w:rsidRPr="00EA458F">
        <w:t xml:space="preserve">) than in Section </w:t>
      </w:r>
      <w:r>
        <w:fldChar w:fldCharType="begin"/>
      </w:r>
      <w:r>
        <w:instrText xml:space="preserve"> REF _Ref433384022 \r \h  \* MERGEFORMAT </w:instrText>
      </w:r>
      <w:r>
        <w:fldChar w:fldCharType="separate"/>
      </w:r>
      <w:r w:rsidR="004260C4">
        <w:t>2.2</w:t>
      </w:r>
      <w:r>
        <w:fldChar w:fldCharType="end"/>
      </w:r>
      <w:r w:rsidRPr="00EA458F">
        <w:t xml:space="preserve"> Matter Transport, including field collected data used for model validation</w:t>
      </w:r>
      <w:r w:rsidR="00EA458F" w:rsidRPr="00EA458F">
        <w:t>.</w:t>
      </w:r>
      <w:r w:rsidR="00EA458F">
        <w:t xml:space="preserve"> </w:t>
      </w:r>
    </w:p>
    <w:p w14:paraId="5E14FEAD" w14:textId="096A70F7" w:rsidR="00CB3286" w:rsidRPr="00A67C76" w:rsidRDefault="009821C1" w:rsidP="00EA458F">
      <w:pPr>
        <w:spacing w:before="0" w:after="0" w:line="240" w:lineRule="auto"/>
        <w:jc w:val="center"/>
      </w:pPr>
      <w:r>
        <w:rPr>
          <w:noProof/>
          <w:lang w:eastAsia="en-AU"/>
        </w:rPr>
        <w:drawing>
          <wp:inline distT="0" distB="0" distL="0" distR="0" wp14:anchorId="537C7704" wp14:editId="68EEB2A3">
            <wp:extent cx="3572332" cy="6181344"/>
            <wp:effectExtent l="0" t="0" r="9525" b="0"/>
            <wp:docPr id="36" name="Picture 36" descr="E:\Upload 20161114\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pload 20161114\SAL.pn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570012" cy="6177329"/>
                    </a:xfrm>
                    <a:prstGeom prst="rect">
                      <a:avLst/>
                    </a:prstGeom>
                    <a:noFill/>
                    <a:ln>
                      <a:noFill/>
                    </a:ln>
                  </pic:spPr>
                </pic:pic>
              </a:graphicData>
            </a:graphic>
          </wp:inline>
        </w:drawing>
      </w:r>
    </w:p>
    <w:p w14:paraId="79934B08" w14:textId="69F879C6" w:rsidR="00EA458F" w:rsidRPr="00A67C76" w:rsidRDefault="00EA458F" w:rsidP="00B46038">
      <w:pPr>
        <w:pStyle w:val="Captions"/>
      </w:pPr>
      <w:bookmarkStart w:id="175" w:name="_Ref382209401"/>
      <w:bookmarkStart w:id="176" w:name="_Toc387843070"/>
      <w:r w:rsidRPr="00A67C76">
        <w:t>Figure</w:t>
      </w:r>
      <w:bookmarkEnd w:id="175"/>
      <w:r w:rsidR="00A27BD7">
        <w:t xml:space="preserve"> </w:t>
      </w:r>
      <w:bookmarkEnd w:id="176"/>
      <w:r w:rsidR="009821C1">
        <w:t>F4.</w:t>
      </w:r>
      <w:r w:rsidR="009821C1" w:rsidRPr="00A67C76">
        <w:t xml:space="preserve"> Observed and modelled </w:t>
      </w:r>
      <w:r w:rsidR="009821C1" w:rsidRPr="00A50250">
        <w:t>practical salinity units (PSU) at selected sites. Scenarios include with all water, without Commonwealth environmental water (No CEW) and without any environmental water (No eWater).</w:t>
      </w:r>
      <w:r w:rsidR="009821C1">
        <w:t xml:space="preserve"> Median values represent that of selected modelled cells surrounding sampling sites</w:t>
      </w:r>
      <w:r w:rsidR="00A50250" w:rsidRPr="00A50250">
        <w:t>.</w:t>
      </w:r>
    </w:p>
    <w:p w14:paraId="1C617168" w14:textId="37CEC32D" w:rsidR="00CB3286" w:rsidRPr="00A67C76" w:rsidRDefault="00677F69" w:rsidP="00EA458F">
      <w:pPr>
        <w:spacing w:before="0" w:after="0" w:line="240" w:lineRule="auto"/>
        <w:jc w:val="center"/>
      </w:pPr>
      <w:r>
        <w:rPr>
          <w:noProof/>
          <w:lang w:eastAsia="en-AU"/>
        </w:rPr>
        <w:lastRenderedPageBreak/>
        <w:drawing>
          <wp:inline distT="0" distB="0" distL="0" distR="0" wp14:anchorId="12227915" wp14:editId="4F8BC50A">
            <wp:extent cx="3048000" cy="5991225"/>
            <wp:effectExtent l="0" t="0" r="0" b="9525"/>
            <wp:docPr id="37" name="Picture 37" descr="E:\Upload 20161114\Sal_Fl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pload 20161114\Sal_Flux.pn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048000" cy="5991225"/>
                    </a:xfrm>
                    <a:prstGeom prst="rect">
                      <a:avLst/>
                    </a:prstGeom>
                    <a:noFill/>
                    <a:ln>
                      <a:noFill/>
                    </a:ln>
                  </pic:spPr>
                </pic:pic>
              </a:graphicData>
            </a:graphic>
          </wp:inline>
        </w:drawing>
      </w:r>
    </w:p>
    <w:p w14:paraId="308EA7FD" w14:textId="00762BF1" w:rsidR="00EA458F" w:rsidRPr="00A67C76" w:rsidRDefault="00EA458F" w:rsidP="00B46038">
      <w:pPr>
        <w:pStyle w:val="Captions"/>
      </w:pPr>
      <w:bookmarkStart w:id="177" w:name="_Ref382209479"/>
      <w:bookmarkStart w:id="178" w:name="_Toc387843071"/>
      <w:r w:rsidRPr="00A67C76">
        <w:t>Figure</w:t>
      </w:r>
      <w:bookmarkEnd w:id="177"/>
      <w:r w:rsidR="00A27BD7">
        <w:t xml:space="preserve"> </w:t>
      </w:r>
      <w:r w:rsidR="00677F69">
        <w:t>F5</w:t>
      </w:r>
      <w:r>
        <w:t>.</w:t>
      </w:r>
      <w:r w:rsidRPr="00A67C76">
        <w:t xml:space="preserve"> </w:t>
      </w:r>
      <w:r w:rsidR="00A50250" w:rsidRPr="00A50250">
        <w:t>Modelled cumulative salt exports (net) with and without environmental water delivery. Scenarios include with all water, without Commonwealth environmental water (No CEW) and without any environmental water (No eWater)</w:t>
      </w:r>
      <w:r>
        <w:t>.</w:t>
      </w:r>
      <w:bookmarkEnd w:id="178"/>
      <w:r w:rsidRPr="00A67C76">
        <w:t xml:space="preserve"> </w:t>
      </w:r>
    </w:p>
    <w:p w14:paraId="6BCF6C93" w14:textId="77777777" w:rsidR="00E60CEB" w:rsidRDefault="00E60CEB">
      <w:pPr>
        <w:spacing w:before="0" w:after="200" w:line="276" w:lineRule="auto"/>
        <w:sectPr w:rsidR="00E60CEB" w:rsidSect="00F020E5">
          <w:pgSz w:w="11900" w:h="16840" w:code="9"/>
          <w:pgMar w:top="1440" w:right="1440" w:bottom="1440" w:left="1440" w:header="709" w:footer="709" w:gutter="0"/>
          <w:cols w:space="708"/>
          <w:docGrid w:linePitch="360"/>
        </w:sectPr>
      </w:pPr>
    </w:p>
    <w:p w14:paraId="2D57A475" w14:textId="2FA8EC67" w:rsidR="00CB3286" w:rsidRPr="00A67C76" w:rsidRDefault="00677F69" w:rsidP="00E60CEB">
      <w:pPr>
        <w:spacing w:before="0" w:after="0" w:line="240" w:lineRule="auto"/>
        <w:jc w:val="center"/>
      </w:pPr>
      <w:r>
        <w:rPr>
          <w:noProof/>
          <w:lang w:eastAsia="en-AU"/>
        </w:rPr>
        <w:lastRenderedPageBreak/>
        <w:drawing>
          <wp:inline distT="0" distB="0" distL="0" distR="0" wp14:anchorId="7AE19DFB" wp14:editId="3C76ABC8">
            <wp:extent cx="7353300" cy="4434011"/>
            <wp:effectExtent l="0" t="0" r="0" b="5080"/>
            <wp:docPr id="39" name="Picture 39" descr="E:\Upload 20161114\N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pload 20161114\NH4.pn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7359321" cy="4437641"/>
                    </a:xfrm>
                    <a:prstGeom prst="rect">
                      <a:avLst/>
                    </a:prstGeom>
                    <a:noFill/>
                    <a:ln>
                      <a:noFill/>
                    </a:ln>
                  </pic:spPr>
                </pic:pic>
              </a:graphicData>
            </a:graphic>
          </wp:inline>
        </w:drawing>
      </w:r>
    </w:p>
    <w:p w14:paraId="685E2F57" w14:textId="43801516" w:rsidR="00E60CEB" w:rsidRDefault="00E60CEB" w:rsidP="00B46038">
      <w:pPr>
        <w:pStyle w:val="Captions"/>
        <w:rPr>
          <w:noProof/>
          <w:lang w:eastAsia="en-AU"/>
        </w:rPr>
      </w:pPr>
      <w:bookmarkStart w:id="179" w:name="_Ref382209525"/>
      <w:bookmarkStart w:id="180" w:name="_Toc387843072"/>
      <w:r w:rsidRPr="00A67C76">
        <w:t>Figure</w:t>
      </w:r>
      <w:bookmarkEnd w:id="179"/>
      <w:r w:rsidR="00A27BD7">
        <w:t xml:space="preserve"> </w:t>
      </w:r>
      <w:bookmarkEnd w:id="180"/>
      <w:r w:rsidR="00677F69">
        <w:t>F6.</w:t>
      </w:r>
      <w:r w:rsidR="00677F69" w:rsidRPr="00A67C76">
        <w:t xml:space="preserve"> Observed and </w:t>
      </w:r>
      <w:r w:rsidR="00677F69" w:rsidRPr="00A50250">
        <w:t>modelled ammonium (NH4), phosphate (PO4) and silica concentrations at selected sites. Scenarios include with all water, without Commonwealth environmental water (No CEW) and without any environmental water (No eWater).</w:t>
      </w:r>
      <w:r w:rsidR="00677F69" w:rsidRPr="00EF291A">
        <w:t xml:space="preserve"> </w:t>
      </w:r>
      <w:r w:rsidR="00677F69">
        <w:t>Median values represent that of selected modelled cells surrounding sampling sites.</w:t>
      </w:r>
    </w:p>
    <w:p w14:paraId="1E1E077A" w14:textId="77777777" w:rsidR="00CB3286" w:rsidRDefault="00CB3286" w:rsidP="00E60CEB">
      <w:pPr>
        <w:tabs>
          <w:tab w:val="left" w:pos="7140"/>
        </w:tabs>
        <w:jc w:val="center"/>
        <w:rPr>
          <w:noProof/>
          <w:lang w:eastAsia="en-AU"/>
        </w:rPr>
      </w:pPr>
    </w:p>
    <w:p w14:paraId="31B74373" w14:textId="55EF335B" w:rsidR="00CB3286" w:rsidRPr="00A67C76" w:rsidRDefault="00677F69" w:rsidP="00E60CEB">
      <w:pPr>
        <w:tabs>
          <w:tab w:val="left" w:pos="7140"/>
        </w:tabs>
        <w:jc w:val="center"/>
      </w:pPr>
      <w:r>
        <w:rPr>
          <w:noProof/>
          <w:lang w:eastAsia="en-AU"/>
        </w:rPr>
        <w:lastRenderedPageBreak/>
        <w:drawing>
          <wp:inline distT="0" distB="0" distL="0" distR="0" wp14:anchorId="5491FC2E" wp14:editId="7F844D8B">
            <wp:extent cx="7774207" cy="4923130"/>
            <wp:effectExtent l="0" t="0" r="0" b="0"/>
            <wp:docPr id="40" name="Picture 40" descr="E:\Upload 20161114\NH4_Fl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pload 20161114\NH4_Flux.pn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7774207" cy="4923130"/>
                    </a:xfrm>
                    <a:prstGeom prst="rect">
                      <a:avLst/>
                    </a:prstGeom>
                    <a:noFill/>
                    <a:ln>
                      <a:noFill/>
                    </a:ln>
                  </pic:spPr>
                </pic:pic>
              </a:graphicData>
            </a:graphic>
          </wp:inline>
        </w:drawing>
      </w:r>
    </w:p>
    <w:p w14:paraId="004AFDA4" w14:textId="23B5C5EF" w:rsidR="00E60CEB" w:rsidRDefault="00A27BD7" w:rsidP="00B46038">
      <w:pPr>
        <w:pStyle w:val="Captions"/>
      </w:pPr>
      <w:bookmarkStart w:id="181" w:name="_Toc387843074"/>
      <w:r>
        <w:t xml:space="preserve">Figure </w:t>
      </w:r>
      <w:r w:rsidR="00677F69">
        <w:t>F7</w:t>
      </w:r>
      <w:r w:rsidR="00E60CEB">
        <w:t>.</w:t>
      </w:r>
      <w:r w:rsidR="00E60CEB" w:rsidRPr="00A67C76">
        <w:t xml:space="preserve"> Modelled </w:t>
      </w:r>
      <w:bookmarkEnd w:id="181"/>
      <w:r w:rsidR="00A50250" w:rsidRPr="00A50250">
        <w:t>cumulative ammonium (NH4), phosphate (PO4) and silica exports (net) with and without environmental water delivery. Scenarios include with all water, without Commonwealth environmental water (No CEW) and without any environmental water (No eWater)</w:t>
      </w:r>
      <w:r w:rsidR="00E60CEB">
        <w:t>.</w:t>
      </w:r>
      <w:r w:rsidR="00E60CEB">
        <w:br w:type="page"/>
      </w:r>
    </w:p>
    <w:p w14:paraId="57F138AB" w14:textId="77777777" w:rsidR="00E60CEB" w:rsidRDefault="00E60CEB">
      <w:pPr>
        <w:spacing w:before="0" w:after="200" w:line="276" w:lineRule="auto"/>
        <w:sectPr w:rsidR="00E60CEB" w:rsidSect="00E60CEB">
          <w:pgSz w:w="16840" w:h="11900" w:orient="landscape" w:code="9"/>
          <w:pgMar w:top="1440" w:right="1440" w:bottom="1440" w:left="1440" w:header="709" w:footer="709" w:gutter="0"/>
          <w:cols w:space="708"/>
          <w:docGrid w:linePitch="360"/>
        </w:sectPr>
      </w:pPr>
    </w:p>
    <w:p w14:paraId="4BDDEDEC" w14:textId="23BBFC38" w:rsidR="00CB3286" w:rsidRDefault="00677F69" w:rsidP="00677F69">
      <w:pPr>
        <w:jc w:val="center"/>
      </w:pPr>
      <w:bookmarkStart w:id="182" w:name="_Toc387843073"/>
      <w:r>
        <w:rPr>
          <w:noProof/>
          <w:lang w:eastAsia="en-AU"/>
        </w:rPr>
        <w:lastRenderedPageBreak/>
        <w:drawing>
          <wp:inline distT="0" distB="0" distL="0" distR="0" wp14:anchorId="7DC7B2F4" wp14:editId="71675B8C">
            <wp:extent cx="5727700" cy="4954270"/>
            <wp:effectExtent l="0" t="0" r="6350" b="0"/>
            <wp:docPr id="46" name="Picture 46" descr="E:\Upload 20161114\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pload 20161114\ON.pn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727700" cy="4954270"/>
                    </a:xfrm>
                    <a:prstGeom prst="rect">
                      <a:avLst/>
                    </a:prstGeom>
                    <a:noFill/>
                    <a:ln>
                      <a:noFill/>
                    </a:ln>
                  </pic:spPr>
                </pic:pic>
              </a:graphicData>
            </a:graphic>
          </wp:inline>
        </w:drawing>
      </w:r>
    </w:p>
    <w:p w14:paraId="1CC13DAE" w14:textId="420BC354" w:rsidR="001B304E" w:rsidRDefault="00A27BD7" w:rsidP="00B46038">
      <w:pPr>
        <w:pStyle w:val="Captions"/>
      </w:pPr>
      <w:r>
        <w:t xml:space="preserve">Figure </w:t>
      </w:r>
      <w:bookmarkEnd w:id="182"/>
      <w:r w:rsidR="00677F69">
        <w:t>F8.</w:t>
      </w:r>
      <w:r w:rsidR="00677F69" w:rsidRPr="00A67C76">
        <w:t xml:space="preserve"> Observed </w:t>
      </w:r>
      <w:r w:rsidR="00677F69" w:rsidRPr="00A50250">
        <w:t xml:space="preserve">and modelled particulate organic </w:t>
      </w:r>
      <w:r w:rsidR="00677F69">
        <w:t xml:space="preserve">nitrogen (ON) and </w:t>
      </w:r>
      <w:r w:rsidR="00677F69" w:rsidRPr="00A50250">
        <w:t>phosphorus concentrations</w:t>
      </w:r>
      <w:r w:rsidR="00677F69">
        <w:t xml:space="preserve"> (OP)</w:t>
      </w:r>
      <w:r w:rsidR="00677F69" w:rsidRPr="00A50250">
        <w:t xml:space="preserve"> at selected sites. Scenarios include with all water, without Commonwealth environmental water (No CEW) and without any environmental water (No eWater).</w:t>
      </w:r>
      <w:r w:rsidR="00677F69" w:rsidRPr="00EF291A">
        <w:t xml:space="preserve"> </w:t>
      </w:r>
      <w:r w:rsidR="00677F69">
        <w:t>Median values represent that of selected modelled cells surrounding sampling sites.</w:t>
      </w:r>
    </w:p>
    <w:p w14:paraId="3C680A5D" w14:textId="1BFD4C28" w:rsidR="001B304E" w:rsidRDefault="001B304E" w:rsidP="001B304E">
      <w:pPr>
        <w:rPr>
          <w:noProof/>
          <w:lang w:eastAsia="en-AU"/>
        </w:rPr>
      </w:pPr>
    </w:p>
    <w:p w14:paraId="5F5F50B4" w14:textId="77777777" w:rsidR="00CB3286" w:rsidRDefault="00CB3286" w:rsidP="001B304E">
      <w:pPr>
        <w:rPr>
          <w:noProof/>
          <w:lang w:eastAsia="en-AU"/>
        </w:rPr>
      </w:pPr>
    </w:p>
    <w:p w14:paraId="025C98F1" w14:textId="77777777" w:rsidR="00CB3286" w:rsidRDefault="00CB3286" w:rsidP="001B304E">
      <w:pPr>
        <w:rPr>
          <w:noProof/>
          <w:lang w:eastAsia="en-AU"/>
        </w:rPr>
      </w:pPr>
    </w:p>
    <w:p w14:paraId="3564159E" w14:textId="77777777" w:rsidR="00CB3286" w:rsidRDefault="00CB3286" w:rsidP="001B304E">
      <w:pPr>
        <w:rPr>
          <w:noProof/>
          <w:lang w:eastAsia="en-AU"/>
        </w:rPr>
      </w:pPr>
    </w:p>
    <w:p w14:paraId="5B9E0D7D" w14:textId="77777777" w:rsidR="00CB3286" w:rsidRDefault="00CB3286" w:rsidP="001B304E">
      <w:pPr>
        <w:rPr>
          <w:noProof/>
          <w:lang w:eastAsia="en-AU"/>
        </w:rPr>
      </w:pPr>
    </w:p>
    <w:p w14:paraId="59786301" w14:textId="77777777" w:rsidR="00CB3286" w:rsidRDefault="00CB3286" w:rsidP="001B304E">
      <w:pPr>
        <w:rPr>
          <w:noProof/>
          <w:lang w:eastAsia="en-AU"/>
        </w:rPr>
      </w:pPr>
    </w:p>
    <w:p w14:paraId="7A7AFB18" w14:textId="77777777" w:rsidR="00CB3286" w:rsidRDefault="00CB3286" w:rsidP="001B304E">
      <w:pPr>
        <w:rPr>
          <w:noProof/>
          <w:lang w:eastAsia="en-AU"/>
        </w:rPr>
      </w:pPr>
    </w:p>
    <w:p w14:paraId="164B267D" w14:textId="61255E43" w:rsidR="00CB3286" w:rsidRPr="00A67C76" w:rsidRDefault="00677F69" w:rsidP="00677F69">
      <w:pPr>
        <w:jc w:val="center"/>
      </w:pPr>
      <w:r>
        <w:rPr>
          <w:noProof/>
          <w:lang w:eastAsia="en-AU"/>
        </w:rPr>
        <w:lastRenderedPageBreak/>
        <w:drawing>
          <wp:inline distT="0" distB="0" distL="0" distR="0" wp14:anchorId="719E1D82" wp14:editId="534C2D74">
            <wp:extent cx="5727700" cy="5310505"/>
            <wp:effectExtent l="0" t="0" r="6350" b="4445"/>
            <wp:docPr id="49" name="Picture 49" descr="E:\Upload 20161114\ON_Fl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pload 20161114\ON_Flux.pn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727700" cy="5310505"/>
                    </a:xfrm>
                    <a:prstGeom prst="rect">
                      <a:avLst/>
                    </a:prstGeom>
                    <a:noFill/>
                    <a:ln>
                      <a:noFill/>
                    </a:ln>
                  </pic:spPr>
                </pic:pic>
              </a:graphicData>
            </a:graphic>
          </wp:inline>
        </w:drawing>
      </w:r>
    </w:p>
    <w:p w14:paraId="7E625691" w14:textId="58513D2A" w:rsidR="001B304E" w:rsidRDefault="001B304E" w:rsidP="00B46038">
      <w:pPr>
        <w:pStyle w:val="Captions"/>
      </w:pPr>
      <w:bookmarkStart w:id="183" w:name="_Ref382209593"/>
      <w:bookmarkStart w:id="184" w:name="_Toc387843075"/>
      <w:r w:rsidRPr="00A67C76">
        <w:t>Figure</w:t>
      </w:r>
      <w:bookmarkEnd w:id="183"/>
      <w:r w:rsidR="00A27BD7">
        <w:t xml:space="preserve"> </w:t>
      </w:r>
      <w:r w:rsidR="00677F69">
        <w:t>F9</w:t>
      </w:r>
      <w:r>
        <w:t>.</w:t>
      </w:r>
      <w:r w:rsidRPr="00A67C76">
        <w:t xml:space="preserve"> Modelled </w:t>
      </w:r>
      <w:bookmarkEnd w:id="184"/>
      <w:r w:rsidR="00A50250" w:rsidRPr="00A50250">
        <w:t>cumulative particulate organic nitrogen (ON) and phosphorus (OP) exports (net) with and without environmental water delivery. Scenarios include with all water, without Commonwealth environmental water (No CEW) and without any environmental water (No eWater).</w:t>
      </w:r>
    </w:p>
    <w:p w14:paraId="1D9FEF24" w14:textId="77777777" w:rsidR="001B304E" w:rsidRDefault="001B304E" w:rsidP="001B304E">
      <w:pPr>
        <w:rPr>
          <w:lang w:val="en-US"/>
        </w:rPr>
      </w:pPr>
    </w:p>
    <w:p w14:paraId="1A2892E1" w14:textId="67158BF2" w:rsidR="00CB3286" w:rsidRPr="00A67C76" w:rsidRDefault="00677F69" w:rsidP="001B304E">
      <w:pPr>
        <w:spacing w:before="0" w:after="0" w:line="240" w:lineRule="auto"/>
        <w:jc w:val="center"/>
        <w:rPr>
          <w:b/>
          <w:bCs/>
        </w:rPr>
      </w:pPr>
      <w:bookmarkStart w:id="185" w:name="_Ref382209680"/>
      <w:r w:rsidRPr="00677F69">
        <w:rPr>
          <w:b/>
          <w:bCs/>
          <w:noProof/>
          <w:lang w:eastAsia="en-AU"/>
        </w:rPr>
        <w:lastRenderedPageBreak/>
        <w:drawing>
          <wp:inline distT="0" distB="0" distL="0" distR="0" wp14:anchorId="40A6B8A0" wp14:editId="5705B9AD">
            <wp:extent cx="3438525" cy="5857875"/>
            <wp:effectExtent l="0" t="0" r="9525" b="9525"/>
            <wp:docPr id="62" name="Picture 62" descr="E:\Upload 20161114\TCH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pload 20161114\TCHLA.pn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438525" cy="5857875"/>
                    </a:xfrm>
                    <a:prstGeom prst="rect">
                      <a:avLst/>
                    </a:prstGeom>
                    <a:noFill/>
                    <a:ln>
                      <a:noFill/>
                    </a:ln>
                  </pic:spPr>
                </pic:pic>
              </a:graphicData>
            </a:graphic>
          </wp:inline>
        </w:drawing>
      </w:r>
    </w:p>
    <w:p w14:paraId="484D2C9E" w14:textId="09D2C2D0" w:rsidR="001B304E" w:rsidRPr="00A67C76" w:rsidRDefault="001B304E" w:rsidP="00B46038">
      <w:pPr>
        <w:pStyle w:val="Captions"/>
      </w:pPr>
      <w:bookmarkStart w:id="186" w:name="_Ref387831244"/>
      <w:bookmarkStart w:id="187" w:name="_Toc387843076"/>
      <w:r w:rsidRPr="00A67C76">
        <w:t>Figure</w:t>
      </w:r>
      <w:bookmarkEnd w:id="185"/>
      <w:bookmarkEnd w:id="186"/>
      <w:r w:rsidR="00A27BD7">
        <w:t xml:space="preserve"> </w:t>
      </w:r>
      <w:bookmarkEnd w:id="187"/>
      <w:r w:rsidR="00677F69">
        <w:t>F10.</w:t>
      </w:r>
      <w:r w:rsidR="00677F69" w:rsidRPr="00A67C76">
        <w:t xml:space="preserve"> Observed </w:t>
      </w:r>
      <w:r w:rsidR="00677F69" w:rsidRPr="00A50250">
        <w:t>and modelled (with and without environmental watering) chlorophyll a concentrations with and without environmental flows. Scenarios include with all water, without Commonwealth environmental water (No CEW) and without any environmental water (No eWater).</w:t>
      </w:r>
      <w:r w:rsidR="00677F69" w:rsidRPr="00EF291A">
        <w:t xml:space="preserve"> </w:t>
      </w:r>
      <w:r w:rsidR="00677F69">
        <w:t>Median values represent that of selected modelled cells surrounding sampling sites.</w:t>
      </w:r>
    </w:p>
    <w:p w14:paraId="53B58F86" w14:textId="77777777" w:rsidR="001B304E" w:rsidRDefault="001B304E" w:rsidP="001B304E">
      <w:pPr>
        <w:rPr>
          <w:lang w:val="en-US"/>
        </w:rPr>
      </w:pPr>
    </w:p>
    <w:p w14:paraId="774FF79F" w14:textId="2197907D" w:rsidR="001B304E" w:rsidRDefault="001B304E" w:rsidP="001B304E">
      <w:pPr>
        <w:spacing w:before="0" w:after="0" w:line="240" w:lineRule="auto"/>
        <w:jc w:val="center"/>
        <w:rPr>
          <w:noProof/>
          <w:lang w:eastAsia="en-AU"/>
        </w:rPr>
      </w:pPr>
    </w:p>
    <w:p w14:paraId="4E8EE194" w14:textId="77777777" w:rsidR="00CB3286" w:rsidRDefault="00CB3286" w:rsidP="001B304E">
      <w:pPr>
        <w:spacing w:before="0" w:after="0" w:line="240" w:lineRule="auto"/>
        <w:jc w:val="center"/>
        <w:rPr>
          <w:noProof/>
          <w:lang w:eastAsia="en-AU"/>
        </w:rPr>
      </w:pPr>
    </w:p>
    <w:p w14:paraId="54365BEA" w14:textId="77777777" w:rsidR="00CB3286" w:rsidRDefault="00CB3286" w:rsidP="001B304E">
      <w:pPr>
        <w:spacing w:before="0" w:after="0" w:line="240" w:lineRule="auto"/>
        <w:jc w:val="center"/>
        <w:rPr>
          <w:noProof/>
          <w:lang w:eastAsia="en-AU"/>
        </w:rPr>
      </w:pPr>
    </w:p>
    <w:p w14:paraId="4470FEDE" w14:textId="77777777" w:rsidR="00CB3286" w:rsidRDefault="00CB3286" w:rsidP="001B304E">
      <w:pPr>
        <w:spacing w:before="0" w:after="0" w:line="240" w:lineRule="auto"/>
        <w:jc w:val="center"/>
        <w:rPr>
          <w:noProof/>
          <w:lang w:eastAsia="en-AU"/>
        </w:rPr>
      </w:pPr>
    </w:p>
    <w:p w14:paraId="3DEE62D7" w14:textId="77777777" w:rsidR="00CB3286" w:rsidRDefault="00CB3286" w:rsidP="001B304E">
      <w:pPr>
        <w:spacing w:before="0" w:after="0" w:line="240" w:lineRule="auto"/>
        <w:jc w:val="center"/>
        <w:rPr>
          <w:noProof/>
          <w:lang w:eastAsia="en-AU"/>
        </w:rPr>
      </w:pPr>
    </w:p>
    <w:p w14:paraId="7D52A3EC" w14:textId="77777777" w:rsidR="00CB3286" w:rsidRDefault="00CB3286" w:rsidP="001B304E">
      <w:pPr>
        <w:spacing w:before="0" w:after="0" w:line="240" w:lineRule="auto"/>
        <w:jc w:val="center"/>
        <w:rPr>
          <w:noProof/>
          <w:lang w:eastAsia="en-AU"/>
        </w:rPr>
      </w:pPr>
    </w:p>
    <w:p w14:paraId="6667A26C" w14:textId="77777777" w:rsidR="00CB3286" w:rsidRDefault="00CB3286" w:rsidP="001B304E">
      <w:pPr>
        <w:spacing w:before="0" w:after="0" w:line="240" w:lineRule="auto"/>
        <w:jc w:val="center"/>
        <w:rPr>
          <w:noProof/>
          <w:lang w:eastAsia="en-AU"/>
        </w:rPr>
      </w:pPr>
    </w:p>
    <w:p w14:paraId="30CEF5A8" w14:textId="77777777" w:rsidR="00CB3286" w:rsidRDefault="00CB3286" w:rsidP="001B304E">
      <w:pPr>
        <w:spacing w:before="0" w:after="0" w:line="240" w:lineRule="auto"/>
        <w:jc w:val="center"/>
        <w:rPr>
          <w:noProof/>
          <w:lang w:eastAsia="en-AU"/>
        </w:rPr>
      </w:pPr>
    </w:p>
    <w:p w14:paraId="617FCB68" w14:textId="7E9C61BB" w:rsidR="00CB3286" w:rsidRPr="00A67C76" w:rsidRDefault="00677F69" w:rsidP="001B304E">
      <w:pPr>
        <w:spacing w:before="0" w:after="0" w:line="240" w:lineRule="auto"/>
        <w:jc w:val="center"/>
      </w:pPr>
      <w:r>
        <w:rPr>
          <w:noProof/>
          <w:lang w:eastAsia="en-AU"/>
        </w:rPr>
        <w:lastRenderedPageBreak/>
        <w:drawing>
          <wp:inline distT="0" distB="0" distL="0" distR="0" wp14:anchorId="505E3DF7" wp14:editId="4A7C1076">
            <wp:extent cx="3067050" cy="5924550"/>
            <wp:effectExtent l="0" t="0" r="0" b="0"/>
            <wp:docPr id="63" name="Picture 63" descr="E:\Upload 20161114\GRN_Fl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pload 20161114\GRN_Flux.pn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067050" cy="5924550"/>
                    </a:xfrm>
                    <a:prstGeom prst="rect">
                      <a:avLst/>
                    </a:prstGeom>
                    <a:noFill/>
                    <a:ln>
                      <a:noFill/>
                    </a:ln>
                  </pic:spPr>
                </pic:pic>
              </a:graphicData>
            </a:graphic>
          </wp:inline>
        </w:drawing>
      </w:r>
    </w:p>
    <w:p w14:paraId="51DB76D6" w14:textId="08FDDB21" w:rsidR="001B304E" w:rsidRDefault="001B304E" w:rsidP="00B46038">
      <w:pPr>
        <w:pStyle w:val="Captions"/>
      </w:pPr>
      <w:bookmarkStart w:id="188" w:name="_Ref382209686"/>
      <w:bookmarkStart w:id="189" w:name="_Toc387843077"/>
      <w:r w:rsidRPr="00A67C76">
        <w:t>Figure</w:t>
      </w:r>
      <w:bookmarkEnd w:id="188"/>
      <w:r w:rsidR="00A27BD7">
        <w:t xml:space="preserve"> </w:t>
      </w:r>
      <w:bookmarkEnd w:id="189"/>
      <w:r w:rsidR="00677F69">
        <w:t>F11.</w:t>
      </w:r>
      <w:r w:rsidR="00677F69" w:rsidRPr="00A67C76">
        <w:t xml:space="preserve"> Modelled </w:t>
      </w:r>
      <w:r w:rsidR="00677F69" w:rsidRPr="00A50250">
        <w:t>cumulative phytoplankton (</w:t>
      </w:r>
      <w:r w:rsidR="00677F69">
        <w:t xml:space="preserve">GRN, </w:t>
      </w:r>
      <w:r w:rsidR="00677F69" w:rsidRPr="00A50250">
        <w:t>as measured by carbon) exports (net) with and without environmental water delivery. Scenarios include with all water, without Commonwealth environmental water (No CEW) and without any environmental water (No eWater).</w:t>
      </w:r>
    </w:p>
    <w:p w14:paraId="6B6AD51E" w14:textId="77777777" w:rsidR="001B304E" w:rsidRPr="001B304E" w:rsidRDefault="001B304E" w:rsidP="001B304E">
      <w:pPr>
        <w:rPr>
          <w:lang w:val="en-US"/>
        </w:rPr>
      </w:pPr>
    </w:p>
    <w:p w14:paraId="7C7ED6E2" w14:textId="77777777" w:rsidR="001B304E" w:rsidRDefault="001B304E" w:rsidP="001B304E"/>
    <w:p w14:paraId="29068707" w14:textId="77777777" w:rsidR="001B304E" w:rsidRDefault="001B304E">
      <w:pPr>
        <w:spacing w:before="0" w:after="200" w:line="276" w:lineRule="auto"/>
        <w:rPr>
          <w:rFonts w:eastAsiaTheme="majorEastAsia" w:cstheme="majorBidi"/>
          <w:b/>
          <w:bCs/>
          <w:caps/>
          <w:color w:val="1F497D" w:themeColor="text2"/>
          <w:sz w:val="32"/>
          <w:szCs w:val="28"/>
        </w:rPr>
      </w:pPr>
      <w:r>
        <w:br w:type="page"/>
      </w:r>
    </w:p>
    <w:p w14:paraId="7A76D2CF" w14:textId="77777777" w:rsidR="00D663A9" w:rsidRPr="00151507" w:rsidRDefault="00A27BD7" w:rsidP="00911210">
      <w:pPr>
        <w:pStyle w:val="Heading1"/>
        <w:numPr>
          <w:ilvl w:val="0"/>
          <w:numId w:val="0"/>
        </w:numPr>
      </w:pPr>
      <w:bookmarkStart w:id="190" w:name="_Toc441838753"/>
      <w:bookmarkStart w:id="191" w:name="_Toc474147078"/>
      <w:r>
        <w:lastRenderedPageBreak/>
        <w:t xml:space="preserve">Appendix </w:t>
      </w:r>
      <w:r w:rsidR="0047367A">
        <w:t>G</w:t>
      </w:r>
      <w:r w:rsidR="00D663A9" w:rsidRPr="00151507">
        <w:t>: Microinvertebrates</w:t>
      </w:r>
      <w:bookmarkEnd w:id="190"/>
      <w:bookmarkEnd w:id="191"/>
    </w:p>
    <w:p w14:paraId="3B82430A" w14:textId="77777777" w:rsidR="00D17DE6" w:rsidRPr="00D82F2B" w:rsidRDefault="00D17DE6" w:rsidP="00D17DE6">
      <w:pPr>
        <w:rPr>
          <w:b/>
          <w:color w:val="1F497D" w:themeColor="text2"/>
          <w:sz w:val="26"/>
          <w:szCs w:val="26"/>
        </w:rPr>
      </w:pPr>
      <w:r w:rsidRPr="00D82F2B">
        <w:rPr>
          <w:b/>
          <w:color w:val="1F497D" w:themeColor="text2"/>
          <w:sz w:val="26"/>
          <w:szCs w:val="26"/>
        </w:rPr>
        <w:t>Microinvertebrates</w:t>
      </w:r>
    </w:p>
    <w:p w14:paraId="0F52A995" w14:textId="77777777" w:rsidR="00D17DE6" w:rsidRPr="00D82F2B" w:rsidRDefault="00D82F2B" w:rsidP="00645AC8">
      <w:pPr>
        <w:rPr>
          <w:b/>
          <w:i/>
          <w:color w:val="1F497D" w:themeColor="text2"/>
          <w:sz w:val="24"/>
          <w:szCs w:val="24"/>
        </w:rPr>
      </w:pPr>
      <w:r w:rsidRPr="00D82F2B">
        <w:rPr>
          <w:b/>
          <w:i/>
          <w:color w:val="1F497D" w:themeColor="text2"/>
          <w:sz w:val="24"/>
          <w:szCs w:val="24"/>
        </w:rPr>
        <w:t>Background</w:t>
      </w:r>
    </w:p>
    <w:p w14:paraId="385DD9C4" w14:textId="6094192D" w:rsidR="003D371F" w:rsidRDefault="003D371F" w:rsidP="003D371F">
      <w:r w:rsidRPr="00F01413">
        <w:t>The aquatic microinvertebrate communit</w:t>
      </w:r>
      <w:r>
        <w:t>ies</w:t>
      </w:r>
      <w:r w:rsidRPr="00F01413">
        <w:t xml:space="preserve"> of the MDB are rapid re</w:t>
      </w:r>
      <w:r>
        <w:t>sponders to environmental flows. F</w:t>
      </w:r>
      <w:r w:rsidRPr="00F01413">
        <w:t>loodplain plankton communities respond within hours of overbank inundation, with egg production stimulated, resting propagules triggered, and resulting emergence changing the species composition and diversity of the resident assemblage within days (Tan and Shiel 1993).</w:t>
      </w:r>
      <w:r>
        <w:t xml:space="preserve"> In 2014/15, marked changes in microinvertebrate species composition below Lock 1 in the </w:t>
      </w:r>
      <w:r w:rsidR="00E15B13">
        <w:t xml:space="preserve">LMR during January were </w:t>
      </w:r>
      <w:r>
        <w:t xml:space="preserve">attributed to flooded littoral margins from the raising of upstream weir pools (Ye </w:t>
      </w:r>
      <w:r w:rsidRPr="00C9746A">
        <w:rPr>
          <w:i/>
        </w:rPr>
        <w:t>et al.</w:t>
      </w:r>
      <w:r>
        <w:t xml:space="preserve"> 2016</w:t>
      </w:r>
      <w:r w:rsidR="008F1A86">
        <w:t>a</w:t>
      </w:r>
      <w:r>
        <w:t xml:space="preserve">). Similarly, changes in the microinvertebrate community below Lock 6 in the LMR during November </w:t>
      </w:r>
      <w:r w:rsidRPr="00404022">
        <w:t xml:space="preserve">was associated with the regulated inundation of </w:t>
      </w:r>
      <w:r>
        <w:t xml:space="preserve">a large floodplain (Ye </w:t>
      </w:r>
      <w:r w:rsidRPr="00606A28">
        <w:rPr>
          <w:i/>
        </w:rPr>
        <w:t>et al.</w:t>
      </w:r>
      <w:r>
        <w:t xml:space="preserve"> 2016</w:t>
      </w:r>
      <w:r w:rsidR="008F1A86">
        <w:t>a</w:t>
      </w:r>
      <w:r>
        <w:t>).</w:t>
      </w:r>
    </w:p>
    <w:p w14:paraId="03780D99" w14:textId="77777777" w:rsidR="003D371F" w:rsidRPr="00F01413" w:rsidRDefault="003D371F" w:rsidP="003D371F">
      <w:r w:rsidRPr="00F01413">
        <w:t>To a</w:t>
      </w:r>
      <w:r>
        <w:t>ss</w:t>
      </w:r>
      <w:r w:rsidRPr="00F01413">
        <w:t>ess the responses of microinvertebrates in the LMR Selected Ar</w:t>
      </w:r>
      <w:r>
        <w:t>ea to delivery of Commonwealth environmental w</w:t>
      </w:r>
      <w:r w:rsidRPr="00F01413">
        <w:t>ater in the LMR Selected Area during 201</w:t>
      </w:r>
      <w:r>
        <w:t>5</w:t>
      </w:r>
      <w:r w:rsidRPr="00F01413">
        <w:t>/1</w:t>
      </w:r>
      <w:r>
        <w:t>6</w:t>
      </w:r>
      <w:r w:rsidRPr="00F01413">
        <w:t>,</w:t>
      </w:r>
      <w:r>
        <w:t xml:space="preserve"> t</w:t>
      </w:r>
      <w:r w:rsidRPr="00F01413">
        <w:t xml:space="preserve">he </w:t>
      </w:r>
      <w:r>
        <w:t xml:space="preserve">following evaluation </w:t>
      </w:r>
      <w:r w:rsidRPr="00F01413">
        <w:t xml:space="preserve">questions </w:t>
      </w:r>
      <w:r>
        <w:t>were</w:t>
      </w:r>
      <w:r w:rsidRPr="00F01413">
        <w:t xml:space="preserve"> addressed:</w:t>
      </w:r>
    </w:p>
    <w:p w14:paraId="2FAE4E72" w14:textId="77777777" w:rsidR="003D371F" w:rsidRPr="001A7F8A" w:rsidRDefault="003D371F" w:rsidP="003D371F">
      <w:pPr>
        <w:pStyle w:val="PlainText"/>
        <w:spacing w:line="276" w:lineRule="auto"/>
        <w:rPr>
          <w:rFonts w:ascii="Century Gothic" w:hAnsi="Century Gothic" w:cs="Tahoma"/>
          <w:color w:val="auto"/>
          <w:sz w:val="22"/>
          <w:szCs w:val="22"/>
        </w:rPr>
      </w:pPr>
      <w:r w:rsidRPr="001A7F8A">
        <w:rPr>
          <w:rFonts w:ascii="Century Gothic" w:hAnsi="Century Gothic" w:cs="Tahoma"/>
          <w:color w:val="auto"/>
          <w:sz w:val="22"/>
          <w:szCs w:val="22"/>
        </w:rPr>
        <w:t>What did C</w:t>
      </w:r>
      <w:r>
        <w:rPr>
          <w:rFonts w:ascii="Century Gothic" w:hAnsi="Century Gothic" w:cs="Tahoma"/>
          <w:color w:val="auto"/>
          <w:sz w:val="22"/>
          <w:szCs w:val="22"/>
        </w:rPr>
        <w:t>ommonwealth environmental water</w:t>
      </w:r>
      <w:r w:rsidRPr="001A7F8A">
        <w:rPr>
          <w:rFonts w:ascii="Century Gothic" w:hAnsi="Century Gothic" w:cs="Tahoma"/>
          <w:color w:val="auto"/>
          <w:sz w:val="22"/>
          <w:szCs w:val="22"/>
        </w:rPr>
        <w:t xml:space="preserve"> contribute:</w:t>
      </w:r>
    </w:p>
    <w:p w14:paraId="4D04372B" w14:textId="77777777" w:rsidR="003D371F" w:rsidRDefault="003D371F" w:rsidP="003D371F">
      <w:pPr>
        <w:pStyle w:val="PlainText"/>
        <w:numPr>
          <w:ilvl w:val="0"/>
          <w:numId w:val="11"/>
        </w:numPr>
        <w:ind w:left="357" w:hanging="357"/>
        <w:contextualSpacing/>
        <w:rPr>
          <w:rFonts w:ascii="Century Gothic" w:hAnsi="Century Gothic" w:cs="Tahoma"/>
          <w:color w:val="auto"/>
          <w:sz w:val="22"/>
          <w:szCs w:val="22"/>
        </w:rPr>
      </w:pPr>
      <w:r>
        <w:rPr>
          <w:rFonts w:ascii="Century Gothic" w:hAnsi="Century Gothic" w:cs="Tahoma"/>
          <w:color w:val="auto"/>
          <w:sz w:val="22"/>
          <w:szCs w:val="22"/>
        </w:rPr>
        <w:t>t</w:t>
      </w:r>
      <w:r w:rsidRPr="001A7F8A">
        <w:rPr>
          <w:rFonts w:ascii="Century Gothic" w:hAnsi="Century Gothic" w:cs="Tahoma"/>
          <w:color w:val="auto"/>
          <w:sz w:val="22"/>
          <w:szCs w:val="22"/>
        </w:rPr>
        <w:t>o microinvertebrate diversity?</w:t>
      </w:r>
    </w:p>
    <w:p w14:paraId="35C53899" w14:textId="77777777" w:rsidR="003D371F" w:rsidRPr="001A7F8A" w:rsidRDefault="003D371F" w:rsidP="003D371F">
      <w:pPr>
        <w:pStyle w:val="PlainText"/>
        <w:numPr>
          <w:ilvl w:val="0"/>
          <w:numId w:val="11"/>
        </w:numPr>
        <w:ind w:left="357" w:hanging="357"/>
        <w:contextualSpacing/>
        <w:rPr>
          <w:rFonts w:ascii="Century Gothic" w:hAnsi="Century Gothic" w:cs="Tahoma"/>
          <w:color w:val="auto"/>
          <w:sz w:val="22"/>
          <w:szCs w:val="22"/>
        </w:rPr>
      </w:pPr>
      <w:r>
        <w:rPr>
          <w:rFonts w:ascii="Century Gothic" w:hAnsi="Century Gothic" w:cs="Tahoma"/>
          <w:color w:val="auto"/>
          <w:sz w:val="22"/>
          <w:szCs w:val="22"/>
        </w:rPr>
        <w:t>to microinvertebrate abundance (density)?</w:t>
      </w:r>
    </w:p>
    <w:p w14:paraId="6A192676" w14:textId="77777777" w:rsidR="003D371F" w:rsidRPr="001A7F8A" w:rsidRDefault="003D371F" w:rsidP="003D371F">
      <w:pPr>
        <w:pStyle w:val="PlainText"/>
        <w:numPr>
          <w:ilvl w:val="0"/>
          <w:numId w:val="11"/>
        </w:numPr>
        <w:ind w:left="357" w:hanging="357"/>
        <w:contextualSpacing/>
        <w:rPr>
          <w:rFonts w:ascii="Century Gothic" w:hAnsi="Century Gothic" w:cs="Tahoma"/>
          <w:color w:val="auto"/>
          <w:sz w:val="22"/>
          <w:szCs w:val="22"/>
        </w:rPr>
      </w:pPr>
      <w:r>
        <w:rPr>
          <w:rFonts w:ascii="Century Gothic" w:hAnsi="Century Gothic" w:cs="Tahoma"/>
          <w:color w:val="auto"/>
          <w:sz w:val="22"/>
          <w:szCs w:val="22"/>
        </w:rPr>
        <w:t>v</w:t>
      </w:r>
      <w:r w:rsidRPr="001A7F8A">
        <w:rPr>
          <w:rFonts w:ascii="Century Gothic" w:hAnsi="Century Gothic" w:cs="Tahoma"/>
          <w:color w:val="auto"/>
          <w:sz w:val="22"/>
          <w:szCs w:val="22"/>
        </w:rPr>
        <w:t>ia upstream connectivity to microinvertebrate communities of the LMR Selected Area?</w:t>
      </w:r>
    </w:p>
    <w:p w14:paraId="4AACB0C6" w14:textId="60739409" w:rsidR="00D82F2B" w:rsidRPr="003D371F" w:rsidRDefault="003D371F" w:rsidP="003D371F">
      <w:pPr>
        <w:pStyle w:val="PlainText"/>
        <w:numPr>
          <w:ilvl w:val="0"/>
          <w:numId w:val="11"/>
        </w:numPr>
        <w:ind w:left="357" w:hanging="357"/>
        <w:contextualSpacing/>
        <w:rPr>
          <w:rFonts w:ascii="Century Gothic" w:hAnsi="Century Gothic" w:cs="Tahoma"/>
          <w:b/>
          <w:color w:val="auto"/>
          <w:sz w:val="22"/>
          <w:szCs w:val="22"/>
        </w:rPr>
      </w:pPr>
      <w:r>
        <w:rPr>
          <w:rFonts w:ascii="Century Gothic" w:hAnsi="Century Gothic" w:cs="Tahoma"/>
          <w:color w:val="auto"/>
          <w:sz w:val="22"/>
          <w:szCs w:val="22"/>
        </w:rPr>
        <w:t>t</w:t>
      </w:r>
      <w:r w:rsidRPr="001A7F8A">
        <w:rPr>
          <w:rFonts w:ascii="Century Gothic" w:hAnsi="Century Gothic" w:cs="Tahoma"/>
          <w:color w:val="auto"/>
          <w:sz w:val="22"/>
          <w:szCs w:val="22"/>
        </w:rPr>
        <w:t>o the timing of microinvertebrate productivity and presence of key species in relation to diet of golden perch larvae?</w:t>
      </w:r>
    </w:p>
    <w:p w14:paraId="5E068607" w14:textId="77777777" w:rsidR="00D82F2B" w:rsidRDefault="00D82F2B" w:rsidP="00D82F2B">
      <w:pPr>
        <w:rPr>
          <w:b/>
          <w:i/>
          <w:color w:val="1F497D" w:themeColor="text2"/>
          <w:sz w:val="24"/>
          <w:szCs w:val="24"/>
        </w:rPr>
      </w:pPr>
      <w:r>
        <w:rPr>
          <w:b/>
          <w:i/>
          <w:color w:val="1F497D" w:themeColor="text2"/>
          <w:sz w:val="24"/>
          <w:szCs w:val="24"/>
        </w:rPr>
        <w:t>Methods</w:t>
      </w:r>
    </w:p>
    <w:p w14:paraId="3B509C2D" w14:textId="77777777" w:rsidR="00D82F2B" w:rsidRPr="00F878B2" w:rsidRDefault="00D82F2B" w:rsidP="00D82F2B">
      <w:pPr>
        <w:rPr>
          <w:i/>
          <w:color w:val="auto"/>
          <w:sz w:val="24"/>
          <w:szCs w:val="24"/>
          <w:u w:val="single"/>
        </w:rPr>
      </w:pPr>
      <w:r w:rsidRPr="00F878B2">
        <w:rPr>
          <w:i/>
          <w:color w:val="auto"/>
          <w:sz w:val="24"/>
          <w:szCs w:val="24"/>
          <w:u w:val="single"/>
        </w:rPr>
        <w:t>Sampling sites and procedure</w:t>
      </w:r>
    </w:p>
    <w:p w14:paraId="1E8437D3" w14:textId="6F0487DA" w:rsidR="00D82F2B" w:rsidRPr="00F01413" w:rsidRDefault="003D371F" w:rsidP="00D82F2B">
      <w:pPr>
        <w:rPr>
          <w:highlight w:val="yellow"/>
        </w:rPr>
      </w:pPr>
      <w:r>
        <w:rPr>
          <w:szCs w:val="22"/>
        </w:rPr>
        <w:t>Microinvertebrate</w:t>
      </w:r>
      <w:r w:rsidRPr="00F01413">
        <w:t xml:space="preserve"> sampling was conducted approximately fortnightly between </w:t>
      </w:r>
      <w:r>
        <w:t>6</w:t>
      </w:r>
      <w:r w:rsidRPr="00F01413">
        <w:t xml:space="preserve"> </w:t>
      </w:r>
      <w:r>
        <w:t>October</w:t>
      </w:r>
      <w:r w:rsidRPr="00F01413">
        <w:t xml:space="preserve"> 201</w:t>
      </w:r>
      <w:r>
        <w:t>5</w:t>
      </w:r>
      <w:r w:rsidRPr="00F01413">
        <w:t xml:space="preserve"> and 2</w:t>
      </w:r>
      <w:r>
        <w:t>1</w:t>
      </w:r>
      <w:r w:rsidRPr="00F01413">
        <w:t xml:space="preserve"> January</w:t>
      </w:r>
      <w:r>
        <w:t xml:space="preserve"> 2016</w:t>
      </w:r>
      <w:r w:rsidRPr="00F01413">
        <w:t xml:space="preserve"> at three sites within the floodplain and gorge geomorphic zones of the LMR Selected Area</w:t>
      </w:r>
      <w:r w:rsidR="00D82F2B" w:rsidRPr="00F01413">
        <w:t xml:space="preserve"> (</w:t>
      </w:r>
      <w:r w:rsidR="00394AA8">
        <w:rPr>
          <w:highlight w:val="yellow"/>
        </w:rPr>
        <w:fldChar w:fldCharType="begin"/>
      </w:r>
      <w:r w:rsidR="00D82F2B">
        <w:instrText xml:space="preserve"> REF _Ref382232091 \h </w:instrText>
      </w:r>
      <w:r w:rsidR="00394AA8">
        <w:rPr>
          <w:highlight w:val="yellow"/>
        </w:rPr>
      </w:r>
      <w:r w:rsidR="00394AA8">
        <w:rPr>
          <w:highlight w:val="yellow"/>
        </w:rPr>
        <w:fldChar w:fldCharType="separate"/>
      </w:r>
      <w:r w:rsidR="004260C4" w:rsidRPr="00C757C7">
        <w:t xml:space="preserve">Figure </w:t>
      </w:r>
      <w:r w:rsidR="004260C4">
        <w:rPr>
          <w:noProof/>
        </w:rPr>
        <w:t>7</w:t>
      </w:r>
      <w:r w:rsidR="00394AA8">
        <w:rPr>
          <w:highlight w:val="yellow"/>
        </w:rPr>
        <w:fldChar w:fldCharType="end"/>
      </w:r>
      <w:r w:rsidR="00A04CD1">
        <w:t xml:space="preserve">; Table </w:t>
      </w:r>
      <w:r w:rsidR="0061623E">
        <w:t>G</w:t>
      </w:r>
      <w:r w:rsidR="00D82F2B" w:rsidRPr="00F01413">
        <w:t xml:space="preserve">1), </w:t>
      </w:r>
      <w:r w:rsidRPr="00F01413">
        <w:t>con</w:t>
      </w:r>
      <w:r w:rsidR="00C365DC">
        <w:t>current</w:t>
      </w:r>
      <w:r w:rsidRPr="00F01413">
        <w:t xml:space="preserve"> with larval fish sampling. Three replicate samples were tak</w:t>
      </w:r>
      <w:r>
        <w:t xml:space="preserve">en at each site during the day, </w:t>
      </w:r>
      <w:r>
        <w:lastRenderedPageBreak/>
        <w:t xml:space="preserve">while </w:t>
      </w:r>
      <w:r w:rsidRPr="00F01413">
        <w:t>three replicate samples were taken at night at the sites 5 km downstream of Lock 1 and 6</w:t>
      </w:r>
      <w:r>
        <w:t xml:space="preserve"> only</w:t>
      </w:r>
      <w:r w:rsidRPr="00F01413">
        <w:t>.</w:t>
      </w:r>
    </w:p>
    <w:p w14:paraId="515E6C73" w14:textId="77777777" w:rsidR="00D82F2B" w:rsidRPr="00C36455" w:rsidRDefault="00A27BD7" w:rsidP="00B46038">
      <w:pPr>
        <w:pStyle w:val="Captions"/>
      </w:pPr>
      <w:r>
        <w:t xml:space="preserve">Table </w:t>
      </w:r>
      <w:r w:rsidR="0061623E">
        <w:t>G</w:t>
      </w:r>
      <w:r w:rsidR="00151507">
        <w:t>1.</w:t>
      </w:r>
      <w:r w:rsidR="00D82F2B" w:rsidRPr="00C36455">
        <w:t xml:space="preserve"> Details of </w:t>
      </w:r>
      <w:r w:rsidR="004C5AFF" w:rsidRPr="004C5AFF">
        <w:t>microinvertebrate</w:t>
      </w:r>
      <w:r w:rsidR="00D82F2B" w:rsidRPr="00C36455">
        <w:t xml:space="preserve"> sampling sites downstream (DS) of Lock 1 and 6 in the LMR Selected Area.</w:t>
      </w:r>
    </w:p>
    <w:tbl>
      <w:tblPr>
        <w:tblW w:w="0" w:type="auto"/>
        <w:tblLook w:val="04A0" w:firstRow="1" w:lastRow="0" w:firstColumn="1" w:lastColumn="0" w:noHBand="0" w:noVBand="1"/>
      </w:tblPr>
      <w:tblGrid>
        <w:gridCol w:w="1560"/>
        <w:gridCol w:w="2211"/>
        <w:gridCol w:w="1701"/>
        <w:gridCol w:w="1871"/>
      </w:tblGrid>
      <w:tr w:rsidR="00D82F2B" w:rsidRPr="00555A65" w14:paraId="76B4D772" w14:textId="77777777" w:rsidTr="00396077">
        <w:trPr>
          <w:trHeight w:val="255"/>
        </w:trPr>
        <w:tc>
          <w:tcPr>
            <w:tcW w:w="1560" w:type="dxa"/>
            <w:tcBorders>
              <w:top w:val="single" w:sz="4" w:space="0" w:color="auto"/>
              <w:left w:val="nil"/>
              <w:bottom w:val="single" w:sz="4" w:space="0" w:color="auto"/>
              <w:right w:val="nil"/>
            </w:tcBorders>
            <w:vAlign w:val="center"/>
          </w:tcPr>
          <w:p w14:paraId="2E73469A" w14:textId="77777777" w:rsidR="00D82F2B" w:rsidRPr="00555A65" w:rsidRDefault="00D82F2B" w:rsidP="00396077">
            <w:pPr>
              <w:contextualSpacing/>
              <w:jc w:val="left"/>
              <w:rPr>
                <w:rFonts w:cs="Tahoma"/>
                <w:b/>
                <w:bCs/>
                <w:sz w:val="19"/>
                <w:szCs w:val="19"/>
              </w:rPr>
            </w:pPr>
            <w:r w:rsidRPr="00555A65">
              <w:rPr>
                <w:rFonts w:cs="Tahoma"/>
                <w:b/>
                <w:bCs/>
                <w:sz w:val="19"/>
                <w:szCs w:val="19"/>
              </w:rPr>
              <w:t>Zone</w:t>
            </w:r>
          </w:p>
        </w:tc>
        <w:tc>
          <w:tcPr>
            <w:tcW w:w="2211" w:type="dxa"/>
            <w:tcBorders>
              <w:top w:val="single" w:sz="4" w:space="0" w:color="auto"/>
              <w:left w:val="nil"/>
              <w:bottom w:val="single" w:sz="4" w:space="0" w:color="auto"/>
              <w:right w:val="nil"/>
            </w:tcBorders>
            <w:shd w:val="clear" w:color="auto" w:fill="auto"/>
            <w:noWrap/>
            <w:vAlign w:val="center"/>
            <w:hideMark/>
          </w:tcPr>
          <w:p w14:paraId="17685F15" w14:textId="77777777" w:rsidR="00D82F2B" w:rsidRPr="00555A65" w:rsidRDefault="00D82F2B" w:rsidP="00396077">
            <w:pPr>
              <w:contextualSpacing/>
              <w:jc w:val="center"/>
              <w:rPr>
                <w:rFonts w:cs="Tahoma"/>
                <w:b/>
                <w:bCs/>
                <w:sz w:val="19"/>
                <w:szCs w:val="19"/>
              </w:rPr>
            </w:pPr>
            <w:r w:rsidRPr="00555A65">
              <w:rPr>
                <w:rFonts w:cs="Tahoma"/>
                <w:b/>
                <w:bCs/>
                <w:sz w:val="19"/>
                <w:szCs w:val="19"/>
              </w:rPr>
              <w:t>Site</w:t>
            </w:r>
          </w:p>
        </w:tc>
        <w:tc>
          <w:tcPr>
            <w:tcW w:w="1701" w:type="dxa"/>
            <w:tcBorders>
              <w:top w:val="single" w:sz="4" w:space="0" w:color="auto"/>
              <w:left w:val="nil"/>
              <w:bottom w:val="single" w:sz="4" w:space="0" w:color="auto"/>
              <w:right w:val="nil"/>
            </w:tcBorders>
            <w:shd w:val="clear" w:color="auto" w:fill="auto"/>
            <w:noWrap/>
            <w:vAlign w:val="center"/>
            <w:hideMark/>
          </w:tcPr>
          <w:p w14:paraId="1A147A01" w14:textId="77777777" w:rsidR="00D82F2B" w:rsidRPr="00555A65" w:rsidRDefault="00D82F2B" w:rsidP="00102896">
            <w:pPr>
              <w:contextualSpacing/>
              <w:jc w:val="center"/>
              <w:rPr>
                <w:rFonts w:cs="Tahoma"/>
                <w:b/>
                <w:bCs/>
                <w:sz w:val="19"/>
                <w:szCs w:val="19"/>
              </w:rPr>
            </w:pPr>
            <w:r w:rsidRPr="00555A65">
              <w:rPr>
                <w:rFonts w:cs="Tahoma"/>
                <w:b/>
                <w:bCs/>
                <w:sz w:val="19"/>
                <w:szCs w:val="19"/>
              </w:rPr>
              <w:t>Latitude</w:t>
            </w:r>
          </w:p>
        </w:tc>
        <w:tc>
          <w:tcPr>
            <w:tcW w:w="1871" w:type="dxa"/>
            <w:tcBorders>
              <w:top w:val="single" w:sz="4" w:space="0" w:color="auto"/>
              <w:left w:val="nil"/>
              <w:bottom w:val="single" w:sz="4" w:space="0" w:color="auto"/>
              <w:right w:val="nil"/>
            </w:tcBorders>
            <w:shd w:val="clear" w:color="auto" w:fill="auto"/>
            <w:noWrap/>
            <w:vAlign w:val="center"/>
            <w:hideMark/>
          </w:tcPr>
          <w:p w14:paraId="1E9935E2" w14:textId="77777777" w:rsidR="00D82F2B" w:rsidRPr="00555A65" w:rsidRDefault="00D82F2B" w:rsidP="00102896">
            <w:pPr>
              <w:contextualSpacing/>
              <w:jc w:val="center"/>
              <w:rPr>
                <w:rFonts w:cs="Tahoma"/>
                <w:b/>
                <w:bCs/>
                <w:sz w:val="19"/>
                <w:szCs w:val="19"/>
              </w:rPr>
            </w:pPr>
            <w:r w:rsidRPr="00555A65">
              <w:rPr>
                <w:rFonts w:cs="Tahoma"/>
                <w:b/>
                <w:bCs/>
                <w:sz w:val="19"/>
                <w:szCs w:val="19"/>
              </w:rPr>
              <w:t>Longitude</w:t>
            </w:r>
          </w:p>
        </w:tc>
      </w:tr>
      <w:tr w:rsidR="00D82F2B" w:rsidRPr="00555A65" w14:paraId="2742E525" w14:textId="77777777" w:rsidTr="00396077">
        <w:trPr>
          <w:trHeight w:val="255"/>
        </w:trPr>
        <w:tc>
          <w:tcPr>
            <w:tcW w:w="1560" w:type="dxa"/>
            <w:tcBorders>
              <w:top w:val="single" w:sz="4" w:space="0" w:color="auto"/>
              <w:left w:val="nil"/>
              <w:bottom w:val="nil"/>
              <w:right w:val="nil"/>
            </w:tcBorders>
            <w:vAlign w:val="center"/>
          </w:tcPr>
          <w:p w14:paraId="12BA2109" w14:textId="77777777" w:rsidR="00D82F2B" w:rsidRPr="00555A65" w:rsidRDefault="00D82F2B" w:rsidP="00102896">
            <w:pPr>
              <w:contextualSpacing/>
              <w:rPr>
                <w:rFonts w:cs="Tahoma"/>
                <w:bCs/>
                <w:sz w:val="19"/>
                <w:szCs w:val="19"/>
              </w:rPr>
            </w:pPr>
            <w:r w:rsidRPr="00555A65">
              <w:rPr>
                <w:rFonts w:cs="Tahoma"/>
                <w:bCs/>
                <w:sz w:val="19"/>
                <w:szCs w:val="19"/>
              </w:rPr>
              <w:t>Floodplain</w:t>
            </w:r>
          </w:p>
        </w:tc>
        <w:tc>
          <w:tcPr>
            <w:tcW w:w="2211" w:type="dxa"/>
            <w:tcBorders>
              <w:top w:val="single" w:sz="4" w:space="0" w:color="auto"/>
              <w:left w:val="nil"/>
              <w:bottom w:val="nil"/>
              <w:right w:val="nil"/>
            </w:tcBorders>
            <w:shd w:val="clear" w:color="auto" w:fill="auto"/>
            <w:noWrap/>
            <w:vAlign w:val="center"/>
          </w:tcPr>
          <w:p w14:paraId="09920A0C" w14:textId="0826FE71" w:rsidR="00D82F2B" w:rsidRPr="00555A65" w:rsidRDefault="00D82F2B" w:rsidP="00396077">
            <w:pPr>
              <w:contextualSpacing/>
              <w:jc w:val="center"/>
              <w:rPr>
                <w:rFonts w:cs="Tahoma"/>
                <w:sz w:val="19"/>
                <w:szCs w:val="19"/>
              </w:rPr>
            </w:pPr>
            <w:r w:rsidRPr="00555A65">
              <w:rPr>
                <w:rFonts w:cs="Tahoma"/>
                <w:sz w:val="19"/>
                <w:szCs w:val="19"/>
              </w:rPr>
              <w:t>5 km DS Lock 6</w:t>
            </w:r>
          </w:p>
        </w:tc>
        <w:tc>
          <w:tcPr>
            <w:tcW w:w="1701" w:type="dxa"/>
            <w:tcBorders>
              <w:top w:val="single" w:sz="4" w:space="0" w:color="auto"/>
              <w:left w:val="nil"/>
              <w:bottom w:val="nil"/>
              <w:right w:val="nil"/>
            </w:tcBorders>
            <w:shd w:val="clear" w:color="auto" w:fill="auto"/>
            <w:noWrap/>
          </w:tcPr>
          <w:p w14:paraId="4298358B" w14:textId="77777777" w:rsidR="00D82F2B" w:rsidRPr="00555A65" w:rsidRDefault="00D82F2B" w:rsidP="00102896">
            <w:pPr>
              <w:contextualSpacing/>
              <w:jc w:val="center"/>
              <w:rPr>
                <w:rFonts w:cs="Tahoma"/>
                <w:sz w:val="19"/>
                <w:szCs w:val="19"/>
              </w:rPr>
            </w:pPr>
            <w:r w:rsidRPr="00555A65">
              <w:rPr>
                <w:rFonts w:cs="Tahoma"/>
                <w:sz w:val="19"/>
                <w:szCs w:val="19"/>
              </w:rPr>
              <w:t>S34.01902</w:t>
            </w:r>
          </w:p>
        </w:tc>
        <w:tc>
          <w:tcPr>
            <w:tcW w:w="1871" w:type="dxa"/>
            <w:tcBorders>
              <w:top w:val="single" w:sz="4" w:space="0" w:color="auto"/>
              <w:left w:val="nil"/>
              <w:bottom w:val="nil"/>
              <w:right w:val="nil"/>
            </w:tcBorders>
            <w:shd w:val="clear" w:color="auto" w:fill="auto"/>
            <w:noWrap/>
          </w:tcPr>
          <w:p w14:paraId="644ADE66" w14:textId="77777777" w:rsidR="00D82F2B" w:rsidRPr="00555A65" w:rsidRDefault="00D82F2B" w:rsidP="00102896">
            <w:pPr>
              <w:contextualSpacing/>
              <w:jc w:val="center"/>
              <w:rPr>
                <w:rFonts w:cs="Tahoma"/>
                <w:sz w:val="19"/>
                <w:szCs w:val="19"/>
              </w:rPr>
            </w:pPr>
            <w:r w:rsidRPr="00555A65">
              <w:rPr>
                <w:rFonts w:cs="Tahoma"/>
                <w:sz w:val="19"/>
                <w:szCs w:val="19"/>
              </w:rPr>
              <w:t>E140.87572</w:t>
            </w:r>
          </w:p>
        </w:tc>
      </w:tr>
      <w:tr w:rsidR="00D82F2B" w:rsidRPr="00555A65" w14:paraId="10F6A4BD" w14:textId="77777777" w:rsidTr="00396077">
        <w:trPr>
          <w:trHeight w:val="255"/>
        </w:trPr>
        <w:tc>
          <w:tcPr>
            <w:tcW w:w="1560" w:type="dxa"/>
            <w:tcBorders>
              <w:left w:val="nil"/>
              <w:bottom w:val="nil"/>
              <w:right w:val="nil"/>
            </w:tcBorders>
            <w:vAlign w:val="center"/>
          </w:tcPr>
          <w:p w14:paraId="4C5D7A1B" w14:textId="77777777" w:rsidR="00D82F2B" w:rsidRPr="00555A65" w:rsidRDefault="00D82F2B" w:rsidP="00102896">
            <w:pPr>
              <w:contextualSpacing/>
              <w:rPr>
                <w:rFonts w:cs="Tahoma"/>
                <w:bCs/>
                <w:sz w:val="19"/>
                <w:szCs w:val="19"/>
              </w:rPr>
            </w:pPr>
            <w:r w:rsidRPr="00555A65">
              <w:rPr>
                <w:rFonts w:cs="Tahoma"/>
                <w:bCs/>
                <w:sz w:val="19"/>
                <w:szCs w:val="19"/>
              </w:rPr>
              <w:t>Floodplain</w:t>
            </w:r>
          </w:p>
        </w:tc>
        <w:tc>
          <w:tcPr>
            <w:tcW w:w="2211" w:type="dxa"/>
            <w:tcBorders>
              <w:left w:val="nil"/>
              <w:bottom w:val="nil"/>
              <w:right w:val="nil"/>
            </w:tcBorders>
            <w:shd w:val="clear" w:color="auto" w:fill="auto"/>
            <w:noWrap/>
            <w:vAlign w:val="center"/>
          </w:tcPr>
          <w:p w14:paraId="39224A75" w14:textId="77777777" w:rsidR="00D82F2B" w:rsidRPr="00555A65" w:rsidRDefault="00D82F2B" w:rsidP="00396077">
            <w:pPr>
              <w:contextualSpacing/>
              <w:jc w:val="center"/>
              <w:rPr>
                <w:rFonts w:cs="Tahoma"/>
                <w:sz w:val="19"/>
                <w:szCs w:val="19"/>
              </w:rPr>
            </w:pPr>
            <w:r w:rsidRPr="00555A65">
              <w:rPr>
                <w:rFonts w:cs="Tahoma"/>
                <w:sz w:val="19"/>
                <w:szCs w:val="19"/>
              </w:rPr>
              <w:t>7 km DS Lock 6</w:t>
            </w:r>
          </w:p>
        </w:tc>
        <w:tc>
          <w:tcPr>
            <w:tcW w:w="1701" w:type="dxa"/>
            <w:tcBorders>
              <w:left w:val="nil"/>
              <w:bottom w:val="nil"/>
              <w:right w:val="nil"/>
            </w:tcBorders>
            <w:shd w:val="clear" w:color="auto" w:fill="auto"/>
            <w:noWrap/>
          </w:tcPr>
          <w:p w14:paraId="738F2C83" w14:textId="77777777" w:rsidR="00D82F2B" w:rsidRPr="00555A65" w:rsidRDefault="00D82F2B" w:rsidP="00102896">
            <w:pPr>
              <w:contextualSpacing/>
              <w:jc w:val="center"/>
              <w:rPr>
                <w:rFonts w:cs="Tahoma"/>
                <w:sz w:val="19"/>
                <w:szCs w:val="19"/>
              </w:rPr>
            </w:pPr>
            <w:r w:rsidRPr="00555A65">
              <w:rPr>
                <w:rFonts w:cs="Tahoma"/>
                <w:sz w:val="19"/>
                <w:szCs w:val="19"/>
              </w:rPr>
              <w:t>S34.01764</w:t>
            </w:r>
          </w:p>
        </w:tc>
        <w:tc>
          <w:tcPr>
            <w:tcW w:w="1871" w:type="dxa"/>
            <w:tcBorders>
              <w:left w:val="nil"/>
              <w:bottom w:val="nil"/>
              <w:right w:val="nil"/>
            </w:tcBorders>
            <w:shd w:val="clear" w:color="auto" w:fill="auto"/>
            <w:noWrap/>
          </w:tcPr>
          <w:p w14:paraId="56AB9EC4" w14:textId="77777777" w:rsidR="00D82F2B" w:rsidRPr="00555A65" w:rsidRDefault="00D82F2B" w:rsidP="00102896">
            <w:pPr>
              <w:contextualSpacing/>
              <w:jc w:val="center"/>
              <w:rPr>
                <w:rFonts w:cs="Tahoma"/>
                <w:sz w:val="19"/>
                <w:szCs w:val="19"/>
              </w:rPr>
            </w:pPr>
            <w:r w:rsidRPr="00555A65">
              <w:rPr>
                <w:rFonts w:cs="Tahoma"/>
                <w:sz w:val="19"/>
                <w:szCs w:val="19"/>
              </w:rPr>
              <w:t>E140.85461</w:t>
            </w:r>
          </w:p>
        </w:tc>
      </w:tr>
      <w:tr w:rsidR="00D82F2B" w:rsidRPr="00555A65" w14:paraId="114F2328" w14:textId="77777777" w:rsidTr="00396077">
        <w:trPr>
          <w:trHeight w:val="255"/>
        </w:trPr>
        <w:tc>
          <w:tcPr>
            <w:tcW w:w="1560" w:type="dxa"/>
            <w:tcBorders>
              <w:left w:val="nil"/>
              <w:bottom w:val="nil"/>
              <w:right w:val="nil"/>
            </w:tcBorders>
            <w:vAlign w:val="center"/>
          </w:tcPr>
          <w:p w14:paraId="611AB0D6" w14:textId="77777777" w:rsidR="00D82F2B" w:rsidRPr="00555A65" w:rsidRDefault="00D82F2B" w:rsidP="00102896">
            <w:pPr>
              <w:contextualSpacing/>
              <w:rPr>
                <w:rFonts w:cs="Tahoma"/>
                <w:bCs/>
                <w:sz w:val="19"/>
                <w:szCs w:val="19"/>
              </w:rPr>
            </w:pPr>
            <w:r w:rsidRPr="00555A65">
              <w:rPr>
                <w:rFonts w:cs="Tahoma"/>
                <w:bCs/>
                <w:sz w:val="19"/>
                <w:szCs w:val="19"/>
              </w:rPr>
              <w:t>Floodplain</w:t>
            </w:r>
          </w:p>
        </w:tc>
        <w:tc>
          <w:tcPr>
            <w:tcW w:w="2211" w:type="dxa"/>
            <w:tcBorders>
              <w:left w:val="nil"/>
              <w:bottom w:val="nil"/>
              <w:right w:val="nil"/>
            </w:tcBorders>
            <w:shd w:val="clear" w:color="auto" w:fill="auto"/>
            <w:noWrap/>
            <w:vAlign w:val="center"/>
          </w:tcPr>
          <w:p w14:paraId="57FEFB33" w14:textId="77777777" w:rsidR="00D82F2B" w:rsidRPr="00555A65" w:rsidRDefault="00D82F2B" w:rsidP="00396077">
            <w:pPr>
              <w:contextualSpacing/>
              <w:jc w:val="center"/>
              <w:rPr>
                <w:rFonts w:cs="Tahoma"/>
                <w:sz w:val="19"/>
                <w:szCs w:val="19"/>
              </w:rPr>
            </w:pPr>
            <w:r w:rsidRPr="00555A65">
              <w:rPr>
                <w:rFonts w:cs="Tahoma"/>
                <w:sz w:val="19"/>
                <w:szCs w:val="19"/>
              </w:rPr>
              <w:t>9 km DS Lock 6</w:t>
            </w:r>
          </w:p>
        </w:tc>
        <w:tc>
          <w:tcPr>
            <w:tcW w:w="1701" w:type="dxa"/>
            <w:tcBorders>
              <w:left w:val="nil"/>
              <w:bottom w:val="nil"/>
              <w:right w:val="nil"/>
            </w:tcBorders>
            <w:shd w:val="clear" w:color="auto" w:fill="auto"/>
            <w:noWrap/>
          </w:tcPr>
          <w:p w14:paraId="6BF7BE39" w14:textId="77777777" w:rsidR="00D82F2B" w:rsidRPr="00555A65" w:rsidRDefault="00D82F2B" w:rsidP="00102896">
            <w:pPr>
              <w:contextualSpacing/>
              <w:jc w:val="center"/>
              <w:rPr>
                <w:rFonts w:cs="Tahoma"/>
                <w:sz w:val="19"/>
                <w:szCs w:val="19"/>
              </w:rPr>
            </w:pPr>
            <w:r w:rsidRPr="00555A65">
              <w:rPr>
                <w:rFonts w:cs="Tahoma"/>
                <w:sz w:val="19"/>
                <w:szCs w:val="19"/>
              </w:rPr>
              <w:t>S34.0319</w:t>
            </w:r>
          </w:p>
        </w:tc>
        <w:tc>
          <w:tcPr>
            <w:tcW w:w="1871" w:type="dxa"/>
            <w:tcBorders>
              <w:left w:val="nil"/>
              <w:bottom w:val="nil"/>
              <w:right w:val="nil"/>
            </w:tcBorders>
            <w:shd w:val="clear" w:color="auto" w:fill="auto"/>
            <w:noWrap/>
          </w:tcPr>
          <w:p w14:paraId="1A4983B9" w14:textId="77777777" w:rsidR="00D82F2B" w:rsidRPr="00555A65" w:rsidRDefault="00D82F2B" w:rsidP="00102896">
            <w:pPr>
              <w:contextualSpacing/>
              <w:jc w:val="center"/>
              <w:rPr>
                <w:rFonts w:cs="Tahoma"/>
                <w:sz w:val="19"/>
                <w:szCs w:val="19"/>
              </w:rPr>
            </w:pPr>
            <w:r w:rsidRPr="00555A65">
              <w:rPr>
                <w:rFonts w:cs="Tahoma"/>
                <w:sz w:val="19"/>
                <w:szCs w:val="19"/>
              </w:rPr>
              <w:t>E140.84062</w:t>
            </w:r>
          </w:p>
        </w:tc>
      </w:tr>
      <w:tr w:rsidR="00D82F2B" w:rsidRPr="00555A65" w14:paraId="21EEA6B9" w14:textId="77777777" w:rsidTr="00396077">
        <w:trPr>
          <w:trHeight w:val="255"/>
        </w:trPr>
        <w:tc>
          <w:tcPr>
            <w:tcW w:w="1560" w:type="dxa"/>
            <w:tcBorders>
              <w:left w:val="nil"/>
              <w:bottom w:val="nil"/>
              <w:right w:val="nil"/>
            </w:tcBorders>
            <w:vAlign w:val="center"/>
          </w:tcPr>
          <w:p w14:paraId="24046BEE" w14:textId="77777777" w:rsidR="00D82F2B" w:rsidRPr="00555A65" w:rsidRDefault="00D82F2B" w:rsidP="00102896">
            <w:pPr>
              <w:contextualSpacing/>
              <w:rPr>
                <w:rFonts w:cs="Tahoma"/>
                <w:bCs/>
                <w:sz w:val="19"/>
                <w:szCs w:val="19"/>
                <w:highlight w:val="yellow"/>
              </w:rPr>
            </w:pPr>
            <w:r w:rsidRPr="00555A65">
              <w:rPr>
                <w:rFonts w:cs="Tahoma"/>
                <w:bCs/>
                <w:sz w:val="19"/>
                <w:szCs w:val="19"/>
              </w:rPr>
              <w:t>Gorge</w:t>
            </w:r>
          </w:p>
        </w:tc>
        <w:tc>
          <w:tcPr>
            <w:tcW w:w="2211" w:type="dxa"/>
            <w:tcBorders>
              <w:left w:val="nil"/>
              <w:bottom w:val="nil"/>
              <w:right w:val="nil"/>
            </w:tcBorders>
            <w:shd w:val="clear" w:color="auto" w:fill="auto"/>
            <w:noWrap/>
          </w:tcPr>
          <w:p w14:paraId="58AD5E5A" w14:textId="77777777" w:rsidR="00D82F2B" w:rsidRPr="00555A65" w:rsidRDefault="00D82F2B" w:rsidP="00396077">
            <w:pPr>
              <w:contextualSpacing/>
              <w:jc w:val="center"/>
              <w:rPr>
                <w:rFonts w:cs="Tahoma"/>
                <w:sz w:val="19"/>
                <w:szCs w:val="19"/>
                <w:highlight w:val="yellow"/>
              </w:rPr>
            </w:pPr>
            <w:r w:rsidRPr="00555A65">
              <w:rPr>
                <w:rFonts w:cs="Tahoma"/>
                <w:sz w:val="19"/>
                <w:szCs w:val="19"/>
              </w:rPr>
              <w:t>5 km DS Lock 1</w:t>
            </w:r>
          </w:p>
        </w:tc>
        <w:tc>
          <w:tcPr>
            <w:tcW w:w="1701" w:type="dxa"/>
            <w:tcBorders>
              <w:left w:val="nil"/>
              <w:bottom w:val="nil"/>
              <w:right w:val="nil"/>
            </w:tcBorders>
            <w:shd w:val="clear" w:color="auto" w:fill="auto"/>
            <w:noWrap/>
          </w:tcPr>
          <w:p w14:paraId="0E099B2F" w14:textId="77777777" w:rsidR="00D82F2B" w:rsidRPr="00555A65" w:rsidRDefault="00D82F2B" w:rsidP="00102896">
            <w:pPr>
              <w:contextualSpacing/>
              <w:jc w:val="center"/>
              <w:rPr>
                <w:rFonts w:cs="Tahoma"/>
                <w:sz w:val="19"/>
                <w:szCs w:val="19"/>
                <w:highlight w:val="yellow"/>
              </w:rPr>
            </w:pPr>
            <w:r w:rsidRPr="00555A65">
              <w:rPr>
                <w:rFonts w:cs="Tahoma"/>
                <w:sz w:val="19"/>
                <w:szCs w:val="19"/>
              </w:rPr>
              <w:t>S34.4052</w:t>
            </w:r>
          </w:p>
        </w:tc>
        <w:tc>
          <w:tcPr>
            <w:tcW w:w="1871" w:type="dxa"/>
            <w:tcBorders>
              <w:left w:val="nil"/>
              <w:bottom w:val="nil"/>
              <w:right w:val="nil"/>
            </w:tcBorders>
            <w:shd w:val="clear" w:color="auto" w:fill="auto"/>
            <w:noWrap/>
          </w:tcPr>
          <w:p w14:paraId="2193108D" w14:textId="77777777" w:rsidR="00D82F2B" w:rsidRPr="00555A65" w:rsidRDefault="00D82F2B" w:rsidP="00102896">
            <w:pPr>
              <w:contextualSpacing/>
              <w:jc w:val="center"/>
              <w:rPr>
                <w:rFonts w:cs="Tahoma"/>
                <w:sz w:val="19"/>
                <w:szCs w:val="19"/>
                <w:highlight w:val="yellow"/>
              </w:rPr>
            </w:pPr>
            <w:r w:rsidRPr="00555A65">
              <w:rPr>
                <w:rFonts w:cs="Tahoma"/>
                <w:sz w:val="19"/>
                <w:szCs w:val="19"/>
              </w:rPr>
              <w:t>E139.61723</w:t>
            </w:r>
          </w:p>
        </w:tc>
      </w:tr>
      <w:tr w:rsidR="00D82F2B" w:rsidRPr="00555A65" w14:paraId="0FB0F159" w14:textId="77777777" w:rsidTr="00396077">
        <w:trPr>
          <w:trHeight w:val="255"/>
        </w:trPr>
        <w:tc>
          <w:tcPr>
            <w:tcW w:w="1560" w:type="dxa"/>
            <w:tcBorders>
              <w:left w:val="nil"/>
              <w:right w:val="nil"/>
            </w:tcBorders>
            <w:vAlign w:val="center"/>
          </w:tcPr>
          <w:p w14:paraId="5B7ED535" w14:textId="77777777" w:rsidR="00D82F2B" w:rsidRPr="00555A65" w:rsidRDefault="00D82F2B" w:rsidP="00102896">
            <w:pPr>
              <w:contextualSpacing/>
              <w:rPr>
                <w:rFonts w:cs="Tahoma"/>
                <w:sz w:val="19"/>
                <w:szCs w:val="19"/>
              </w:rPr>
            </w:pPr>
            <w:r w:rsidRPr="00555A65">
              <w:rPr>
                <w:rFonts w:cs="Tahoma"/>
                <w:sz w:val="19"/>
                <w:szCs w:val="19"/>
              </w:rPr>
              <w:t>Gorge</w:t>
            </w:r>
          </w:p>
        </w:tc>
        <w:tc>
          <w:tcPr>
            <w:tcW w:w="2211" w:type="dxa"/>
            <w:tcBorders>
              <w:left w:val="nil"/>
              <w:right w:val="nil"/>
            </w:tcBorders>
            <w:shd w:val="clear" w:color="auto" w:fill="auto"/>
            <w:noWrap/>
          </w:tcPr>
          <w:p w14:paraId="2BC62F77" w14:textId="77777777" w:rsidR="00D82F2B" w:rsidRPr="00555A65" w:rsidRDefault="00D82F2B" w:rsidP="00396077">
            <w:pPr>
              <w:contextualSpacing/>
              <w:jc w:val="center"/>
              <w:rPr>
                <w:rFonts w:cs="Tahoma"/>
                <w:sz w:val="19"/>
                <w:szCs w:val="19"/>
              </w:rPr>
            </w:pPr>
            <w:r w:rsidRPr="00555A65">
              <w:rPr>
                <w:rFonts w:cs="Tahoma"/>
                <w:sz w:val="19"/>
                <w:szCs w:val="19"/>
              </w:rPr>
              <w:t>7 km DS Lock 1</w:t>
            </w:r>
          </w:p>
        </w:tc>
        <w:tc>
          <w:tcPr>
            <w:tcW w:w="1701" w:type="dxa"/>
            <w:tcBorders>
              <w:left w:val="nil"/>
              <w:right w:val="nil"/>
            </w:tcBorders>
            <w:shd w:val="clear" w:color="auto" w:fill="auto"/>
            <w:noWrap/>
          </w:tcPr>
          <w:p w14:paraId="6D17C092" w14:textId="77777777" w:rsidR="00D82F2B" w:rsidRPr="00555A65" w:rsidRDefault="00D82F2B" w:rsidP="00102896">
            <w:pPr>
              <w:contextualSpacing/>
              <w:jc w:val="center"/>
              <w:rPr>
                <w:rFonts w:cs="Tahoma"/>
                <w:sz w:val="19"/>
                <w:szCs w:val="19"/>
              </w:rPr>
            </w:pPr>
            <w:r w:rsidRPr="00555A65">
              <w:rPr>
                <w:rFonts w:cs="Tahoma"/>
                <w:sz w:val="19"/>
                <w:szCs w:val="19"/>
              </w:rPr>
              <w:t>S34.42263</w:t>
            </w:r>
          </w:p>
        </w:tc>
        <w:tc>
          <w:tcPr>
            <w:tcW w:w="1871" w:type="dxa"/>
            <w:tcBorders>
              <w:left w:val="nil"/>
              <w:right w:val="nil"/>
            </w:tcBorders>
            <w:shd w:val="clear" w:color="auto" w:fill="auto"/>
            <w:noWrap/>
          </w:tcPr>
          <w:p w14:paraId="434380CC" w14:textId="77777777" w:rsidR="00D82F2B" w:rsidRPr="00555A65" w:rsidRDefault="00D82F2B" w:rsidP="00102896">
            <w:pPr>
              <w:contextualSpacing/>
              <w:jc w:val="center"/>
              <w:rPr>
                <w:rFonts w:cs="Tahoma"/>
                <w:sz w:val="19"/>
                <w:szCs w:val="19"/>
              </w:rPr>
            </w:pPr>
            <w:r w:rsidRPr="00555A65">
              <w:rPr>
                <w:rFonts w:cs="Tahoma"/>
                <w:sz w:val="19"/>
                <w:szCs w:val="19"/>
              </w:rPr>
              <w:t>E139.61293</w:t>
            </w:r>
          </w:p>
        </w:tc>
      </w:tr>
      <w:tr w:rsidR="00D82F2B" w:rsidRPr="00555A65" w14:paraId="4059AA3C" w14:textId="77777777" w:rsidTr="00396077">
        <w:trPr>
          <w:trHeight w:val="255"/>
        </w:trPr>
        <w:tc>
          <w:tcPr>
            <w:tcW w:w="1560" w:type="dxa"/>
            <w:tcBorders>
              <w:left w:val="nil"/>
              <w:bottom w:val="single" w:sz="4" w:space="0" w:color="auto"/>
              <w:right w:val="nil"/>
            </w:tcBorders>
            <w:vAlign w:val="center"/>
          </w:tcPr>
          <w:p w14:paraId="122791A4" w14:textId="77777777" w:rsidR="00D82F2B" w:rsidRPr="00555A65" w:rsidRDefault="00D82F2B" w:rsidP="00102896">
            <w:pPr>
              <w:contextualSpacing/>
              <w:rPr>
                <w:rFonts w:cs="Tahoma"/>
                <w:sz w:val="19"/>
                <w:szCs w:val="19"/>
              </w:rPr>
            </w:pPr>
            <w:r w:rsidRPr="00555A65">
              <w:rPr>
                <w:rFonts w:cs="Tahoma"/>
                <w:sz w:val="19"/>
                <w:szCs w:val="19"/>
              </w:rPr>
              <w:t>Gorge</w:t>
            </w:r>
          </w:p>
        </w:tc>
        <w:tc>
          <w:tcPr>
            <w:tcW w:w="2211" w:type="dxa"/>
            <w:tcBorders>
              <w:left w:val="nil"/>
              <w:bottom w:val="single" w:sz="4" w:space="0" w:color="auto"/>
              <w:right w:val="nil"/>
            </w:tcBorders>
            <w:shd w:val="clear" w:color="auto" w:fill="auto"/>
            <w:noWrap/>
          </w:tcPr>
          <w:p w14:paraId="130AFDCC" w14:textId="77777777" w:rsidR="00D82F2B" w:rsidRPr="00555A65" w:rsidRDefault="00D82F2B" w:rsidP="00396077">
            <w:pPr>
              <w:contextualSpacing/>
              <w:jc w:val="center"/>
              <w:rPr>
                <w:rFonts w:cs="Tahoma"/>
                <w:sz w:val="19"/>
                <w:szCs w:val="19"/>
              </w:rPr>
            </w:pPr>
            <w:r w:rsidRPr="00555A65">
              <w:rPr>
                <w:rFonts w:cs="Tahoma"/>
                <w:sz w:val="19"/>
                <w:szCs w:val="19"/>
              </w:rPr>
              <w:t>9 km DS Lock 1</w:t>
            </w:r>
          </w:p>
        </w:tc>
        <w:tc>
          <w:tcPr>
            <w:tcW w:w="1701" w:type="dxa"/>
            <w:tcBorders>
              <w:left w:val="nil"/>
              <w:bottom w:val="single" w:sz="4" w:space="0" w:color="auto"/>
              <w:right w:val="nil"/>
            </w:tcBorders>
            <w:shd w:val="clear" w:color="auto" w:fill="auto"/>
            <w:noWrap/>
          </w:tcPr>
          <w:p w14:paraId="27B73DF2" w14:textId="77777777" w:rsidR="00D82F2B" w:rsidRPr="00555A65" w:rsidRDefault="00D82F2B" w:rsidP="00102896">
            <w:pPr>
              <w:contextualSpacing/>
              <w:jc w:val="center"/>
              <w:rPr>
                <w:rFonts w:cs="Tahoma"/>
                <w:sz w:val="19"/>
                <w:szCs w:val="19"/>
              </w:rPr>
            </w:pPr>
            <w:r w:rsidRPr="00555A65">
              <w:rPr>
                <w:rFonts w:cs="Tahoma"/>
                <w:sz w:val="19"/>
                <w:szCs w:val="19"/>
              </w:rPr>
              <w:t>S34.44596</w:t>
            </w:r>
          </w:p>
        </w:tc>
        <w:tc>
          <w:tcPr>
            <w:tcW w:w="1871" w:type="dxa"/>
            <w:tcBorders>
              <w:left w:val="nil"/>
              <w:bottom w:val="single" w:sz="4" w:space="0" w:color="auto"/>
              <w:right w:val="nil"/>
            </w:tcBorders>
            <w:shd w:val="clear" w:color="auto" w:fill="auto"/>
            <w:noWrap/>
          </w:tcPr>
          <w:p w14:paraId="3BD047A7" w14:textId="77777777" w:rsidR="00D82F2B" w:rsidRPr="00555A65" w:rsidRDefault="00D82F2B" w:rsidP="00102896">
            <w:pPr>
              <w:contextualSpacing/>
              <w:jc w:val="center"/>
              <w:rPr>
                <w:rFonts w:cs="Tahoma"/>
                <w:sz w:val="19"/>
                <w:szCs w:val="19"/>
              </w:rPr>
            </w:pPr>
            <w:r w:rsidRPr="00555A65">
              <w:rPr>
                <w:rFonts w:cs="Tahoma"/>
                <w:sz w:val="19"/>
                <w:szCs w:val="19"/>
              </w:rPr>
              <w:t>E139.61102</w:t>
            </w:r>
          </w:p>
        </w:tc>
      </w:tr>
    </w:tbl>
    <w:p w14:paraId="4AE48E19" w14:textId="77777777" w:rsidR="001F2DD3" w:rsidRDefault="001F2DD3" w:rsidP="00D82F2B">
      <w:pPr>
        <w:rPr>
          <w:rFonts w:cs="Tahoma"/>
          <w:szCs w:val="24"/>
        </w:rPr>
      </w:pPr>
    </w:p>
    <w:p w14:paraId="18158E6C" w14:textId="77777777" w:rsidR="003D371F" w:rsidRDefault="003D371F" w:rsidP="003D371F">
      <w:r w:rsidRPr="00F01413">
        <w:rPr>
          <w:rFonts w:cs="Tahoma"/>
          <w:szCs w:val="24"/>
        </w:rPr>
        <w:t xml:space="preserve">A </w:t>
      </w:r>
      <w:r>
        <w:rPr>
          <w:rFonts w:cs="Tahoma"/>
          <w:szCs w:val="24"/>
        </w:rPr>
        <w:t>P</w:t>
      </w:r>
      <w:r w:rsidRPr="00F01413">
        <w:rPr>
          <w:rFonts w:cs="Tahoma"/>
          <w:szCs w:val="24"/>
        </w:rPr>
        <w:t>erspex Haney plankton</w:t>
      </w:r>
      <w:r w:rsidRPr="00F01413">
        <w:t xml:space="preserve"> trap (4.5-litre capacity) was used mid-channel (by boat) to collect surface and bottom volumes (9-litres), which were filtered through a 37</w:t>
      </w:r>
      <w:r>
        <w:t> </w:t>
      </w:r>
      <w:r w:rsidRPr="00F01413">
        <w:rPr>
          <w:rFonts w:cs="Tahoma"/>
        </w:rPr>
        <w:t>µ</w:t>
      </w:r>
      <w:r w:rsidRPr="00F01413">
        <w:t>m-mesh plankton net suspended in a bucket and rinsed into a 200 ml PET bottle screwed to a purpose-built ferrule at the net end</w:t>
      </w:r>
      <w:r>
        <w:t xml:space="preserve"> (Figure G1)</w:t>
      </w:r>
      <w:r w:rsidRPr="00F01413">
        <w:t>. The filtrate was then preserved in the field (100% ethanol) to a final concentration of ca. 75%, and a volume &lt;200 ml.  In the laboratory</w:t>
      </w:r>
      <w:r>
        <w:t>,</w:t>
      </w:r>
      <w:r w:rsidRPr="00F01413">
        <w:t xml:space="preserve"> the sample was decanted into a measuring cylinder, the volume noted, the cylinder agitated, and a 1 ml aliquot withdrawn using a Gilson autopipette. This 1 ml was run into a Pyrex 1 ml Sedgewick-Rafter cell, and the </w:t>
      </w:r>
      <w:r>
        <w:rPr>
          <w:szCs w:val="22"/>
        </w:rPr>
        <w:t>microinvertebrates</w:t>
      </w:r>
      <w:r w:rsidRPr="00F01413">
        <w:t xml:space="preserve"> </w:t>
      </w:r>
      <w:r>
        <w:t>present</w:t>
      </w:r>
      <w:r w:rsidRPr="00F01413">
        <w:t xml:space="preserve"> </w:t>
      </w:r>
      <w:r>
        <w:t>were counted</w:t>
      </w:r>
      <w:r w:rsidRPr="00F01413">
        <w:t xml:space="preserve"> and identified. Triplicate aliquots were taken from the </w:t>
      </w:r>
      <w:r>
        <w:t xml:space="preserve">early </w:t>
      </w:r>
      <w:r w:rsidRPr="00F01413">
        <w:t>Nov</w:t>
      </w:r>
      <w:r>
        <w:t>ember</w:t>
      </w:r>
      <w:r w:rsidRPr="00F01413">
        <w:t xml:space="preserve"> series, however time constraints precluded triplicates thereafter, and later counts </w:t>
      </w:r>
      <w:r>
        <w:t>were</w:t>
      </w:r>
      <w:r w:rsidRPr="00F01413">
        <w:t xml:space="preserve"> based on a single subsample.</w:t>
      </w:r>
    </w:p>
    <w:p w14:paraId="61FFD1B1" w14:textId="1ABBB900" w:rsidR="000F1913" w:rsidRDefault="003D371F" w:rsidP="00C365DC">
      <w:pPr>
        <w:rPr>
          <w:i/>
          <w:color w:val="auto"/>
          <w:sz w:val="24"/>
          <w:szCs w:val="24"/>
          <w:u w:val="single"/>
        </w:rPr>
      </w:pPr>
      <w:r>
        <w:t xml:space="preserve">To get a better representation of microinvertebrate taxa richness, a surface plankton tow net (37 </w:t>
      </w:r>
      <w:r w:rsidRPr="00F01413">
        <w:rPr>
          <w:rFonts w:cs="Tahoma"/>
        </w:rPr>
        <w:t>µ</w:t>
      </w:r>
      <w:r w:rsidRPr="00F01413">
        <w:t>m-mesh</w:t>
      </w:r>
      <w:r>
        <w:t>) was used, which samples a greater volume than the Haney trap. The net was towed mid-channel (by boat) for 3 hauls of a 5-metre line. T</w:t>
      </w:r>
      <w:r w:rsidRPr="00A85F66">
        <w:t xml:space="preserve">he catch </w:t>
      </w:r>
      <w:r>
        <w:t xml:space="preserve">was </w:t>
      </w:r>
      <w:r w:rsidRPr="00A85F66">
        <w:t>decanted through the net to reduce the filtrat</w:t>
      </w:r>
      <w:r w:rsidR="00255352">
        <w:t>e volume to approximately 30–40 </w:t>
      </w:r>
      <w:r w:rsidRPr="00A85F66">
        <w:t>ml in the PE</w:t>
      </w:r>
      <w:r>
        <w:t>T bottle, then topped up and preserved with 100</w:t>
      </w:r>
      <w:r w:rsidRPr="00A85F66">
        <w:t>% ethano</w:t>
      </w:r>
      <w:r>
        <w:t xml:space="preserve">l. </w:t>
      </w:r>
      <w:r w:rsidR="00C365DC" w:rsidRPr="00C365DC">
        <w:t>In the lab</w:t>
      </w:r>
      <w:r w:rsidR="00C365DC">
        <w:t>oratory, the settled filtrate w</w:t>
      </w:r>
      <w:r w:rsidR="00C365DC" w:rsidRPr="00C365DC">
        <w:t>a</w:t>
      </w:r>
      <w:r w:rsidR="00C365DC">
        <w:t>s</w:t>
      </w:r>
      <w:r w:rsidR="00C365DC" w:rsidRPr="00C365DC">
        <w:t xml:space="preserve"> extracted by </w:t>
      </w:r>
      <w:r w:rsidR="00255352">
        <w:t xml:space="preserve">a </w:t>
      </w:r>
      <w:r w:rsidR="00C365DC" w:rsidRPr="00C365DC">
        <w:t>wide-bore glass 10 ml pipette, decanted into a 125 mm gridded Greiner tray, agitated to disperse the contents, and the tray scanned by grid row, with the first 200</w:t>
      </w:r>
      <w:r w:rsidR="00255352">
        <w:t>–</w:t>
      </w:r>
      <w:r w:rsidR="00C365DC" w:rsidRPr="00C365DC">
        <w:t xml:space="preserve">250 zooplankters encountered identified and enumerated. Having established proportional composition, the remainder of the tray was then scanned for missed species, generally small numbers </w:t>
      </w:r>
      <w:r w:rsidR="00C365DC" w:rsidRPr="00C365DC">
        <w:lastRenderedPageBreak/>
        <w:t>or singletons, which were recorded as ‘present’ by an asterisk in the relevant cell of the spreadsheet.</w:t>
      </w:r>
    </w:p>
    <w:p w14:paraId="0A9FACB4" w14:textId="19EA9207" w:rsidR="00643CF0" w:rsidRDefault="003D371F" w:rsidP="000F1913">
      <w:pPr>
        <w:jc w:val="center"/>
        <w:rPr>
          <w:i/>
          <w:color w:val="auto"/>
          <w:sz w:val="24"/>
          <w:szCs w:val="24"/>
          <w:u w:val="single"/>
        </w:rPr>
      </w:pPr>
      <w:r>
        <w:rPr>
          <w:noProof/>
          <w:lang w:eastAsia="en-AU"/>
        </w:rPr>
        <w:drawing>
          <wp:inline distT="0" distB="0" distL="0" distR="0" wp14:anchorId="56F0C453" wp14:editId="6DA87D51">
            <wp:extent cx="3921289" cy="2607092"/>
            <wp:effectExtent l="0" t="0" r="3175"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P2593.JPG"/>
                    <pic:cNvPicPr/>
                  </pic:nvPicPr>
                  <pic:blipFill>
                    <a:blip r:embed="rId105" cstate="email">
                      <a:extLst>
                        <a:ext uri="{28A0092B-C50C-407E-A947-70E740481C1C}">
                          <a14:useLocalDpi xmlns:a14="http://schemas.microsoft.com/office/drawing/2010/main"/>
                        </a:ext>
                      </a:extLst>
                    </a:blip>
                    <a:stretch>
                      <a:fillRect/>
                    </a:stretch>
                  </pic:blipFill>
                  <pic:spPr>
                    <a:xfrm>
                      <a:off x="0" y="0"/>
                      <a:ext cx="3922489" cy="2607890"/>
                    </a:xfrm>
                    <a:prstGeom prst="rect">
                      <a:avLst/>
                    </a:prstGeom>
                  </pic:spPr>
                </pic:pic>
              </a:graphicData>
            </a:graphic>
          </wp:inline>
        </w:drawing>
      </w:r>
    </w:p>
    <w:p w14:paraId="2E1C548F" w14:textId="77777777" w:rsidR="000F1913" w:rsidRDefault="000F1913" w:rsidP="000F1913">
      <w:pPr>
        <w:pStyle w:val="Caption"/>
        <w:rPr>
          <w:i/>
          <w:sz w:val="24"/>
          <w:szCs w:val="24"/>
          <w:u w:val="single"/>
        </w:rPr>
      </w:pPr>
      <w:r>
        <w:t>Figure G</w:t>
      </w:r>
      <w:r w:rsidR="00441FF4">
        <w:t>1</w:t>
      </w:r>
      <w:r>
        <w:t xml:space="preserve">. </w:t>
      </w:r>
      <w:r w:rsidRPr="000F1913">
        <w:t>Perspex Haney trap used for sampling zooplankton assemblage in the main channel of the Lower Murray River.</w:t>
      </w:r>
    </w:p>
    <w:p w14:paraId="0FE4C2F3" w14:textId="77777777" w:rsidR="00D82F2B" w:rsidRPr="00F878B2" w:rsidRDefault="00D82F2B" w:rsidP="00D82F2B">
      <w:pPr>
        <w:rPr>
          <w:i/>
          <w:color w:val="auto"/>
          <w:sz w:val="24"/>
          <w:szCs w:val="24"/>
          <w:u w:val="single"/>
        </w:rPr>
      </w:pPr>
      <w:r w:rsidRPr="00F878B2">
        <w:rPr>
          <w:i/>
          <w:color w:val="auto"/>
          <w:sz w:val="24"/>
          <w:szCs w:val="24"/>
          <w:u w:val="single"/>
        </w:rPr>
        <w:t>Statistical analyses</w:t>
      </w:r>
    </w:p>
    <w:p w14:paraId="257D8117" w14:textId="3FE8D4D5" w:rsidR="003D371F" w:rsidRDefault="00146043" w:rsidP="003D371F">
      <w:pPr>
        <w:rPr>
          <w:lang w:val="en-US"/>
        </w:rPr>
      </w:pPr>
      <w:r>
        <w:t xml:space="preserve">All statistical analyses were conducted on Haney trap data only. </w:t>
      </w:r>
      <w:r w:rsidR="003D371F">
        <w:t>Tempor</w:t>
      </w:r>
      <w:r w:rsidR="003D371F" w:rsidRPr="009859C1">
        <w:t xml:space="preserve">al variation (between sampling events) in microinvertebrate densities and taxa richness were </w:t>
      </w:r>
      <w:r w:rsidR="00255352" w:rsidRPr="009859C1">
        <w:t xml:space="preserve">analysed </w:t>
      </w:r>
      <w:r w:rsidR="003D371F" w:rsidRPr="009859C1">
        <w:t>qualitatively using graphical plots</w:t>
      </w:r>
      <w:r w:rsidR="003D371F">
        <w:t xml:space="preserve"> of mean values ± standard error</w:t>
      </w:r>
      <w:r w:rsidR="003D371F" w:rsidRPr="009859C1">
        <w:t xml:space="preserve">. Temporal variation in </w:t>
      </w:r>
      <w:r w:rsidR="003D371F">
        <w:t>microinvertebrate</w:t>
      </w:r>
      <w:r w:rsidR="003D371F" w:rsidRPr="009859C1">
        <w:t xml:space="preserve"> assemblage structure was investigated using a two-factor (i.e. sampling event x lock)</w:t>
      </w:r>
      <w:r w:rsidR="003D371F" w:rsidRPr="000D6352">
        <w:t xml:space="preserve"> permutational multivariate analysis of variance (PERMANOVA) in the software package PRIMER v. 6.1.12 (Clarke and Gorley 2006) and PERMANOVA + v.1.02 (Anderson </w:t>
      </w:r>
      <w:r w:rsidR="003D371F" w:rsidRPr="008F1A86">
        <w:rPr>
          <w:i/>
        </w:rPr>
        <w:t>et al.</w:t>
      </w:r>
      <w:r w:rsidR="003D371F" w:rsidRPr="000D6352">
        <w:t xml:space="preserve"> 2008)</w:t>
      </w:r>
      <w:r w:rsidR="003D371F">
        <w:t xml:space="preserve">. </w:t>
      </w:r>
      <w:r w:rsidR="003D371F">
        <w:rPr>
          <w:lang w:val="en-US"/>
        </w:rPr>
        <w:t xml:space="preserve">Significance levels for all comparisons were set to </w:t>
      </w:r>
      <w:r w:rsidR="003D371F" w:rsidRPr="00A579AE">
        <w:rPr>
          <w:i/>
          <w:lang w:val="en-US"/>
        </w:rPr>
        <w:t>α</w:t>
      </w:r>
      <w:r w:rsidR="003D371F">
        <w:rPr>
          <w:lang w:val="en-US"/>
        </w:rPr>
        <w:t xml:space="preserve"> = 0.05. Night samples at sites 5 km </w:t>
      </w:r>
      <w:r w:rsidR="00F56AD8">
        <w:rPr>
          <w:lang w:val="en-US"/>
        </w:rPr>
        <w:t>below each l</w:t>
      </w:r>
      <w:r w:rsidR="003D371F">
        <w:rPr>
          <w:lang w:val="en-US"/>
        </w:rPr>
        <w:t xml:space="preserve">ock were included in statistical analyses as preliminary analyses in PERMANOVA determined there were no significant differences between night and day-time samples (two-factor (sampling event x lock) PERMANOVA; </w:t>
      </w:r>
      <w:r w:rsidR="003D371F" w:rsidRPr="002D0390">
        <w:t>Pseudo F</w:t>
      </w:r>
      <w:r w:rsidR="003D371F">
        <w:rPr>
          <w:vertAlign w:val="subscript"/>
        </w:rPr>
        <w:t>1,31</w:t>
      </w:r>
      <w:r w:rsidR="003D371F">
        <w:t xml:space="preserve"> = 0.7074</w:t>
      </w:r>
      <w:r w:rsidR="003D371F" w:rsidRPr="002D0390">
        <w:t xml:space="preserve">, </w:t>
      </w:r>
      <w:r w:rsidR="003D371F" w:rsidRPr="002D0390">
        <w:rPr>
          <w:i/>
        </w:rPr>
        <w:t>p</w:t>
      </w:r>
      <w:r w:rsidR="003D371F">
        <w:t xml:space="preserve"> = 0.7795</w:t>
      </w:r>
      <w:r w:rsidR="003D371F">
        <w:rPr>
          <w:lang w:val="en-US"/>
        </w:rPr>
        <w:t xml:space="preserve">). </w:t>
      </w:r>
      <w:r w:rsidR="003D371F">
        <w:t xml:space="preserve">Analyses were performed on </w:t>
      </w:r>
      <w:r w:rsidR="003D371F" w:rsidRPr="000D6352">
        <w:t>log transformed log(x+1)</w:t>
      </w:r>
      <w:r w:rsidR="003D371F">
        <w:t xml:space="preserve"> data and </w:t>
      </w:r>
      <w:r w:rsidR="003D371F" w:rsidRPr="000D6352">
        <w:t>Bray-Curtis (Bray and Curtis 1957) similarities were used to construct the similarity matrices for all multivariate analyses</w:t>
      </w:r>
      <w:r w:rsidR="003D371F">
        <w:t xml:space="preserve"> with a dummy variable = 1. </w:t>
      </w:r>
      <w:r w:rsidR="003D371F">
        <w:rPr>
          <w:lang w:val="en-US"/>
        </w:rPr>
        <w:t xml:space="preserve">Non-metric Multi-Dimensional Scaling (MDS), generated from the same matrices, was used to visualise microinvertebrate assemblages from different sampling events. Groupings of similarity (40 and 60%) from SIMPROF cluster analysis was overlaid on MDS ordinations to show similarity between </w:t>
      </w:r>
      <w:r w:rsidR="003D371F">
        <w:rPr>
          <w:lang w:val="en-US"/>
        </w:rPr>
        <w:lastRenderedPageBreak/>
        <w:t xml:space="preserve">sampling events. When differences in microinvertebrate assemblages occurred between sampling events for PERMANOVA, Similarity Percentages (SIMPER) analysis was used to determine the zooplankton taxa contributing to these differences, with a </w:t>
      </w:r>
      <w:r w:rsidR="003D371F" w:rsidRPr="009859C1">
        <w:rPr>
          <w:lang w:val="en-US"/>
        </w:rPr>
        <w:t>25</w:t>
      </w:r>
      <w:r w:rsidR="003D371F" w:rsidRPr="00F17CA2">
        <w:rPr>
          <w:lang w:val="en-US"/>
        </w:rPr>
        <w:t>%</w:t>
      </w:r>
      <w:r w:rsidR="003D371F">
        <w:rPr>
          <w:lang w:val="en-US"/>
        </w:rPr>
        <w:t xml:space="preserve"> cumulative contribution cut-off applied. </w:t>
      </w:r>
    </w:p>
    <w:p w14:paraId="5617A550" w14:textId="5ACE1C3B" w:rsidR="00D82F2B" w:rsidRPr="00F01413" w:rsidRDefault="003D371F" w:rsidP="003D371F">
      <w:r>
        <w:t>To model the relationship(s) between microinvertebrate assemblage structure, as described by the Bray-Curtis resemblance matrix, and one or more physico-chemical predictor variables, Distance-Based Linear Models (DistLM) were used, based on the forward stepwise selection procedure using R</w:t>
      </w:r>
      <w:r w:rsidRPr="001F7ED5">
        <w:rPr>
          <w:vertAlign w:val="superscript"/>
        </w:rPr>
        <w:t>2</w:t>
      </w:r>
      <w:r>
        <w:t xml:space="preserve"> as the selection </w:t>
      </w:r>
      <w:r w:rsidRPr="00F25C4C">
        <w:t xml:space="preserve">criterion (Anderson </w:t>
      </w:r>
      <w:r w:rsidRPr="00F25C4C">
        <w:rPr>
          <w:i/>
        </w:rPr>
        <w:t>et al.</w:t>
      </w:r>
      <w:r w:rsidRPr="00F25C4C">
        <w:t xml:space="preserve"> 2008). Automatic normalisation of environmental data occurred as part of the matrix algebra of regression in the DistLM routine (Anderson </w:t>
      </w:r>
      <w:r w:rsidRPr="00C9746A">
        <w:rPr>
          <w:i/>
        </w:rPr>
        <w:t>et al.</w:t>
      </w:r>
      <w:r w:rsidRPr="00F25C4C">
        <w:t xml:space="preserve"> 2008). Ordination</w:t>
      </w:r>
      <w:r>
        <w:t xml:space="preserve"> of fitted values for DistLM was achieved through distance-based redundancy analysis (dvRDA), with vector overlays (Pearson and Spearman correlation coefficient &gt; 0.2) to show individual water quality parameters that were important in driving variation along dbRDA axes. Six physico-chemical parameters (i.e. mean fortnightly flow, water temperature, dissolved oxygen, turbidity, electrical conductivity and pH) were included in the DistLM analysis.</w:t>
      </w:r>
    </w:p>
    <w:p w14:paraId="642DE160" w14:textId="77777777" w:rsidR="00D82F2B" w:rsidRDefault="00D82F2B" w:rsidP="00D82F2B">
      <w:pPr>
        <w:rPr>
          <w:b/>
          <w:i/>
          <w:color w:val="1F497D" w:themeColor="text2"/>
          <w:sz w:val="24"/>
          <w:szCs w:val="24"/>
        </w:rPr>
      </w:pPr>
      <w:r>
        <w:rPr>
          <w:b/>
          <w:i/>
          <w:color w:val="1F497D" w:themeColor="text2"/>
          <w:sz w:val="24"/>
          <w:szCs w:val="24"/>
        </w:rPr>
        <w:t>Results</w:t>
      </w:r>
    </w:p>
    <w:p w14:paraId="7E5AF3D7" w14:textId="26A61F99" w:rsidR="001D06D5" w:rsidRDefault="001D06D5" w:rsidP="001D06D5">
      <w:pPr>
        <w:rPr>
          <w:i/>
          <w:color w:val="auto"/>
          <w:sz w:val="24"/>
          <w:szCs w:val="24"/>
          <w:u w:val="single"/>
        </w:rPr>
      </w:pPr>
      <w:r>
        <w:rPr>
          <w:i/>
          <w:color w:val="auto"/>
          <w:sz w:val="24"/>
          <w:szCs w:val="24"/>
          <w:u w:val="single"/>
        </w:rPr>
        <w:t>Microinvertebrate catch summary</w:t>
      </w:r>
      <w:r w:rsidR="00E73EEF">
        <w:rPr>
          <w:i/>
          <w:color w:val="auto"/>
          <w:sz w:val="24"/>
          <w:szCs w:val="24"/>
          <w:u w:val="single"/>
        </w:rPr>
        <w:t xml:space="preserve"> and novel taxa</w:t>
      </w:r>
    </w:p>
    <w:p w14:paraId="02498049" w14:textId="55919ACE" w:rsidR="001D06D5" w:rsidRDefault="001D06D5" w:rsidP="001D06D5">
      <w:r w:rsidRPr="00C5382B">
        <w:rPr>
          <w:szCs w:val="22"/>
        </w:rPr>
        <w:t>Over the 201</w:t>
      </w:r>
      <w:r>
        <w:rPr>
          <w:szCs w:val="22"/>
        </w:rPr>
        <w:t>5</w:t>
      </w:r>
      <w:r w:rsidRPr="00C5382B">
        <w:rPr>
          <w:szCs w:val="22"/>
        </w:rPr>
        <w:t>/1</w:t>
      </w:r>
      <w:r>
        <w:rPr>
          <w:szCs w:val="22"/>
        </w:rPr>
        <w:t>6</w:t>
      </w:r>
      <w:r w:rsidR="00255352">
        <w:rPr>
          <w:szCs w:val="22"/>
        </w:rPr>
        <w:t xml:space="preserve"> sampling period, 177</w:t>
      </w:r>
      <w:r w:rsidRPr="00C5382B">
        <w:rPr>
          <w:szCs w:val="22"/>
        </w:rPr>
        <w:t xml:space="preserve"> microinvertebrate taxa were discriminated</w:t>
      </w:r>
      <w:r w:rsidRPr="00F01413">
        <w:t xml:space="preserve"> from 1</w:t>
      </w:r>
      <w:r>
        <w:t>92</w:t>
      </w:r>
      <w:r w:rsidRPr="00F01413">
        <w:t xml:space="preserve"> trap samples</w:t>
      </w:r>
      <w:r>
        <w:t xml:space="preserve"> from the gorge (below Lock 1) and floodplain (below Lock 6) geomorphic zones of the LMR</w:t>
      </w:r>
      <w:r w:rsidR="00255352">
        <w:t xml:space="preserve"> (vs</w:t>
      </w:r>
      <w:r w:rsidR="005905AF">
        <w:t>.</w:t>
      </w:r>
      <w:r w:rsidR="00255352">
        <w:t xml:space="preserve"> 185 during 2014/15). The 2015/16 assemblage</w:t>
      </w:r>
      <w:r w:rsidRPr="00F01413">
        <w:t xml:space="preserve"> </w:t>
      </w:r>
      <w:r>
        <w:t>inclu</w:t>
      </w:r>
      <w:r w:rsidR="00255352">
        <w:t>ded</w:t>
      </w:r>
      <w:r w:rsidRPr="00F01413">
        <w:rPr>
          <w:i/>
        </w:rPr>
        <w:t xml:space="preserve"> </w:t>
      </w:r>
      <w:r>
        <w:t xml:space="preserve">59 </w:t>
      </w:r>
      <w:r w:rsidRPr="00B83A14">
        <w:t>Protista (largely testate rhizopods)</w:t>
      </w:r>
      <w:r w:rsidR="00255352" w:rsidRPr="00B83A14">
        <w:t xml:space="preserve"> (74 in 2014/15)</w:t>
      </w:r>
      <w:r w:rsidRPr="00B83A14">
        <w:t>, 95</w:t>
      </w:r>
      <w:r w:rsidRPr="00F01413">
        <w:t xml:space="preserve"> Rotifera</w:t>
      </w:r>
      <w:r w:rsidR="00255352">
        <w:t xml:space="preserve"> [84]</w:t>
      </w:r>
      <w:r w:rsidRPr="00F01413">
        <w:t xml:space="preserve">, </w:t>
      </w:r>
      <w:r>
        <w:t>11</w:t>
      </w:r>
      <w:r w:rsidRPr="00F01413">
        <w:t xml:space="preserve"> Cladocera</w:t>
      </w:r>
      <w:r w:rsidR="00255352">
        <w:t xml:space="preserve"> [13]</w:t>
      </w:r>
      <w:r w:rsidRPr="00F01413">
        <w:t xml:space="preserve">, </w:t>
      </w:r>
      <w:r w:rsidR="00255352">
        <w:t>7</w:t>
      </w:r>
      <w:r w:rsidRPr="00F01413">
        <w:t xml:space="preserve"> Copepoda</w:t>
      </w:r>
      <w:r w:rsidR="00255352">
        <w:t xml:space="preserve"> [6]</w:t>
      </w:r>
      <w:r w:rsidRPr="00F01413">
        <w:t>, 2 Ostracoda</w:t>
      </w:r>
      <w:r w:rsidR="00255352">
        <w:t xml:space="preserve"> [2] and</w:t>
      </w:r>
      <w:r w:rsidRPr="00F01413">
        <w:t xml:space="preserve"> </w:t>
      </w:r>
      <w:r w:rsidR="00255352">
        <w:t>5</w:t>
      </w:r>
      <w:r w:rsidRPr="00F01413">
        <w:t xml:space="preserve"> juv</w:t>
      </w:r>
      <w:r>
        <w:t>enile</w:t>
      </w:r>
      <w:r w:rsidRPr="00F01413">
        <w:t xml:space="preserve"> macroinvert</w:t>
      </w:r>
      <w:r>
        <w:t>ebrate</w:t>
      </w:r>
      <w:r w:rsidRPr="00F01413">
        <w:t>s</w:t>
      </w:r>
      <w:r w:rsidR="00255352">
        <w:t xml:space="preserve"> [6]</w:t>
      </w:r>
      <w:r w:rsidRPr="00F01413">
        <w:t xml:space="preserve"> </w:t>
      </w:r>
      <w:r>
        <w:t>(</w:t>
      </w:r>
      <w:r w:rsidRPr="00F01413">
        <w:t>gastrotrichs,</w:t>
      </w:r>
      <w:r w:rsidR="00255352">
        <w:t xml:space="preserve"> nematode,</w:t>
      </w:r>
      <w:r w:rsidRPr="00F01413">
        <w:t xml:space="preserve"> </w:t>
      </w:r>
      <w:r>
        <w:t>oligochaetes</w:t>
      </w:r>
      <w:r w:rsidRPr="00F01413">
        <w:t>, mussel glochidia</w:t>
      </w:r>
      <w:r>
        <w:t xml:space="preserve"> and</w:t>
      </w:r>
      <w:r w:rsidRPr="00F01413">
        <w:t xml:space="preserve"> chironomids</w:t>
      </w:r>
      <w:r w:rsidR="00255352">
        <w:t>)</w:t>
      </w:r>
      <w:r w:rsidRPr="00F01413">
        <w:t>.</w:t>
      </w:r>
      <w:r w:rsidR="00146043">
        <w:t xml:space="preserve"> </w:t>
      </w:r>
      <w:r w:rsidR="00146043" w:rsidRPr="00146043">
        <w:t>Notably, 102 taxa (57.6%) of the assemblage were littoral, epiphytic or epibenthic in habit, incursion species in the riverine plankton</w:t>
      </w:r>
      <w:r w:rsidR="00146043">
        <w:t>.</w:t>
      </w:r>
    </w:p>
    <w:p w14:paraId="24545D84" w14:textId="0DD6E3B1" w:rsidR="00E73EEF" w:rsidRPr="00491745" w:rsidRDefault="00E73EEF" w:rsidP="00E73EEF">
      <w:pPr>
        <w:rPr>
          <w:color w:val="auto"/>
          <w:szCs w:val="22"/>
        </w:rPr>
      </w:pPr>
      <w:r w:rsidRPr="00491745">
        <w:rPr>
          <w:color w:val="auto"/>
        </w:rPr>
        <w:t xml:space="preserve">Among the diverse brachionids recorded below Lock 1, </w:t>
      </w:r>
      <w:r w:rsidRPr="00491745">
        <w:rPr>
          <w:i/>
          <w:color w:val="auto"/>
        </w:rPr>
        <w:t xml:space="preserve">Keratella </w:t>
      </w:r>
      <w:r w:rsidRPr="00491745">
        <w:rPr>
          <w:color w:val="auto"/>
        </w:rPr>
        <w:t>cf</w:t>
      </w:r>
      <w:r>
        <w:rPr>
          <w:color w:val="auto"/>
        </w:rPr>
        <w:t>.</w:t>
      </w:r>
      <w:r w:rsidRPr="00491745">
        <w:rPr>
          <w:color w:val="auto"/>
        </w:rPr>
        <w:t xml:space="preserve"> </w:t>
      </w:r>
      <w:r w:rsidRPr="00491745">
        <w:rPr>
          <w:i/>
          <w:color w:val="auto"/>
        </w:rPr>
        <w:t xml:space="preserve">americana </w:t>
      </w:r>
      <w:r>
        <w:rPr>
          <w:color w:val="auto"/>
        </w:rPr>
        <w:t>(Figure</w:t>
      </w:r>
      <w:r w:rsidRPr="00491745">
        <w:rPr>
          <w:color w:val="auto"/>
        </w:rPr>
        <w:t xml:space="preserve"> </w:t>
      </w:r>
      <w:r>
        <w:rPr>
          <w:color w:val="auto"/>
        </w:rPr>
        <w:t>G2</w:t>
      </w:r>
      <w:r w:rsidRPr="00491745">
        <w:rPr>
          <w:color w:val="auto"/>
        </w:rPr>
        <w:t xml:space="preserve">) was recorded </w:t>
      </w:r>
      <w:r>
        <w:rPr>
          <w:color w:val="auto"/>
        </w:rPr>
        <w:t xml:space="preserve">21 </w:t>
      </w:r>
      <w:r w:rsidRPr="00491745">
        <w:rPr>
          <w:color w:val="auto"/>
        </w:rPr>
        <w:t>Oct</w:t>
      </w:r>
      <w:r>
        <w:rPr>
          <w:color w:val="auto"/>
        </w:rPr>
        <w:t>ober 2015</w:t>
      </w:r>
      <w:r w:rsidRPr="00491745">
        <w:rPr>
          <w:color w:val="auto"/>
        </w:rPr>
        <w:t>, then in increasing numbers in subsequent samples at densities of</w:t>
      </w:r>
      <w:r>
        <w:rPr>
          <w:color w:val="auto"/>
        </w:rPr>
        <w:t xml:space="preserve"> 60–120 ind. L</w:t>
      </w:r>
      <w:r w:rsidRPr="00491745">
        <w:rPr>
          <w:color w:val="auto"/>
          <w:vertAlign w:val="superscript"/>
        </w:rPr>
        <w:t>-1</w:t>
      </w:r>
      <w:r w:rsidRPr="00491745">
        <w:rPr>
          <w:color w:val="auto"/>
        </w:rPr>
        <w:t xml:space="preserve"> to the end of sampling</w:t>
      </w:r>
      <w:r>
        <w:rPr>
          <w:color w:val="auto"/>
        </w:rPr>
        <w:t xml:space="preserve"> period (late January 2016)</w:t>
      </w:r>
      <w:r w:rsidRPr="00491745">
        <w:rPr>
          <w:color w:val="auto"/>
        </w:rPr>
        <w:t>. This rotifer is new to the continent, has previously been recorded from N</w:t>
      </w:r>
      <w:r>
        <w:rPr>
          <w:color w:val="auto"/>
        </w:rPr>
        <w:t>orth</w:t>
      </w:r>
      <w:r w:rsidRPr="00491745">
        <w:rPr>
          <w:color w:val="auto"/>
        </w:rPr>
        <w:t xml:space="preserve"> and S</w:t>
      </w:r>
      <w:r>
        <w:rPr>
          <w:color w:val="auto"/>
        </w:rPr>
        <w:t>outh</w:t>
      </w:r>
      <w:r w:rsidRPr="00491745">
        <w:rPr>
          <w:color w:val="auto"/>
        </w:rPr>
        <w:t xml:space="preserve"> America (Amazonia), at temperatures to 31 </w:t>
      </w:r>
      <w:r>
        <w:rPr>
          <w:color w:val="auto"/>
        </w:rPr>
        <w:t>°</w:t>
      </w:r>
      <w:r w:rsidRPr="00491745">
        <w:rPr>
          <w:color w:val="auto"/>
        </w:rPr>
        <w:t xml:space="preserve">C, </w:t>
      </w:r>
      <w:r>
        <w:rPr>
          <w:color w:val="auto"/>
        </w:rPr>
        <w:t>i.e.</w:t>
      </w:r>
      <w:r w:rsidRPr="00491745">
        <w:rPr>
          <w:color w:val="auto"/>
        </w:rPr>
        <w:t xml:space="preserve"> it is a warm stenotherm.</w:t>
      </w:r>
      <w:r w:rsidRPr="00491745">
        <w:rPr>
          <w:i/>
          <w:color w:val="auto"/>
        </w:rPr>
        <w:t xml:space="preserve"> </w:t>
      </w:r>
      <w:r w:rsidRPr="00491745">
        <w:rPr>
          <w:color w:val="auto"/>
          <w:szCs w:val="22"/>
        </w:rPr>
        <w:t xml:space="preserve">Also new for the continent, and also initially from Lock 1, another warm-water species, </w:t>
      </w:r>
      <w:r w:rsidRPr="00491745">
        <w:rPr>
          <w:i/>
          <w:color w:val="auto"/>
          <w:szCs w:val="22"/>
        </w:rPr>
        <w:lastRenderedPageBreak/>
        <w:t xml:space="preserve">Hexarthra braziliensis </w:t>
      </w:r>
      <w:r w:rsidRPr="00491745">
        <w:rPr>
          <w:color w:val="auto"/>
          <w:szCs w:val="22"/>
        </w:rPr>
        <w:t xml:space="preserve">was noted in early November, then in increasing numbers through to the end of January. It was recorded at Lock 6 on </w:t>
      </w:r>
      <w:r>
        <w:rPr>
          <w:color w:val="auto"/>
          <w:szCs w:val="22"/>
        </w:rPr>
        <w:t>20 January</w:t>
      </w:r>
      <w:r w:rsidRPr="00491745">
        <w:rPr>
          <w:color w:val="auto"/>
          <w:szCs w:val="22"/>
        </w:rPr>
        <w:t xml:space="preserve">. It co-occurred with a smaller congener, </w:t>
      </w:r>
      <w:r w:rsidRPr="00491745">
        <w:rPr>
          <w:i/>
          <w:color w:val="auto"/>
          <w:szCs w:val="22"/>
        </w:rPr>
        <w:t xml:space="preserve">H. intermedia. </w:t>
      </w:r>
      <w:r w:rsidRPr="00491745">
        <w:rPr>
          <w:color w:val="auto"/>
          <w:szCs w:val="22"/>
        </w:rPr>
        <w:t>The marked size difference of the congeners suggests that they are grazing on a different component of the available algae (they are herbivorous).</w:t>
      </w:r>
      <w:r w:rsidRPr="00491745">
        <w:rPr>
          <w:i/>
          <w:color w:val="auto"/>
          <w:szCs w:val="22"/>
        </w:rPr>
        <w:t xml:space="preserve"> H. braziliensis </w:t>
      </w:r>
      <w:r w:rsidRPr="00491745">
        <w:rPr>
          <w:color w:val="auto"/>
          <w:szCs w:val="22"/>
        </w:rPr>
        <w:t>was described from tropical S</w:t>
      </w:r>
      <w:r w:rsidR="00DD2AA7">
        <w:rPr>
          <w:color w:val="auto"/>
          <w:szCs w:val="22"/>
        </w:rPr>
        <w:t>ou</w:t>
      </w:r>
      <w:r w:rsidRPr="00491745">
        <w:rPr>
          <w:color w:val="auto"/>
          <w:szCs w:val="22"/>
        </w:rPr>
        <w:t>th America.</w:t>
      </w:r>
    </w:p>
    <w:p w14:paraId="53945CB4" w14:textId="7AEC71D8" w:rsidR="00E73EEF" w:rsidRPr="00491745" w:rsidRDefault="00E73EEF" w:rsidP="00E73EEF">
      <w:pPr>
        <w:jc w:val="center"/>
        <w:rPr>
          <w:color w:val="auto"/>
        </w:rPr>
      </w:pPr>
      <w:r w:rsidRPr="00491745">
        <w:rPr>
          <w:noProof/>
          <w:color w:val="auto"/>
          <w:lang w:eastAsia="en-AU"/>
        </w:rPr>
        <w:drawing>
          <wp:inline distT="0" distB="0" distL="0" distR="0" wp14:anchorId="08C80386" wp14:editId="7A12870F">
            <wp:extent cx="1872000" cy="1404000"/>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1 21i16 N 178 um Keratella cf americana 20X 3.3X NFK montage.tif"/>
                    <pic:cNvPicPr/>
                  </pic:nvPicPr>
                  <pic:blipFill>
                    <a:blip r:embed="rId106" cstate="email">
                      <a:extLst>
                        <a:ext uri="{28A0092B-C50C-407E-A947-70E740481C1C}">
                          <a14:useLocalDpi xmlns:a14="http://schemas.microsoft.com/office/drawing/2010/main"/>
                        </a:ext>
                      </a:extLst>
                    </a:blip>
                    <a:stretch>
                      <a:fillRect/>
                    </a:stretch>
                  </pic:blipFill>
                  <pic:spPr>
                    <a:xfrm>
                      <a:off x="0" y="0"/>
                      <a:ext cx="1872000" cy="1404000"/>
                    </a:xfrm>
                    <a:prstGeom prst="rect">
                      <a:avLst/>
                    </a:prstGeom>
                  </pic:spPr>
                </pic:pic>
              </a:graphicData>
            </a:graphic>
          </wp:inline>
        </w:drawing>
      </w:r>
      <w:r w:rsidRPr="00491745">
        <w:rPr>
          <w:noProof/>
          <w:color w:val="auto"/>
          <w:szCs w:val="22"/>
          <w:lang w:eastAsia="en-AU"/>
        </w:rPr>
        <w:drawing>
          <wp:inline distT="0" distB="0" distL="0" distR="0" wp14:anchorId="20572E6C" wp14:editId="6DF47E7A">
            <wp:extent cx="1872000" cy="1404000"/>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6 20i16  N-3 160 um H braziliensis montage.tif"/>
                    <pic:cNvPicPr/>
                  </pic:nvPicPr>
                  <pic:blipFill>
                    <a:blip r:embed="rId107" cstate="email">
                      <a:extLst>
                        <a:ext uri="{28A0092B-C50C-407E-A947-70E740481C1C}">
                          <a14:useLocalDpi xmlns:a14="http://schemas.microsoft.com/office/drawing/2010/main"/>
                        </a:ext>
                      </a:extLst>
                    </a:blip>
                    <a:stretch>
                      <a:fillRect/>
                    </a:stretch>
                  </pic:blipFill>
                  <pic:spPr>
                    <a:xfrm>
                      <a:off x="0" y="0"/>
                      <a:ext cx="1872000" cy="1404000"/>
                    </a:xfrm>
                    <a:prstGeom prst="rect">
                      <a:avLst/>
                    </a:prstGeom>
                  </pic:spPr>
                </pic:pic>
              </a:graphicData>
            </a:graphic>
          </wp:inline>
        </w:drawing>
      </w:r>
      <w:r w:rsidR="0097235E">
        <w:rPr>
          <w:b/>
          <w:bCs/>
          <w:noProof/>
          <w:lang w:eastAsia="en-AU"/>
        </w:rPr>
        <w:drawing>
          <wp:inline distT="0" distB="0" distL="0" distR="0" wp14:anchorId="5BD852B8" wp14:editId="5D48DEA0">
            <wp:extent cx="1872000" cy="1402273"/>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 6A 6x15 715 um subadult Daphnia cf galeata montage1.tif"/>
                    <pic:cNvPicPr/>
                  </pic:nvPicPr>
                  <pic:blipFill>
                    <a:blip r:embed="rId108" cstate="email">
                      <a:extLst>
                        <a:ext uri="{28A0092B-C50C-407E-A947-70E740481C1C}">
                          <a14:useLocalDpi xmlns:a14="http://schemas.microsoft.com/office/drawing/2010/main"/>
                        </a:ext>
                      </a:extLst>
                    </a:blip>
                    <a:stretch>
                      <a:fillRect/>
                    </a:stretch>
                  </pic:blipFill>
                  <pic:spPr>
                    <a:xfrm>
                      <a:off x="0" y="0"/>
                      <a:ext cx="1872000" cy="1402273"/>
                    </a:xfrm>
                    <a:prstGeom prst="rect">
                      <a:avLst/>
                    </a:prstGeom>
                  </pic:spPr>
                </pic:pic>
              </a:graphicData>
            </a:graphic>
          </wp:inline>
        </w:drawing>
      </w:r>
    </w:p>
    <w:p w14:paraId="7DB557BA" w14:textId="1A39C65A" w:rsidR="00E73EEF" w:rsidRDefault="00E73EEF" w:rsidP="00B46038">
      <w:pPr>
        <w:pStyle w:val="Captions"/>
      </w:pPr>
      <w:r>
        <w:t>Figure G</w:t>
      </w:r>
      <w:r w:rsidR="00C112DE">
        <w:t>2</w:t>
      </w:r>
      <w:r>
        <w:t>.</w:t>
      </w:r>
      <w:r w:rsidRPr="00491745">
        <w:t xml:space="preserve"> </w:t>
      </w:r>
      <w:r>
        <w:t xml:space="preserve">Novel microinvertebrate taxa sampled in the LMR Selected Area. </w:t>
      </w:r>
      <w:r w:rsidRPr="00D02725">
        <w:rPr>
          <w:i/>
        </w:rPr>
        <w:t xml:space="preserve">Keratella cf </w:t>
      </w:r>
      <w:r w:rsidR="005402CA">
        <w:rPr>
          <w:i/>
        </w:rPr>
        <w:t>a</w:t>
      </w:r>
      <w:r w:rsidRPr="00D02725">
        <w:rPr>
          <w:i/>
        </w:rPr>
        <w:t>mericana</w:t>
      </w:r>
      <w:r>
        <w:t xml:space="preserve"> (left, 178 µ</w:t>
      </w:r>
      <w:r w:rsidRPr="00491745">
        <w:t>m</w:t>
      </w:r>
      <w:r>
        <w:t xml:space="preserve">) from </w:t>
      </w:r>
      <w:r w:rsidRPr="00491745">
        <w:t>L</w:t>
      </w:r>
      <w:r>
        <w:t>oc</w:t>
      </w:r>
      <w:r w:rsidRPr="00491745">
        <w:t>k</w:t>
      </w:r>
      <w:r>
        <w:t xml:space="preserve"> </w:t>
      </w:r>
      <w:r w:rsidRPr="00491745">
        <w:t>1</w:t>
      </w:r>
      <w:r>
        <w:t xml:space="preserve"> during</w:t>
      </w:r>
      <w:r w:rsidRPr="00491745">
        <w:t xml:space="preserve"> 21 Jan</w:t>
      </w:r>
      <w:r>
        <w:t xml:space="preserve">uary 2016, and </w:t>
      </w:r>
      <w:r w:rsidRPr="00491745">
        <w:rPr>
          <w:i/>
        </w:rPr>
        <w:t>Hexarthra braziliensis</w:t>
      </w:r>
      <w:r w:rsidRPr="00491745">
        <w:t xml:space="preserve"> </w:t>
      </w:r>
      <w:r>
        <w:t>(</w:t>
      </w:r>
      <w:r w:rsidR="0097235E">
        <w:t>centre</w:t>
      </w:r>
      <w:r>
        <w:t xml:space="preserve">) from </w:t>
      </w:r>
      <w:r w:rsidRPr="00491745">
        <w:t>L</w:t>
      </w:r>
      <w:r>
        <w:t>oc</w:t>
      </w:r>
      <w:r w:rsidRPr="00491745">
        <w:t xml:space="preserve">k 6 </w:t>
      </w:r>
      <w:r>
        <w:t xml:space="preserve">on </w:t>
      </w:r>
      <w:r w:rsidRPr="00491745">
        <w:t>20 Jan</w:t>
      </w:r>
      <w:r>
        <w:t>uary</w:t>
      </w:r>
      <w:r w:rsidRPr="00491745">
        <w:t xml:space="preserve"> 2016</w:t>
      </w:r>
      <w:r w:rsidR="0097235E">
        <w:t xml:space="preserve">, and (right) </w:t>
      </w:r>
      <w:r w:rsidR="0097235E">
        <w:rPr>
          <w:i/>
          <w:iCs/>
        </w:rPr>
        <w:t xml:space="preserve">Daphnia galeata </w:t>
      </w:r>
      <w:r w:rsidR="0097235E" w:rsidRPr="008804B0">
        <w:rPr>
          <w:iCs/>
        </w:rPr>
        <w:t>(1.1 mm</w:t>
      </w:r>
      <w:r w:rsidR="0097235E" w:rsidRPr="0097235E">
        <w:rPr>
          <w:iCs/>
        </w:rPr>
        <w:t>)</w:t>
      </w:r>
      <w:r w:rsidR="0097235E">
        <w:rPr>
          <w:i/>
          <w:iCs/>
        </w:rPr>
        <w:t xml:space="preserve"> </w:t>
      </w:r>
      <w:r w:rsidR="0097235E">
        <w:t>from a night net tow in Lock 6A on 6 October 2015</w:t>
      </w:r>
      <w:r>
        <w:t>.</w:t>
      </w:r>
      <w:r w:rsidRPr="00491745">
        <w:t xml:space="preserve"> </w:t>
      </w:r>
    </w:p>
    <w:p w14:paraId="50C87BBC" w14:textId="113FE357" w:rsidR="0097235E" w:rsidRPr="0097235E" w:rsidRDefault="0097235E" w:rsidP="0097235E">
      <w:pPr>
        <w:rPr>
          <w:lang w:val="en-US"/>
        </w:rPr>
      </w:pPr>
      <w:r w:rsidRPr="008804B0">
        <w:rPr>
          <w:bCs/>
          <w:lang w:val="en-US"/>
        </w:rPr>
        <w:t xml:space="preserve">Another first record from the continent was the daphniid </w:t>
      </w:r>
      <w:r w:rsidRPr="008804B0">
        <w:rPr>
          <w:bCs/>
          <w:i/>
          <w:lang w:val="en-US"/>
        </w:rPr>
        <w:t xml:space="preserve">Daphnia galeata </w:t>
      </w:r>
      <w:r w:rsidR="0097446C">
        <w:rPr>
          <w:bCs/>
          <w:lang w:val="en-US"/>
        </w:rPr>
        <w:t>(Figure</w:t>
      </w:r>
      <w:r w:rsidRPr="008804B0">
        <w:rPr>
          <w:bCs/>
          <w:lang w:val="en-US"/>
        </w:rPr>
        <w:t xml:space="preserve"> G</w:t>
      </w:r>
      <w:r w:rsidR="00C112DE">
        <w:rPr>
          <w:bCs/>
          <w:lang w:val="en-US"/>
        </w:rPr>
        <w:t>2</w:t>
      </w:r>
      <w:r w:rsidRPr="008804B0">
        <w:rPr>
          <w:bCs/>
          <w:lang w:val="en-US"/>
        </w:rPr>
        <w:t>)</w:t>
      </w:r>
      <w:r>
        <w:rPr>
          <w:bCs/>
          <w:lang w:val="en-US"/>
        </w:rPr>
        <w:t>, a Eurasian species. It was recorded only once, in a night net tow from Lock 6A</w:t>
      </w:r>
      <w:r w:rsidR="0097446C">
        <w:rPr>
          <w:bCs/>
          <w:lang w:val="en-US"/>
        </w:rPr>
        <w:t xml:space="preserve"> (7 km below Lock 6)</w:t>
      </w:r>
      <w:r>
        <w:rPr>
          <w:bCs/>
          <w:lang w:val="en-US"/>
        </w:rPr>
        <w:t xml:space="preserve">, below the Chowilla </w:t>
      </w:r>
      <w:r w:rsidR="0097446C">
        <w:rPr>
          <w:bCs/>
          <w:lang w:val="en-US"/>
        </w:rPr>
        <w:t>junction</w:t>
      </w:r>
      <w:r>
        <w:rPr>
          <w:bCs/>
          <w:lang w:val="en-US"/>
        </w:rPr>
        <w:t xml:space="preserve">, and may have come from a shallow floodplain </w:t>
      </w:r>
      <w:r w:rsidR="0097446C">
        <w:rPr>
          <w:bCs/>
          <w:lang w:val="en-US"/>
        </w:rPr>
        <w:t xml:space="preserve">source, or in the main channel. This species was not recorded from the </w:t>
      </w:r>
      <w:r w:rsidR="0017201E">
        <w:rPr>
          <w:bCs/>
          <w:lang w:val="en-US"/>
        </w:rPr>
        <w:t>Lock </w:t>
      </w:r>
      <w:r>
        <w:rPr>
          <w:bCs/>
          <w:lang w:val="en-US"/>
        </w:rPr>
        <w:t>6 site</w:t>
      </w:r>
      <w:r w:rsidR="0097446C">
        <w:rPr>
          <w:bCs/>
          <w:lang w:val="en-US"/>
        </w:rPr>
        <w:t xml:space="preserve"> that was above the Chowilla junction</w:t>
      </w:r>
      <w:r>
        <w:rPr>
          <w:bCs/>
          <w:lang w:val="en-US"/>
        </w:rPr>
        <w:t>.</w:t>
      </w:r>
    </w:p>
    <w:p w14:paraId="30F381D1" w14:textId="0FE9B04C" w:rsidR="00E73EEF" w:rsidRPr="00146043" w:rsidRDefault="00E73EEF" w:rsidP="00E73EEF">
      <w:pPr>
        <w:rPr>
          <w:color w:val="auto"/>
          <w:sz w:val="20"/>
        </w:rPr>
      </w:pPr>
      <w:r w:rsidRPr="00491745">
        <w:rPr>
          <w:color w:val="auto"/>
          <w:szCs w:val="22"/>
        </w:rPr>
        <w:t>The origin of these two Neotropical taxa must be speculative. Given the intensity of plankton sampling In the LMR over &gt;30 y</w:t>
      </w:r>
      <w:r w:rsidR="002C164C">
        <w:rPr>
          <w:color w:val="auto"/>
          <w:szCs w:val="22"/>
        </w:rPr>
        <w:t>ea</w:t>
      </w:r>
      <w:r w:rsidRPr="00491745">
        <w:rPr>
          <w:color w:val="auto"/>
          <w:szCs w:val="22"/>
        </w:rPr>
        <w:t xml:space="preserve">rs (Shiel </w:t>
      </w:r>
      <w:r w:rsidRPr="00491745">
        <w:rPr>
          <w:i/>
          <w:color w:val="auto"/>
          <w:szCs w:val="22"/>
        </w:rPr>
        <w:t>et al</w:t>
      </w:r>
      <w:r w:rsidRPr="00491745">
        <w:rPr>
          <w:color w:val="auto"/>
          <w:szCs w:val="22"/>
        </w:rPr>
        <w:t xml:space="preserve">. 1982, Furst </w:t>
      </w:r>
      <w:r w:rsidRPr="00491745">
        <w:rPr>
          <w:i/>
          <w:color w:val="auto"/>
          <w:szCs w:val="22"/>
        </w:rPr>
        <w:t>et al.</w:t>
      </w:r>
      <w:r w:rsidRPr="00491745">
        <w:rPr>
          <w:color w:val="auto"/>
          <w:szCs w:val="22"/>
        </w:rPr>
        <w:t xml:space="preserve"> 2014) it is likely they would have been recogni</w:t>
      </w:r>
      <w:r w:rsidR="00DD2AA7">
        <w:rPr>
          <w:color w:val="auto"/>
          <w:szCs w:val="22"/>
        </w:rPr>
        <w:t>s</w:t>
      </w:r>
      <w:r w:rsidRPr="00491745">
        <w:rPr>
          <w:color w:val="auto"/>
          <w:szCs w:val="22"/>
        </w:rPr>
        <w:t xml:space="preserve">ed. An upstream origin is likely on this occasion. </w:t>
      </w:r>
      <w:r w:rsidR="009C11E3">
        <w:t xml:space="preserve">The rotifers may well be Gondwanan, of restricted distribution, uncollected/unrecognised until now. The </w:t>
      </w:r>
      <w:r w:rsidR="009C11E3">
        <w:rPr>
          <w:i/>
          <w:iCs/>
        </w:rPr>
        <w:t xml:space="preserve">Daphnia </w:t>
      </w:r>
      <w:r w:rsidR="009C11E3">
        <w:t>is presently regarded as an invasive species, and is spreading in North America after introduction to the Great Lakes (Benzie 2005). Importation with tropical fish and subsequent release is possible (e.g. Duggan 2010).</w:t>
      </w:r>
    </w:p>
    <w:p w14:paraId="5FFB5C53" w14:textId="4911D037" w:rsidR="00E73EEF" w:rsidRPr="00E73EEF" w:rsidRDefault="00E73EEF" w:rsidP="001D06D5">
      <w:pPr>
        <w:rPr>
          <w:i/>
          <w:sz w:val="24"/>
          <w:szCs w:val="24"/>
          <w:u w:val="single"/>
        </w:rPr>
      </w:pPr>
      <w:r w:rsidRPr="00E73EEF">
        <w:rPr>
          <w:i/>
          <w:sz w:val="24"/>
          <w:szCs w:val="24"/>
          <w:u w:val="single"/>
        </w:rPr>
        <w:t>Densities and taxa richness</w:t>
      </w:r>
    </w:p>
    <w:p w14:paraId="050B357C" w14:textId="59CA4932" w:rsidR="001D06D5" w:rsidRDefault="001D06D5" w:rsidP="001D06D5">
      <w:r w:rsidRPr="00000529">
        <w:t xml:space="preserve">At </w:t>
      </w:r>
      <w:r>
        <w:t xml:space="preserve">sites </w:t>
      </w:r>
      <w:r w:rsidR="00F56AD8">
        <w:t>below</w:t>
      </w:r>
      <w:r>
        <w:t xml:space="preserve"> </w:t>
      </w:r>
      <w:r w:rsidRPr="00000529">
        <w:t xml:space="preserve">Lock 6, microinvertebrate </w:t>
      </w:r>
      <w:r>
        <w:t>density</w:t>
      </w:r>
      <w:r w:rsidRPr="00000529">
        <w:t xml:space="preserve"> gradually increased throughout the sampling period</w:t>
      </w:r>
      <w:r>
        <w:t xml:space="preserve"> (Figure G</w:t>
      </w:r>
      <w:r w:rsidR="00DD2AA7">
        <w:t>3</w:t>
      </w:r>
      <w:r>
        <w:t>)</w:t>
      </w:r>
      <w:r w:rsidRPr="00000529">
        <w:t xml:space="preserve">. </w:t>
      </w:r>
      <w:r>
        <w:t>Density</w:t>
      </w:r>
      <w:r w:rsidRPr="00000529">
        <w:t xml:space="preserve"> was lowest during mid-October 2015 (mean ± S.E. = </w:t>
      </w:r>
      <w:r>
        <w:t>312.5</w:t>
      </w:r>
      <w:r w:rsidRPr="00000529">
        <w:t xml:space="preserve"> ±</w:t>
      </w:r>
      <w:r>
        <w:t xml:space="preserve"> 9.2 ind.L</w:t>
      </w:r>
      <w:r w:rsidRPr="009859C1">
        <w:rPr>
          <w:vertAlign w:val="superscript"/>
        </w:rPr>
        <w:noBreakHyphen/>
      </w:r>
      <w:r w:rsidRPr="00C9746A">
        <w:rPr>
          <w:vertAlign w:val="superscript"/>
        </w:rPr>
        <w:t>1</w:t>
      </w:r>
      <w:r w:rsidRPr="00000529">
        <w:t>) and greatest in late January 2016 (</w:t>
      </w:r>
      <w:r>
        <w:t>2227.3</w:t>
      </w:r>
      <w:r w:rsidRPr="00000529">
        <w:t xml:space="preserve"> ±</w:t>
      </w:r>
      <w:r>
        <w:t xml:space="preserve"> 179.0 ind.L</w:t>
      </w:r>
      <w:r w:rsidRPr="00F20CF7">
        <w:rPr>
          <w:vertAlign w:val="superscript"/>
        </w:rPr>
        <w:noBreakHyphen/>
        <w:t>1</w:t>
      </w:r>
      <w:r w:rsidRPr="00000529">
        <w:t xml:space="preserve">). At </w:t>
      </w:r>
      <w:r>
        <w:t xml:space="preserve">sites downstream of </w:t>
      </w:r>
      <w:r w:rsidRPr="00000529">
        <w:t xml:space="preserve">Lock 1, </w:t>
      </w:r>
      <w:r>
        <w:t>densities peaked early, in mid-October 2015 (2</w:t>
      </w:r>
      <w:r w:rsidR="0035197A">
        <w:t>,</w:t>
      </w:r>
      <w:r>
        <w:t>320.0</w:t>
      </w:r>
      <w:r w:rsidRPr="00000529">
        <w:t xml:space="preserve"> ±</w:t>
      </w:r>
      <w:r w:rsidR="0017201E">
        <w:t xml:space="preserve"> </w:t>
      </w:r>
      <w:r w:rsidR="0017201E">
        <w:lastRenderedPageBreak/>
        <w:t>116.0 </w:t>
      </w:r>
      <w:r>
        <w:t>ind.L</w:t>
      </w:r>
      <w:r w:rsidRPr="00F20CF7">
        <w:rPr>
          <w:vertAlign w:val="superscript"/>
        </w:rPr>
        <w:noBreakHyphen/>
        <w:t>1</w:t>
      </w:r>
      <w:r>
        <w:t>),</w:t>
      </w:r>
      <w:r w:rsidRPr="00000529">
        <w:t xml:space="preserve"> before </w:t>
      </w:r>
      <w:r>
        <w:t>sharply</w:t>
      </w:r>
      <w:r w:rsidRPr="00000529">
        <w:t xml:space="preserve"> falling to </w:t>
      </w:r>
      <w:r>
        <w:t>115.8</w:t>
      </w:r>
      <w:r w:rsidRPr="00000529">
        <w:t xml:space="preserve"> ±</w:t>
      </w:r>
      <w:r>
        <w:t xml:space="preserve"> 8.7 ind.L</w:t>
      </w:r>
      <w:r w:rsidRPr="00F20CF7">
        <w:rPr>
          <w:vertAlign w:val="superscript"/>
        </w:rPr>
        <w:noBreakHyphen/>
        <w:t>1</w:t>
      </w:r>
      <w:r w:rsidRPr="00000529">
        <w:t xml:space="preserve"> </w:t>
      </w:r>
      <w:r>
        <w:t>in mid-November (Figure G</w:t>
      </w:r>
      <w:r w:rsidR="00603C34">
        <w:t>3</w:t>
      </w:r>
      <w:r>
        <w:t>)</w:t>
      </w:r>
      <w:r w:rsidRPr="00000529">
        <w:t xml:space="preserve">. </w:t>
      </w:r>
      <w:r>
        <w:t>Densities below Lock 1</w:t>
      </w:r>
      <w:r w:rsidRPr="00000529">
        <w:t xml:space="preserve"> </w:t>
      </w:r>
      <w:r>
        <w:t>increased after mid-December to 2</w:t>
      </w:r>
      <w:r w:rsidR="0035197A">
        <w:t>,</w:t>
      </w:r>
      <w:r>
        <w:t>248.0</w:t>
      </w:r>
      <w:r w:rsidRPr="00000529">
        <w:t xml:space="preserve"> ±</w:t>
      </w:r>
      <w:r>
        <w:t xml:space="preserve"> 553.5 ind.L</w:t>
      </w:r>
      <w:r w:rsidRPr="00F20CF7">
        <w:rPr>
          <w:vertAlign w:val="superscript"/>
        </w:rPr>
        <w:noBreakHyphen/>
      </w:r>
      <w:r>
        <w:rPr>
          <w:vertAlign w:val="superscript"/>
        </w:rPr>
        <w:t>1</w:t>
      </w:r>
      <w:r w:rsidRPr="00000529">
        <w:t xml:space="preserve"> </w:t>
      </w:r>
      <w:r>
        <w:t xml:space="preserve">by late </w:t>
      </w:r>
      <w:r w:rsidRPr="00000529">
        <w:t>January</w:t>
      </w:r>
      <w:r>
        <w:t xml:space="preserve"> 2016</w:t>
      </w:r>
      <w:r w:rsidRPr="00000529">
        <w:t>.</w:t>
      </w:r>
    </w:p>
    <w:p w14:paraId="678534A6" w14:textId="03436E42" w:rsidR="001D06D5" w:rsidRDefault="00225F91" w:rsidP="001D06D5">
      <w:r w:rsidRPr="00225F91">
        <w:rPr>
          <w:noProof/>
          <w:lang w:eastAsia="en-AU"/>
        </w:rPr>
        <w:drawing>
          <wp:inline distT="0" distB="0" distL="0" distR="0" wp14:anchorId="67859FBC" wp14:editId="428F01C3">
            <wp:extent cx="5644800" cy="4401031"/>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09" cstate="email">
                      <a:extLst>
                        <a:ext uri="{28A0092B-C50C-407E-A947-70E740481C1C}">
                          <a14:useLocalDpi xmlns:a14="http://schemas.microsoft.com/office/drawing/2010/main"/>
                        </a:ext>
                      </a:extLst>
                    </a:blip>
                    <a:srcRect l="6965" t="6441"/>
                    <a:stretch/>
                  </pic:blipFill>
                  <pic:spPr bwMode="auto">
                    <a:xfrm>
                      <a:off x="0" y="0"/>
                      <a:ext cx="5644800" cy="4401031"/>
                    </a:xfrm>
                    <a:prstGeom prst="rect">
                      <a:avLst/>
                    </a:prstGeom>
                    <a:noFill/>
                    <a:ln>
                      <a:noFill/>
                    </a:ln>
                    <a:extLst>
                      <a:ext uri="{53640926-AAD7-44D8-BBD7-CCE9431645EC}">
                        <a14:shadowObscured xmlns:a14="http://schemas.microsoft.com/office/drawing/2010/main"/>
                      </a:ext>
                    </a:extLst>
                  </pic:spPr>
                </pic:pic>
              </a:graphicData>
            </a:graphic>
          </wp:inline>
        </w:drawing>
      </w:r>
      <w:r w:rsidRPr="00225F91">
        <w:t xml:space="preserve"> </w:t>
      </w:r>
    </w:p>
    <w:p w14:paraId="7C41AB07" w14:textId="75F266DB" w:rsidR="001D06D5" w:rsidRDefault="001D06D5" w:rsidP="00B46038">
      <w:pPr>
        <w:pStyle w:val="Captions"/>
        <w:rPr>
          <w:i/>
          <w:color w:val="1F497D" w:themeColor="text2"/>
          <w:sz w:val="24"/>
          <w:szCs w:val="24"/>
        </w:rPr>
      </w:pPr>
      <w:r w:rsidRPr="00FF0559">
        <w:t>Figure G</w:t>
      </w:r>
      <w:r w:rsidR="00DD2AA7">
        <w:t>3</w:t>
      </w:r>
      <w:r w:rsidRPr="00FF0559">
        <w:t>.  Average microinvertebrate</w:t>
      </w:r>
      <w:r>
        <w:t xml:space="preserve"> density (</w:t>
      </w:r>
      <w:r w:rsidR="00B83A14">
        <w:t>ind.L</w:t>
      </w:r>
      <w:r w:rsidR="00B83A14" w:rsidRPr="00B83A14">
        <w:rPr>
          <w:vertAlign w:val="superscript"/>
        </w:rPr>
        <w:t>-1</w:t>
      </w:r>
      <w:r w:rsidR="00B83A14">
        <w:t xml:space="preserve"> </w:t>
      </w:r>
      <w:r>
        <w:t xml:space="preserve">±S.E.) at sites </w:t>
      </w:r>
      <w:r w:rsidR="00F56AD8">
        <w:t>below</w:t>
      </w:r>
      <w:r w:rsidRPr="00FF0559">
        <w:t xml:space="preserve"> </w:t>
      </w:r>
      <w:r w:rsidR="00B80146">
        <w:t xml:space="preserve">a) </w:t>
      </w:r>
      <w:r w:rsidRPr="00FF0559">
        <w:t xml:space="preserve">Lock 1 (red circles) and </w:t>
      </w:r>
      <w:r w:rsidR="00B80146">
        <w:t xml:space="preserve">b) </w:t>
      </w:r>
      <w:r w:rsidRPr="00FF0559">
        <w:t>Lock 6 (blue circles) in each sampling event.</w:t>
      </w:r>
      <w:r w:rsidR="0058250E">
        <w:t xml:space="preserve"> Dotted lines show water level (m AHD) variations from weir pool raising within Weir Pools 2 (upstream (US) Lock 2) and 5 (US Lock 5). Water levels are also presented for locks that are immediately upstream of the sampling sites.</w:t>
      </w:r>
    </w:p>
    <w:p w14:paraId="7E4B2CDE" w14:textId="44EE8466" w:rsidR="001D06D5" w:rsidRPr="00000529" w:rsidRDefault="001D06D5" w:rsidP="001D06D5">
      <w:r w:rsidRPr="00000529">
        <w:t xml:space="preserve">At </w:t>
      </w:r>
      <w:r>
        <w:t xml:space="preserve">sites </w:t>
      </w:r>
      <w:r w:rsidR="00F56AD8">
        <w:t>below</w:t>
      </w:r>
      <w:r>
        <w:t xml:space="preserve"> </w:t>
      </w:r>
      <w:r w:rsidRPr="00000529">
        <w:t>Lock 6, m</w:t>
      </w:r>
      <w:r>
        <w:t>icroinvertebrate taxa</w:t>
      </w:r>
      <w:r w:rsidRPr="00000529">
        <w:t xml:space="preserve"> richness </w:t>
      </w:r>
      <w:r>
        <w:t xml:space="preserve">followed a similar trend to density </w:t>
      </w:r>
      <w:r w:rsidR="00F56AD8">
        <w:t>below</w:t>
      </w:r>
      <w:r>
        <w:t xml:space="preserve"> Lock 6, and </w:t>
      </w:r>
      <w:r w:rsidRPr="00000529">
        <w:t>gradually increased throughout the sampling period</w:t>
      </w:r>
      <w:r w:rsidR="0017201E">
        <w:t xml:space="preserve"> (Figure </w:t>
      </w:r>
      <w:r>
        <w:t>G</w:t>
      </w:r>
      <w:r w:rsidR="00603C34">
        <w:t>4</w:t>
      </w:r>
      <w:r>
        <w:t>)</w:t>
      </w:r>
      <w:r w:rsidRPr="00000529">
        <w:t xml:space="preserve">. </w:t>
      </w:r>
      <w:r>
        <w:t>Taxa</w:t>
      </w:r>
      <w:r w:rsidRPr="00000529">
        <w:t xml:space="preserve"> richness was lowest during mid-October 2015 (mean ± S.E. = 24.3 ± 2.7 spp.) and greatest in late January 2016 (50.3 ± 3.4 spp.). During the other sampling months, </w:t>
      </w:r>
      <w:r>
        <w:t>taxa</w:t>
      </w:r>
      <w:r w:rsidRPr="00000529">
        <w:t xml:space="preserve"> richness was relatively similar (31–40 spp.). </w:t>
      </w:r>
      <w:r>
        <w:t>Below</w:t>
      </w:r>
      <w:r w:rsidRPr="00000529">
        <w:t xml:space="preserve"> Lock 1, </w:t>
      </w:r>
      <w:r>
        <w:t>taxa</w:t>
      </w:r>
      <w:r w:rsidRPr="00000529">
        <w:t xml:space="preserve"> richness sharply rose from 36.3 ± 3.3</w:t>
      </w:r>
      <w:r>
        <w:t> </w:t>
      </w:r>
      <w:r w:rsidRPr="00000529">
        <w:t>spp</w:t>
      </w:r>
      <w:r>
        <w:t>.</w:t>
      </w:r>
      <w:r w:rsidRPr="00000529">
        <w:t xml:space="preserve"> in early October 2015 to 52.8 ± 0.8 spp</w:t>
      </w:r>
      <w:r>
        <w:t>.</w:t>
      </w:r>
      <w:r w:rsidRPr="00000529">
        <w:t xml:space="preserve"> in early November, before dramatically falling to ~18–24 spp. </w:t>
      </w:r>
      <w:r>
        <w:t>from</w:t>
      </w:r>
      <w:r w:rsidRPr="00000529">
        <w:t xml:space="preserve"> mid-November to mid-December 2015</w:t>
      </w:r>
      <w:r>
        <w:t xml:space="preserve"> (Figure G</w:t>
      </w:r>
      <w:r w:rsidR="00603C34">
        <w:t>4</w:t>
      </w:r>
      <w:r>
        <w:t>)</w:t>
      </w:r>
      <w:r w:rsidRPr="00000529">
        <w:t xml:space="preserve">. </w:t>
      </w:r>
      <w:r>
        <w:t>Taxa</w:t>
      </w:r>
      <w:r w:rsidRPr="00000529">
        <w:t xml:space="preserve"> richness then increased throughout January</w:t>
      </w:r>
      <w:r>
        <w:t xml:space="preserve"> 2016</w:t>
      </w:r>
      <w:r w:rsidRPr="00000529">
        <w:t>.</w:t>
      </w:r>
    </w:p>
    <w:p w14:paraId="25052E45" w14:textId="23CDEC19" w:rsidR="001D06D5" w:rsidRPr="00FF0559" w:rsidRDefault="00225F91" w:rsidP="001D06D5">
      <w:pPr>
        <w:jc w:val="center"/>
      </w:pPr>
      <w:r w:rsidRPr="00225F91">
        <w:rPr>
          <w:noProof/>
          <w:lang w:eastAsia="en-AU"/>
        </w:rPr>
        <w:lastRenderedPageBreak/>
        <w:drawing>
          <wp:inline distT="0" distB="0" distL="0" distR="0" wp14:anchorId="32958120" wp14:editId="449BB079">
            <wp:extent cx="5644800" cy="4441545"/>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l="8026" t="7873"/>
                    <a:stretch/>
                  </pic:blipFill>
                  <pic:spPr bwMode="auto">
                    <a:xfrm>
                      <a:off x="0" y="0"/>
                      <a:ext cx="5644800" cy="4441545"/>
                    </a:xfrm>
                    <a:prstGeom prst="rect">
                      <a:avLst/>
                    </a:prstGeom>
                    <a:noFill/>
                    <a:ln>
                      <a:noFill/>
                    </a:ln>
                    <a:extLst>
                      <a:ext uri="{53640926-AAD7-44D8-BBD7-CCE9431645EC}">
                        <a14:shadowObscured xmlns:a14="http://schemas.microsoft.com/office/drawing/2010/main"/>
                      </a:ext>
                    </a:extLst>
                  </pic:spPr>
                </pic:pic>
              </a:graphicData>
            </a:graphic>
          </wp:inline>
        </w:drawing>
      </w:r>
      <w:r w:rsidRPr="00225F91">
        <w:t xml:space="preserve"> </w:t>
      </w:r>
    </w:p>
    <w:p w14:paraId="52CCDD04" w14:textId="788A8936" w:rsidR="001D06D5" w:rsidRDefault="001D06D5" w:rsidP="00B46038">
      <w:pPr>
        <w:pStyle w:val="Captions"/>
        <w:rPr>
          <w:i/>
          <w:color w:val="1F497D" w:themeColor="text2"/>
          <w:sz w:val="24"/>
          <w:szCs w:val="24"/>
        </w:rPr>
      </w:pPr>
      <w:r w:rsidRPr="00FF0559">
        <w:t>Figure G</w:t>
      </w:r>
      <w:r w:rsidR="00603C34">
        <w:t>4</w:t>
      </w:r>
      <w:r w:rsidRPr="00FF0559">
        <w:t>.  Average microinvertebrate</w:t>
      </w:r>
      <w:r>
        <w:t xml:space="preserve"> taxa</w:t>
      </w:r>
      <w:r w:rsidRPr="00FF0559">
        <w:t xml:space="preserve"> richness (±</w:t>
      </w:r>
      <w:r>
        <w:t>S.E.</w:t>
      </w:r>
      <w:r w:rsidRPr="00FF0559">
        <w:t xml:space="preserve">) </w:t>
      </w:r>
      <w:r w:rsidR="0058250E">
        <w:t xml:space="preserve">at sites </w:t>
      </w:r>
      <w:r w:rsidR="00F56AD8">
        <w:t>below</w:t>
      </w:r>
      <w:r w:rsidR="0058250E" w:rsidRPr="00FF0559">
        <w:t xml:space="preserve"> </w:t>
      </w:r>
      <w:r w:rsidR="0058250E">
        <w:t xml:space="preserve">a) </w:t>
      </w:r>
      <w:r w:rsidR="0058250E" w:rsidRPr="00FF0559">
        <w:t xml:space="preserve">Lock 1 (red circles) and </w:t>
      </w:r>
      <w:r w:rsidR="0058250E">
        <w:t xml:space="preserve">b) </w:t>
      </w:r>
      <w:r w:rsidR="0058250E" w:rsidRPr="00FF0559">
        <w:t>Lock 6 (blue circles) in each sampling event.</w:t>
      </w:r>
      <w:r w:rsidR="0058250E">
        <w:t xml:space="preserve"> Dotted lines show water level (m AHD) variations from weir pool raising within Weir Pools 2 (upstream (US) Lock 2) and 5 (US Lock 5). Water levels are also presented for locks that are immediately upstream of the sampling sites.</w:t>
      </w:r>
    </w:p>
    <w:p w14:paraId="75022EAF" w14:textId="77777777" w:rsidR="001D06D5" w:rsidRPr="00F878B2" w:rsidRDefault="001D06D5" w:rsidP="001D06D5">
      <w:pPr>
        <w:rPr>
          <w:i/>
          <w:color w:val="auto"/>
          <w:sz w:val="24"/>
          <w:szCs w:val="24"/>
          <w:u w:val="single"/>
        </w:rPr>
      </w:pPr>
      <w:r>
        <w:rPr>
          <w:i/>
          <w:color w:val="auto"/>
          <w:sz w:val="24"/>
          <w:szCs w:val="24"/>
          <w:u w:val="single"/>
        </w:rPr>
        <w:t>Microinvertebrate assemblage structure</w:t>
      </w:r>
    </w:p>
    <w:p w14:paraId="6FC5F804" w14:textId="1C7840FC" w:rsidR="001D06D5" w:rsidRDefault="001D06D5" w:rsidP="001D06D5">
      <w:r>
        <w:rPr>
          <w:szCs w:val="22"/>
        </w:rPr>
        <w:t>Microinvertebrate</w:t>
      </w:r>
      <w:r w:rsidRPr="00F01413">
        <w:t xml:space="preserve"> assemblages appeared to separate well based on </w:t>
      </w:r>
      <w:r>
        <w:t xml:space="preserve">sampling </w:t>
      </w:r>
      <w:r w:rsidRPr="00F01413">
        <w:t>event, with individual event</w:t>
      </w:r>
      <w:r>
        <w:t>s</w:t>
      </w:r>
      <w:r w:rsidRPr="00F01413">
        <w:t xml:space="preserve"> forming relatively tight groups and a temporal sequence </w:t>
      </w:r>
      <w:r>
        <w:t>notic</w:t>
      </w:r>
      <w:r w:rsidR="00E03F39">
        <w:t>e</w:t>
      </w:r>
      <w:r>
        <w:t>able</w:t>
      </w:r>
      <w:r w:rsidRPr="00F01413">
        <w:t xml:space="preserve"> across the </w:t>
      </w:r>
      <w:r>
        <w:t xml:space="preserve">MDS </w:t>
      </w:r>
      <w:r w:rsidRPr="00F01413">
        <w:t xml:space="preserve">ordination (Figure </w:t>
      </w:r>
      <w:r>
        <w:t>G</w:t>
      </w:r>
      <w:r w:rsidR="00603C34">
        <w:t>5</w:t>
      </w:r>
      <w:r w:rsidRPr="00F01413">
        <w:t>). Within each of the sampling event</w:t>
      </w:r>
      <w:r>
        <w:t>s</w:t>
      </w:r>
      <w:r w:rsidRPr="00F01413">
        <w:t xml:space="preserve">, within-lock </w:t>
      </w:r>
      <w:r>
        <w:t xml:space="preserve">assemblage </w:t>
      </w:r>
      <w:r w:rsidRPr="00F01413">
        <w:t>similarity was high, such that individual lock</w:t>
      </w:r>
      <w:r>
        <w:t>s</w:t>
      </w:r>
      <w:r w:rsidRPr="00F01413">
        <w:t xml:space="preserve"> tended to group together (Figure </w:t>
      </w:r>
      <w:r>
        <w:t>G</w:t>
      </w:r>
      <w:r w:rsidR="00603C34">
        <w:t>5</w:t>
      </w:r>
      <w:r w:rsidRPr="00F01413">
        <w:t xml:space="preserve">). Separation of locks were </w:t>
      </w:r>
      <w:r w:rsidRPr="009355C4">
        <w:t>less apparent in the later sampling even</w:t>
      </w:r>
      <w:r>
        <w:t>ts (early and mid-January 2016)</w:t>
      </w:r>
      <w:r w:rsidRPr="00F01413">
        <w:t xml:space="preserve"> (Figure </w:t>
      </w:r>
      <w:r>
        <w:t>G</w:t>
      </w:r>
      <w:r w:rsidR="00603C34">
        <w:t>5</w:t>
      </w:r>
      <w:r w:rsidRPr="00F01413">
        <w:t xml:space="preserve">). </w:t>
      </w:r>
      <w:r>
        <w:t xml:space="preserve">The microinvertebrate assemblage below Lock 1 during mid-November 2015, which was characterised by low density and </w:t>
      </w:r>
      <w:r w:rsidR="00E07DF1">
        <w:t xml:space="preserve">taxa </w:t>
      </w:r>
      <w:r>
        <w:t>richness (Figures G</w:t>
      </w:r>
      <w:r w:rsidR="00603C34">
        <w:t>3</w:t>
      </w:r>
      <w:r>
        <w:t xml:space="preserve"> and G</w:t>
      </w:r>
      <w:r w:rsidR="00603C34">
        <w:t>4</w:t>
      </w:r>
      <w:r>
        <w:t>), showed a high degree of separation from other sampling events</w:t>
      </w:r>
      <w:r w:rsidRPr="009355C4">
        <w:t xml:space="preserve"> </w:t>
      </w:r>
      <w:r w:rsidRPr="00F01413">
        <w:t xml:space="preserve">(Figure </w:t>
      </w:r>
      <w:r>
        <w:t>G</w:t>
      </w:r>
      <w:r w:rsidR="00603C34">
        <w:t>5</w:t>
      </w:r>
      <w:r w:rsidRPr="00F01413">
        <w:t>).</w:t>
      </w:r>
    </w:p>
    <w:p w14:paraId="18C8A8D1" w14:textId="49014775" w:rsidR="001D06D5" w:rsidRDefault="00D31BF6" w:rsidP="001D06D5">
      <w:r w:rsidRPr="00D31BF6">
        <w:rPr>
          <w:noProof/>
          <w:lang w:eastAsia="en-AU"/>
        </w:rPr>
        <w:lastRenderedPageBreak/>
        <w:drawing>
          <wp:inline distT="0" distB="0" distL="0" distR="0" wp14:anchorId="0CA3699B" wp14:editId="0F3D981D">
            <wp:extent cx="5510565" cy="3063875"/>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1" cstate="email">
                      <a:extLst>
                        <a:ext uri="{28A0092B-C50C-407E-A947-70E740481C1C}">
                          <a14:useLocalDpi xmlns:a14="http://schemas.microsoft.com/office/drawing/2010/main"/>
                        </a:ext>
                      </a:extLst>
                    </a:blip>
                    <a:srcRect t="8530"/>
                    <a:stretch/>
                  </pic:blipFill>
                  <pic:spPr bwMode="auto">
                    <a:xfrm>
                      <a:off x="0" y="0"/>
                      <a:ext cx="5511600" cy="3064450"/>
                    </a:xfrm>
                    <a:prstGeom prst="rect">
                      <a:avLst/>
                    </a:prstGeom>
                    <a:noFill/>
                    <a:ln>
                      <a:noFill/>
                    </a:ln>
                    <a:extLst>
                      <a:ext uri="{53640926-AAD7-44D8-BBD7-CCE9431645EC}">
                        <a14:shadowObscured xmlns:a14="http://schemas.microsoft.com/office/drawing/2010/main"/>
                      </a:ext>
                    </a:extLst>
                  </pic:spPr>
                </pic:pic>
              </a:graphicData>
            </a:graphic>
          </wp:inline>
        </w:drawing>
      </w:r>
      <w:r w:rsidRPr="00D31BF6">
        <w:t xml:space="preserve"> </w:t>
      </w:r>
    </w:p>
    <w:p w14:paraId="65011B09" w14:textId="75BED194" w:rsidR="001D06D5" w:rsidRDefault="001D06D5" w:rsidP="00B46038">
      <w:pPr>
        <w:pStyle w:val="Captions"/>
      </w:pPr>
      <w:r w:rsidRPr="00057D47">
        <w:t>Figur</w:t>
      </w:r>
      <w:r>
        <w:t>e G</w:t>
      </w:r>
      <w:r w:rsidR="00603C34">
        <w:t>5</w:t>
      </w:r>
      <w:r>
        <w:t>.</w:t>
      </w:r>
      <w:r w:rsidRPr="00057D47">
        <w:t xml:space="preserve"> MDS ordination of </w:t>
      </w:r>
      <w:r w:rsidRPr="004C5AFF">
        <w:t>microinvertebrate</w:t>
      </w:r>
      <w:r w:rsidRPr="00057D47">
        <w:t xml:space="preserve"> assemblage data (log transformed)</w:t>
      </w:r>
      <w:r>
        <w:t xml:space="preserve"> for</w:t>
      </w:r>
      <w:r w:rsidR="00F56AD8">
        <w:t xml:space="preserve"> sites below</w:t>
      </w:r>
      <w:r>
        <w:t xml:space="preserve"> Lock 6 (closed symbols) and Lock 1 (open symbols).</w:t>
      </w:r>
    </w:p>
    <w:p w14:paraId="7862207C" w14:textId="7677228D" w:rsidR="001D06D5" w:rsidRDefault="001D06D5" w:rsidP="001D06D5">
      <w:r>
        <w:t>A significant interaction was detected between locks and sampling events (two-factor PERMANOVA; Pseudo-</w:t>
      </w:r>
      <w:r w:rsidRPr="00C27916">
        <w:t>F</w:t>
      </w:r>
      <w:r w:rsidRPr="00C27916">
        <w:rPr>
          <w:vertAlign w:val="subscript"/>
        </w:rPr>
        <w:t>7,63</w:t>
      </w:r>
      <w:r w:rsidRPr="00C27916">
        <w:t xml:space="preserve"> = 5.9127, </w:t>
      </w:r>
      <w:r w:rsidRPr="00C9746A">
        <w:rPr>
          <w:i/>
        </w:rPr>
        <w:t>p</w:t>
      </w:r>
      <w:r w:rsidRPr="00F01413">
        <w:t xml:space="preserve"> &lt; 0.0001)</w:t>
      </w:r>
      <w:r>
        <w:t xml:space="preserve">, </w:t>
      </w:r>
      <w:r w:rsidRPr="002F6195">
        <w:t xml:space="preserve">suggesting </w:t>
      </w:r>
      <w:r>
        <w:t xml:space="preserve">inconsistent spatio-temporal variation among sampling events between the two locks. </w:t>
      </w:r>
      <w:r w:rsidRPr="00F01413">
        <w:t xml:space="preserve">Pairwise tests </w:t>
      </w:r>
      <w:r>
        <w:t xml:space="preserve">were </w:t>
      </w:r>
      <w:r w:rsidRPr="00F01413">
        <w:t>conducted separately for each lock to examine differences over time (i.e. between sampling event</w:t>
      </w:r>
      <w:r>
        <w:t>s</w:t>
      </w:r>
      <w:r w:rsidRPr="00F01413">
        <w:t>)</w:t>
      </w:r>
      <w:r>
        <w:t xml:space="preserve"> (see Tables G6 and G7)</w:t>
      </w:r>
      <w:r w:rsidRPr="00F01413">
        <w:t xml:space="preserve">.  </w:t>
      </w:r>
    </w:p>
    <w:p w14:paraId="618EF840" w14:textId="77777777" w:rsidR="001D06D5" w:rsidRPr="00F878B2" w:rsidRDefault="001D06D5" w:rsidP="001D06D5">
      <w:pPr>
        <w:rPr>
          <w:i/>
          <w:noProof/>
          <w:color w:val="auto"/>
          <w:szCs w:val="24"/>
          <w:lang w:eastAsia="en-AU"/>
        </w:rPr>
      </w:pPr>
      <w:r w:rsidRPr="00F878B2">
        <w:rPr>
          <w:i/>
          <w:noProof/>
          <w:color w:val="auto"/>
          <w:szCs w:val="24"/>
          <w:lang w:eastAsia="en-AU"/>
        </w:rPr>
        <w:t>Lock 6</w:t>
      </w:r>
    </w:p>
    <w:p w14:paraId="44D6A15E" w14:textId="552D9C9B" w:rsidR="001D06D5" w:rsidRPr="00F01413" w:rsidRDefault="001D06D5" w:rsidP="001D06D5">
      <w:pPr>
        <w:rPr>
          <w:sz w:val="24"/>
          <w:szCs w:val="24"/>
          <w:lang w:eastAsia="en-AU"/>
        </w:rPr>
      </w:pPr>
      <w:r w:rsidRPr="00F01413">
        <w:t xml:space="preserve">Within </w:t>
      </w:r>
      <w:r>
        <w:t xml:space="preserve">sites below </w:t>
      </w:r>
      <w:r w:rsidRPr="00F01413">
        <w:t>Lock 6, all sampling events were significantly different from one another (Tabl</w:t>
      </w:r>
      <w:r>
        <w:t>e G2</w:t>
      </w:r>
      <w:r w:rsidRPr="00F01413">
        <w:t xml:space="preserve"> </w:t>
      </w:r>
      <w:r>
        <w:t>and</w:t>
      </w:r>
      <w:r w:rsidRPr="00F01413">
        <w:t xml:space="preserve"> Figure </w:t>
      </w:r>
      <w:r>
        <w:t>G</w:t>
      </w:r>
      <w:r w:rsidR="00603C34">
        <w:t>6</w:t>
      </w:r>
      <w:r>
        <w:t>).</w:t>
      </w:r>
      <w:r w:rsidRPr="00F01413">
        <w:t xml:space="preserve"> </w:t>
      </w:r>
      <w:r w:rsidRPr="00F13E37">
        <w:t>Generally</w:t>
      </w:r>
      <w:r>
        <w:t>,</w:t>
      </w:r>
      <w:r w:rsidRPr="00F13E37">
        <w:t xml:space="preserve"> separation between groups was high, with the exception of the mid-December and early January events, which were not as well separated</w:t>
      </w:r>
      <w:r>
        <w:t>,</w:t>
      </w:r>
      <w:r w:rsidRPr="00F13E37">
        <w:t xml:space="preserve"> although still significant (Figure G</w:t>
      </w:r>
      <w:r w:rsidR="00603C34">
        <w:t>6</w:t>
      </w:r>
      <w:r w:rsidRPr="00F13E37">
        <w:t>).</w:t>
      </w:r>
      <w:r w:rsidRPr="00F01413">
        <w:rPr>
          <w:sz w:val="24"/>
          <w:szCs w:val="24"/>
          <w:lang w:eastAsia="en-AU"/>
        </w:rPr>
        <w:t xml:space="preserve"> </w:t>
      </w:r>
    </w:p>
    <w:p w14:paraId="5F278934" w14:textId="77777777" w:rsidR="00C04BD6" w:rsidRDefault="00C04BD6" w:rsidP="00B46038">
      <w:pPr>
        <w:pStyle w:val="Captions"/>
      </w:pPr>
    </w:p>
    <w:p w14:paraId="203E3073" w14:textId="77777777" w:rsidR="00C04BD6" w:rsidRDefault="00C04BD6">
      <w:pPr>
        <w:spacing w:before="0" w:after="200" w:line="276" w:lineRule="auto"/>
        <w:jc w:val="left"/>
        <w:rPr>
          <w:rFonts w:eastAsia="MS Mincho" w:cs="Arial"/>
          <w:b/>
          <w:bCs/>
          <w:color w:val="auto"/>
          <w:kern w:val="0"/>
          <w:sz w:val="20"/>
          <w:lang w:val="en-US"/>
        </w:rPr>
      </w:pPr>
      <w:r>
        <w:br w:type="page"/>
      </w:r>
    </w:p>
    <w:p w14:paraId="78F95F1F" w14:textId="349AF20D" w:rsidR="001D06D5" w:rsidRPr="00F01413" w:rsidRDefault="001D06D5" w:rsidP="00B46038">
      <w:pPr>
        <w:pStyle w:val="Captions"/>
        <w:rPr>
          <w:rFonts w:cs="Garamond"/>
          <w:szCs w:val="24"/>
        </w:rPr>
      </w:pPr>
      <w:r w:rsidRPr="00F01413">
        <w:lastRenderedPageBreak/>
        <w:t>Tabl</w:t>
      </w:r>
      <w:r>
        <w:t>e G2</w:t>
      </w:r>
      <w:r w:rsidRPr="00F01413">
        <w:t xml:space="preserve">.  Within </w:t>
      </w:r>
      <w:r>
        <w:t xml:space="preserve">sites below </w:t>
      </w:r>
      <w:r w:rsidRPr="00F01413">
        <w:t xml:space="preserve">Lock 6 pair-wise results of </w:t>
      </w:r>
      <w:r w:rsidRPr="004C5AFF">
        <w:t>microinvertebrate</w:t>
      </w:r>
      <w:r w:rsidRPr="00F01413">
        <w:t xml:space="preserve"> log(x+1) abundance data amongst sampling events, showing </w:t>
      </w:r>
      <w:r>
        <w:t>p</w:t>
      </w:r>
      <w:r w:rsidRPr="00F01413">
        <w:t>-</w:t>
      </w:r>
      <w:r w:rsidRPr="0032329B">
        <w:t>values. * = groups significantly different.</w:t>
      </w:r>
    </w:p>
    <w:tbl>
      <w:tblPr>
        <w:tblStyle w:val="TableGrid"/>
        <w:tblW w:w="4953" w:type="pct"/>
        <w:tblLook w:val="04A0" w:firstRow="1" w:lastRow="0" w:firstColumn="1" w:lastColumn="0" w:noHBand="0" w:noVBand="1"/>
      </w:tblPr>
      <w:tblGrid>
        <w:gridCol w:w="1075"/>
        <w:gridCol w:w="1127"/>
        <w:gridCol w:w="1130"/>
        <w:gridCol w:w="1139"/>
        <w:gridCol w:w="1139"/>
        <w:gridCol w:w="1139"/>
        <w:gridCol w:w="1135"/>
        <w:gridCol w:w="1041"/>
      </w:tblGrid>
      <w:tr w:rsidR="001D06D5" w:rsidRPr="00555A65" w14:paraId="7B76AD2E" w14:textId="77777777" w:rsidTr="00555A65">
        <w:trPr>
          <w:trHeight w:val="340"/>
        </w:trPr>
        <w:tc>
          <w:tcPr>
            <w:tcW w:w="602" w:type="pct"/>
          </w:tcPr>
          <w:p w14:paraId="11C32F83" w14:textId="77777777" w:rsidR="001D06D5" w:rsidRPr="00555A65" w:rsidRDefault="001D06D5" w:rsidP="00C365DC">
            <w:pPr>
              <w:spacing w:line="240" w:lineRule="auto"/>
              <w:contextualSpacing/>
              <w:rPr>
                <w:b/>
                <w:sz w:val="19"/>
                <w:szCs w:val="19"/>
                <w:lang w:eastAsia="en-AU"/>
              </w:rPr>
            </w:pPr>
            <w:r w:rsidRPr="00555A65">
              <w:rPr>
                <w:b/>
                <w:sz w:val="19"/>
                <w:szCs w:val="19"/>
                <w:lang w:eastAsia="en-AU"/>
              </w:rPr>
              <w:t>Sampling Event</w:t>
            </w:r>
          </w:p>
        </w:tc>
        <w:tc>
          <w:tcPr>
            <w:tcW w:w="632" w:type="pct"/>
          </w:tcPr>
          <w:p w14:paraId="080262D3" w14:textId="77777777" w:rsidR="001D06D5" w:rsidRPr="00555A65" w:rsidRDefault="001D06D5" w:rsidP="00C365DC">
            <w:pPr>
              <w:contextualSpacing/>
              <w:rPr>
                <w:sz w:val="19"/>
                <w:szCs w:val="19"/>
                <w:lang w:eastAsia="en-AU"/>
              </w:rPr>
            </w:pPr>
            <w:r w:rsidRPr="00555A65">
              <w:rPr>
                <w:sz w:val="19"/>
                <w:szCs w:val="19"/>
                <w:lang w:eastAsia="en-AU"/>
              </w:rPr>
              <w:t>6-Oct</w:t>
            </w:r>
          </w:p>
        </w:tc>
        <w:tc>
          <w:tcPr>
            <w:tcW w:w="633" w:type="pct"/>
          </w:tcPr>
          <w:p w14:paraId="5E95EEE6" w14:textId="77777777" w:rsidR="001D06D5" w:rsidRPr="00555A65" w:rsidRDefault="001D06D5" w:rsidP="00C365DC">
            <w:pPr>
              <w:contextualSpacing/>
              <w:rPr>
                <w:sz w:val="19"/>
                <w:szCs w:val="19"/>
                <w:lang w:eastAsia="en-AU"/>
              </w:rPr>
            </w:pPr>
            <w:r w:rsidRPr="00555A65">
              <w:rPr>
                <w:sz w:val="19"/>
                <w:szCs w:val="19"/>
                <w:lang w:eastAsia="en-AU"/>
              </w:rPr>
              <w:t>20-Oct</w:t>
            </w:r>
          </w:p>
        </w:tc>
        <w:tc>
          <w:tcPr>
            <w:tcW w:w="638" w:type="pct"/>
          </w:tcPr>
          <w:p w14:paraId="38FADAE0" w14:textId="77777777" w:rsidR="001D06D5" w:rsidRPr="00555A65" w:rsidRDefault="001D06D5" w:rsidP="00C365DC">
            <w:pPr>
              <w:contextualSpacing/>
              <w:rPr>
                <w:sz w:val="19"/>
                <w:szCs w:val="19"/>
                <w:lang w:eastAsia="en-AU"/>
              </w:rPr>
            </w:pPr>
            <w:r w:rsidRPr="00555A65">
              <w:rPr>
                <w:sz w:val="19"/>
                <w:szCs w:val="19"/>
                <w:lang w:eastAsia="en-AU"/>
              </w:rPr>
              <w:t>2-Nov</w:t>
            </w:r>
          </w:p>
        </w:tc>
        <w:tc>
          <w:tcPr>
            <w:tcW w:w="638" w:type="pct"/>
          </w:tcPr>
          <w:p w14:paraId="0AAB9DBE" w14:textId="77777777" w:rsidR="001D06D5" w:rsidRPr="00555A65" w:rsidRDefault="001D06D5" w:rsidP="00C365DC">
            <w:pPr>
              <w:contextualSpacing/>
              <w:rPr>
                <w:sz w:val="19"/>
                <w:szCs w:val="19"/>
                <w:lang w:eastAsia="en-AU"/>
              </w:rPr>
            </w:pPr>
            <w:r w:rsidRPr="00555A65">
              <w:rPr>
                <w:sz w:val="19"/>
                <w:szCs w:val="19"/>
                <w:lang w:eastAsia="en-AU"/>
              </w:rPr>
              <w:t>17-Nov</w:t>
            </w:r>
          </w:p>
        </w:tc>
        <w:tc>
          <w:tcPr>
            <w:tcW w:w="638" w:type="pct"/>
          </w:tcPr>
          <w:p w14:paraId="74CF37BE" w14:textId="77777777" w:rsidR="001D06D5" w:rsidRPr="00555A65" w:rsidRDefault="001D06D5" w:rsidP="00C365DC">
            <w:pPr>
              <w:contextualSpacing/>
              <w:rPr>
                <w:sz w:val="19"/>
                <w:szCs w:val="19"/>
                <w:lang w:eastAsia="en-AU"/>
              </w:rPr>
            </w:pPr>
            <w:r w:rsidRPr="00555A65">
              <w:rPr>
                <w:sz w:val="19"/>
                <w:szCs w:val="19"/>
                <w:lang w:eastAsia="en-AU"/>
              </w:rPr>
              <w:t>30-Nov</w:t>
            </w:r>
          </w:p>
        </w:tc>
        <w:tc>
          <w:tcPr>
            <w:tcW w:w="636" w:type="pct"/>
          </w:tcPr>
          <w:p w14:paraId="4C9A7D4B" w14:textId="77777777" w:rsidR="001D06D5" w:rsidRPr="00555A65" w:rsidRDefault="001D06D5" w:rsidP="00C365DC">
            <w:pPr>
              <w:contextualSpacing/>
              <w:rPr>
                <w:sz w:val="19"/>
                <w:szCs w:val="19"/>
                <w:lang w:eastAsia="en-AU"/>
              </w:rPr>
            </w:pPr>
            <w:r w:rsidRPr="00555A65">
              <w:rPr>
                <w:sz w:val="19"/>
                <w:szCs w:val="19"/>
                <w:lang w:eastAsia="en-AU"/>
              </w:rPr>
              <w:t>15-Dec</w:t>
            </w:r>
          </w:p>
        </w:tc>
        <w:tc>
          <w:tcPr>
            <w:tcW w:w="583" w:type="pct"/>
          </w:tcPr>
          <w:p w14:paraId="5DC57718" w14:textId="77777777" w:rsidR="001D06D5" w:rsidRPr="00555A65" w:rsidRDefault="001D06D5" w:rsidP="00C365DC">
            <w:pPr>
              <w:contextualSpacing/>
              <w:rPr>
                <w:sz w:val="19"/>
                <w:szCs w:val="19"/>
                <w:lang w:eastAsia="en-AU"/>
              </w:rPr>
            </w:pPr>
            <w:r w:rsidRPr="00555A65">
              <w:rPr>
                <w:sz w:val="19"/>
                <w:szCs w:val="19"/>
                <w:lang w:eastAsia="en-AU"/>
              </w:rPr>
              <w:t>5-Jan</w:t>
            </w:r>
          </w:p>
        </w:tc>
      </w:tr>
      <w:tr w:rsidR="001D06D5" w:rsidRPr="00555A65" w14:paraId="7D47AA0B" w14:textId="77777777" w:rsidTr="00555A65">
        <w:trPr>
          <w:trHeight w:val="340"/>
        </w:trPr>
        <w:tc>
          <w:tcPr>
            <w:tcW w:w="602" w:type="pct"/>
          </w:tcPr>
          <w:p w14:paraId="12DEB945" w14:textId="77777777" w:rsidR="001D06D5" w:rsidRPr="00555A65" w:rsidRDefault="001D06D5" w:rsidP="00C365DC">
            <w:pPr>
              <w:contextualSpacing/>
              <w:rPr>
                <w:sz w:val="19"/>
                <w:szCs w:val="19"/>
                <w:lang w:eastAsia="en-AU"/>
              </w:rPr>
            </w:pPr>
            <w:r w:rsidRPr="00555A65">
              <w:rPr>
                <w:sz w:val="19"/>
                <w:szCs w:val="19"/>
                <w:lang w:eastAsia="en-AU"/>
              </w:rPr>
              <w:t>6-Oct</w:t>
            </w:r>
          </w:p>
        </w:tc>
        <w:tc>
          <w:tcPr>
            <w:tcW w:w="632" w:type="pct"/>
          </w:tcPr>
          <w:p w14:paraId="057653C7" w14:textId="77777777" w:rsidR="001D06D5" w:rsidRPr="00555A65" w:rsidRDefault="001D06D5" w:rsidP="00C365DC">
            <w:pPr>
              <w:contextualSpacing/>
              <w:rPr>
                <w:sz w:val="19"/>
                <w:szCs w:val="19"/>
                <w:lang w:eastAsia="en-AU"/>
              </w:rPr>
            </w:pPr>
          </w:p>
        </w:tc>
        <w:tc>
          <w:tcPr>
            <w:tcW w:w="633" w:type="pct"/>
          </w:tcPr>
          <w:p w14:paraId="2778A640" w14:textId="77777777" w:rsidR="001D06D5" w:rsidRPr="00555A65" w:rsidRDefault="001D06D5" w:rsidP="00C365DC">
            <w:pPr>
              <w:contextualSpacing/>
              <w:rPr>
                <w:sz w:val="19"/>
                <w:szCs w:val="19"/>
                <w:lang w:eastAsia="en-AU"/>
              </w:rPr>
            </w:pPr>
          </w:p>
        </w:tc>
        <w:tc>
          <w:tcPr>
            <w:tcW w:w="638" w:type="pct"/>
          </w:tcPr>
          <w:p w14:paraId="5A8EBE7D" w14:textId="77777777" w:rsidR="001D06D5" w:rsidRPr="00555A65" w:rsidRDefault="001D06D5" w:rsidP="00C365DC">
            <w:pPr>
              <w:contextualSpacing/>
              <w:rPr>
                <w:sz w:val="19"/>
                <w:szCs w:val="19"/>
                <w:lang w:eastAsia="en-AU"/>
              </w:rPr>
            </w:pPr>
          </w:p>
        </w:tc>
        <w:tc>
          <w:tcPr>
            <w:tcW w:w="638" w:type="pct"/>
          </w:tcPr>
          <w:p w14:paraId="312EA810" w14:textId="77777777" w:rsidR="001D06D5" w:rsidRPr="00555A65" w:rsidRDefault="001D06D5" w:rsidP="00C365DC">
            <w:pPr>
              <w:contextualSpacing/>
              <w:rPr>
                <w:sz w:val="19"/>
                <w:szCs w:val="19"/>
                <w:lang w:eastAsia="en-AU"/>
              </w:rPr>
            </w:pPr>
          </w:p>
        </w:tc>
        <w:tc>
          <w:tcPr>
            <w:tcW w:w="638" w:type="pct"/>
          </w:tcPr>
          <w:p w14:paraId="65F241CE" w14:textId="77777777" w:rsidR="001D06D5" w:rsidRPr="00555A65" w:rsidRDefault="001D06D5" w:rsidP="00C365DC">
            <w:pPr>
              <w:contextualSpacing/>
              <w:rPr>
                <w:sz w:val="19"/>
                <w:szCs w:val="19"/>
                <w:lang w:eastAsia="en-AU"/>
              </w:rPr>
            </w:pPr>
          </w:p>
        </w:tc>
        <w:tc>
          <w:tcPr>
            <w:tcW w:w="636" w:type="pct"/>
          </w:tcPr>
          <w:p w14:paraId="19D36D6E" w14:textId="77777777" w:rsidR="001D06D5" w:rsidRPr="00555A65" w:rsidRDefault="001D06D5" w:rsidP="00C365DC">
            <w:pPr>
              <w:contextualSpacing/>
              <w:rPr>
                <w:sz w:val="19"/>
                <w:szCs w:val="19"/>
                <w:lang w:eastAsia="en-AU"/>
              </w:rPr>
            </w:pPr>
          </w:p>
        </w:tc>
        <w:tc>
          <w:tcPr>
            <w:tcW w:w="583" w:type="pct"/>
          </w:tcPr>
          <w:p w14:paraId="5F19D686" w14:textId="77777777" w:rsidR="001D06D5" w:rsidRPr="00555A65" w:rsidRDefault="001D06D5" w:rsidP="00C365DC">
            <w:pPr>
              <w:contextualSpacing/>
              <w:rPr>
                <w:sz w:val="19"/>
                <w:szCs w:val="19"/>
                <w:lang w:eastAsia="en-AU"/>
              </w:rPr>
            </w:pPr>
          </w:p>
        </w:tc>
      </w:tr>
      <w:tr w:rsidR="001D06D5" w:rsidRPr="00555A65" w14:paraId="7EBDDAD9" w14:textId="77777777" w:rsidTr="00555A65">
        <w:trPr>
          <w:trHeight w:val="340"/>
        </w:trPr>
        <w:tc>
          <w:tcPr>
            <w:tcW w:w="602" w:type="pct"/>
          </w:tcPr>
          <w:p w14:paraId="41536042" w14:textId="77777777" w:rsidR="001D06D5" w:rsidRPr="00555A65" w:rsidRDefault="001D06D5" w:rsidP="00C365DC">
            <w:pPr>
              <w:contextualSpacing/>
              <w:rPr>
                <w:sz w:val="19"/>
                <w:szCs w:val="19"/>
                <w:lang w:eastAsia="en-AU"/>
              </w:rPr>
            </w:pPr>
            <w:r w:rsidRPr="00555A65">
              <w:rPr>
                <w:sz w:val="19"/>
                <w:szCs w:val="19"/>
                <w:lang w:eastAsia="en-AU"/>
              </w:rPr>
              <w:t>20-Oct</w:t>
            </w:r>
          </w:p>
        </w:tc>
        <w:tc>
          <w:tcPr>
            <w:tcW w:w="632" w:type="pct"/>
          </w:tcPr>
          <w:p w14:paraId="36A08BFC" w14:textId="77777777" w:rsidR="001D06D5" w:rsidRPr="00555A65" w:rsidRDefault="001D06D5" w:rsidP="00C365DC">
            <w:pPr>
              <w:contextualSpacing/>
              <w:rPr>
                <w:sz w:val="19"/>
                <w:szCs w:val="19"/>
                <w:lang w:eastAsia="en-AU"/>
              </w:rPr>
            </w:pPr>
            <w:r w:rsidRPr="00555A65">
              <w:rPr>
                <w:sz w:val="19"/>
                <w:szCs w:val="19"/>
                <w:lang w:eastAsia="en-AU"/>
              </w:rPr>
              <w:t>0.0294*</w:t>
            </w:r>
          </w:p>
        </w:tc>
        <w:tc>
          <w:tcPr>
            <w:tcW w:w="633" w:type="pct"/>
          </w:tcPr>
          <w:p w14:paraId="48270B61" w14:textId="77777777" w:rsidR="001D06D5" w:rsidRPr="00555A65" w:rsidRDefault="001D06D5" w:rsidP="00C365DC">
            <w:pPr>
              <w:contextualSpacing/>
              <w:rPr>
                <w:sz w:val="19"/>
                <w:szCs w:val="19"/>
                <w:lang w:eastAsia="en-AU"/>
              </w:rPr>
            </w:pPr>
          </w:p>
        </w:tc>
        <w:tc>
          <w:tcPr>
            <w:tcW w:w="638" w:type="pct"/>
          </w:tcPr>
          <w:p w14:paraId="1CEC50FF" w14:textId="77777777" w:rsidR="001D06D5" w:rsidRPr="00555A65" w:rsidRDefault="001D06D5" w:rsidP="00C365DC">
            <w:pPr>
              <w:contextualSpacing/>
              <w:rPr>
                <w:sz w:val="19"/>
                <w:szCs w:val="19"/>
                <w:lang w:eastAsia="en-AU"/>
              </w:rPr>
            </w:pPr>
          </w:p>
        </w:tc>
        <w:tc>
          <w:tcPr>
            <w:tcW w:w="638" w:type="pct"/>
          </w:tcPr>
          <w:p w14:paraId="30EC086D" w14:textId="77777777" w:rsidR="001D06D5" w:rsidRPr="00555A65" w:rsidRDefault="001D06D5" w:rsidP="00C365DC">
            <w:pPr>
              <w:contextualSpacing/>
              <w:rPr>
                <w:sz w:val="19"/>
                <w:szCs w:val="19"/>
                <w:lang w:eastAsia="en-AU"/>
              </w:rPr>
            </w:pPr>
          </w:p>
        </w:tc>
        <w:tc>
          <w:tcPr>
            <w:tcW w:w="638" w:type="pct"/>
          </w:tcPr>
          <w:p w14:paraId="6A0C0381" w14:textId="77777777" w:rsidR="001D06D5" w:rsidRPr="00555A65" w:rsidRDefault="001D06D5" w:rsidP="00C365DC">
            <w:pPr>
              <w:contextualSpacing/>
              <w:rPr>
                <w:sz w:val="19"/>
                <w:szCs w:val="19"/>
                <w:lang w:eastAsia="en-AU"/>
              </w:rPr>
            </w:pPr>
          </w:p>
        </w:tc>
        <w:tc>
          <w:tcPr>
            <w:tcW w:w="636" w:type="pct"/>
          </w:tcPr>
          <w:p w14:paraId="69EF57C2" w14:textId="77777777" w:rsidR="001D06D5" w:rsidRPr="00555A65" w:rsidRDefault="001D06D5" w:rsidP="00C365DC">
            <w:pPr>
              <w:contextualSpacing/>
              <w:rPr>
                <w:sz w:val="19"/>
                <w:szCs w:val="19"/>
                <w:lang w:eastAsia="en-AU"/>
              </w:rPr>
            </w:pPr>
          </w:p>
        </w:tc>
        <w:tc>
          <w:tcPr>
            <w:tcW w:w="583" w:type="pct"/>
          </w:tcPr>
          <w:p w14:paraId="1E069CE6" w14:textId="77777777" w:rsidR="001D06D5" w:rsidRPr="00555A65" w:rsidRDefault="001D06D5" w:rsidP="00C365DC">
            <w:pPr>
              <w:contextualSpacing/>
              <w:rPr>
                <w:sz w:val="19"/>
                <w:szCs w:val="19"/>
                <w:lang w:eastAsia="en-AU"/>
              </w:rPr>
            </w:pPr>
          </w:p>
        </w:tc>
      </w:tr>
      <w:tr w:rsidR="001D06D5" w:rsidRPr="00555A65" w14:paraId="03AE7CC1" w14:textId="77777777" w:rsidTr="00555A65">
        <w:trPr>
          <w:trHeight w:val="340"/>
        </w:trPr>
        <w:tc>
          <w:tcPr>
            <w:tcW w:w="602" w:type="pct"/>
          </w:tcPr>
          <w:p w14:paraId="5481B8FB" w14:textId="77777777" w:rsidR="001D06D5" w:rsidRPr="00555A65" w:rsidRDefault="001D06D5" w:rsidP="00C365DC">
            <w:pPr>
              <w:contextualSpacing/>
              <w:rPr>
                <w:sz w:val="19"/>
                <w:szCs w:val="19"/>
                <w:lang w:eastAsia="en-AU"/>
              </w:rPr>
            </w:pPr>
            <w:r w:rsidRPr="00555A65">
              <w:rPr>
                <w:sz w:val="19"/>
                <w:szCs w:val="19"/>
                <w:lang w:eastAsia="en-AU"/>
              </w:rPr>
              <w:t>2-Nov</w:t>
            </w:r>
          </w:p>
        </w:tc>
        <w:tc>
          <w:tcPr>
            <w:tcW w:w="632" w:type="pct"/>
          </w:tcPr>
          <w:p w14:paraId="0FA262A8" w14:textId="77777777" w:rsidR="001D06D5" w:rsidRPr="00555A65" w:rsidRDefault="001D06D5" w:rsidP="00C365DC">
            <w:pPr>
              <w:contextualSpacing/>
              <w:rPr>
                <w:sz w:val="19"/>
                <w:szCs w:val="19"/>
                <w:lang w:eastAsia="en-AU"/>
              </w:rPr>
            </w:pPr>
            <w:r w:rsidRPr="00555A65">
              <w:rPr>
                <w:sz w:val="19"/>
                <w:szCs w:val="19"/>
                <w:lang w:eastAsia="en-AU"/>
              </w:rPr>
              <w:t>0.0287*</w:t>
            </w:r>
          </w:p>
        </w:tc>
        <w:tc>
          <w:tcPr>
            <w:tcW w:w="633" w:type="pct"/>
          </w:tcPr>
          <w:p w14:paraId="63AF88F7" w14:textId="77777777" w:rsidR="001D06D5" w:rsidRPr="00555A65" w:rsidRDefault="001D06D5" w:rsidP="00C365DC">
            <w:pPr>
              <w:contextualSpacing/>
              <w:rPr>
                <w:sz w:val="19"/>
                <w:szCs w:val="19"/>
                <w:lang w:eastAsia="en-AU"/>
              </w:rPr>
            </w:pPr>
            <w:r w:rsidRPr="00555A65">
              <w:rPr>
                <w:sz w:val="19"/>
                <w:szCs w:val="19"/>
                <w:lang w:eastAsia="en-AU"/>
              </w:rPr>
              <w:t>0.0299*</w:t>
            </w:r>
          </w:p>
        </w:tc>
        <w:tc>
          <w:tcPr>
            <w:tcW w:w="638" w:type="pct"/>
          </w:tcPr>
          <w:p w14:paraId="602665F0" w14:textId="77777777" w:rsidR="001D06D5" w:rsidRPr="00555A65" w:rsidRDefault="001D06D5" w:rsidP="00C365DC">
            <w:pPr>
              <w:contextualSpacing/>
              <w:rPr>
                <w:sz w:val="19"/>
                <w:szCs w:val="19"/>
                <w:lang w:eastAsia="en-AU"/>
              </w:rPr>
            </w:pPr>
          </w:p>
        </w:tc>
        <w:tc>
          <w:tcPr>
            <w:tcW w:w="638" w:type="pct"/>
          </w:tcPr>
          <w:p w14:paraId="3C218BD8" w14:textId="77777777" w:rsidR="001D06D5" w:rsidRPr="00555A65" w:rsidRDefault="001D06D5" w:rsidP="00C365DC">
            <w:pPr>
              <w:contextualSpacing/>
              <w:rPr>
                <w:sz w:val="19"/>
                <w:szCs w:val="19"/>
                <w:lang w:eastAsia="en-AU"/>
              </w:rPr>
            </w:pPr>
          </w:p>
        </w:tc>
        <w:tc>
          <w:tcPr>
            <w:tcW w:w="638" w:type="pct"/>
          </w:tcPr>
          <w:p w14:paraId="6DFEA745" w14:textId="77777777" w:rsidR="001D06D5" w:rsidRPr="00555A65" w:rsidRDefault="001D06D5" w:rsidP="00C365DC">
            <w:pPr>
              <w:contextualSpacing/>
              <w:rPr>
                <w:sz w:val="19"/>
                <w:szCs w:val="19"/>
                <w:lang w:eastAsia="en-AU"/>
              </w:rPr>
            </w:pPr>
          </w:p>
        </w:tc>
        <w:tc>
          <w:tcPr>
            <w:tcW w:w="636" w:type="pct"/>
          </w:tcPr>
          <w:p w14:paraId="5D63FF0C" w14:textId="77777777" w:rsidR="001D06D5" w:rsidRPr="00555A65" w:rsidRDefault="001D06D5" w:rsidP="00C365DC">
            <w:pPr>
              <w:contextualSpacing/>
              <w:rPr>
                <w:sz w:val="19"/>
                <w:szCs w:val="19"/>
                <w:lang w:eastAsia="en-AU"/>
              </w:rPr>
            </w:pPr>
          </w:p>
        </w:tc>
        <w:tc>
          <w:tcPr>
            <w:tcW w:w="583" w:type="pct"/>
          </w:tcPr>
          <w:p w14:paraId="603C484C" w14:textId="77777777" w:rsidR="001D06D5" w:rsidRPr="00555A65" w:rsidRDefault="001D06D5" w:rsidP="00C365DC">
            <w:pPr>
              <w:contextualSpacing/>
              <w:rPr>
                <w:sz w:val="19"/>
                <w:szCs w:val="19"/>
                <w:lang w:eastAsia="en-AU"/>
              </w:rPr>
            </w:pPr>
          </w:p>
        </w:tc>
      </w:tr>
      <w:tr w:rsidR="001D06D5" w:rsidRPr="00555A65" w14:paraId="23B88DAF" w14:textId="77777777" w:rsidTr="00555A65">
        <w:trPr>
          <w:trHeight w:val="340"/>
        </w:trPr>
        <w:tc>
          <w:tcPr>
            <w:tcW w:w="602" w:type="pct"/>
          </w:tcPr>
          <w:p w14:paraId="57F4B63A" w14:textId="77777777" w:rsidR="001D06D5" w:rsidRPr="00555A65" w:rsidRDefault="001D06D5" w:rsidP="00C365DC">
            <w:pPr>
              <w:contextualSpacing/>
              <w:rPr>
                <w:sz w:val="19"/>
                <w:szCs w:val="19"/>
                <w:lang w:eastAsia="en-AU"/>
              </w:rPr>
            </w:pPr>
            <w:r w:rsidRPr="00555A65">
              <w:rPr>
                <w:sz w:val="19"/>
                <w:szCs w:val="19"/>
                <w:lang w:eastAsia="en-AU"/>
              </w:rPr>
              <w:t>17-Nov</w:t>
            </w:r>
          </w:p>
        </w:tc>
        <w:tc>
          <w:tcPr>
            <w:tcW w:w="632" w:type="pct"/>
          </w:tcPr>
          <w:p w14:paraId="61FFBF29" w14:textId="77777777" w:rsidR="001D06D5" w:rsidRPr="00555A65" w:rsidRDefault="001D06D5" w:rsidP="00C365DC">
            <w:pPr>
              <w:contextualSpacing/>
              <w:rPr>
                <w:sz w:val="19"/>
                <w:szCs w:val="19"/>
                <w:lang w:eastAsia="en-AU"/>
              </w:rPr>
            </w:pPr>
            <w:r w:rsidRPr="00555A65">
              <w:rPr>
                <w:sz w:val="19"/>
                <w:szCs w:val="19"/>
                <w:lang w:eastAsia="en-AU"/>
              </w:rPr>
              <w:t>0.0279*</w:t>
            </w:r>
          </w:p>
        </w:tc>
        <w:tc>
          <w:tcPr>
            <w:tcW w:w="633" w:type="pct"/>
          </w:tcPr>
          <w:p w14:paraId="2B557DE8" w14:textId="77777777" w:rsidR="001D06D5" w:rsidRPr="00555A65" w:rsidRDefault="001D06D5" w:rsidP="00C365DC">
            <w:pPr>
              <w:contextualSpacing/>
              <w:rPr>
                <w:sz w:val="19"/>
                <w:szCs w:val="19"/>
                <w:lang w:eastAsia="en-AU"/>
              </w:rPr>
            </w:pPr>
            <w:r w:rsidRPr="00555A65">
              <w:rPr>
                <w:sz w:val="19"/>
                <w:szCs w:val="19"/>
                <w:lang w:eastAsia="en-AU"/>
              </w:rPr>
              <w:t>0.0273*</w:t>
            </w:r>
          </w:p>
        </w:tc>
        <w:tc>
          <w:tcPr>
            <w:tcW w:w="638" w:type="pct"/>
          </w:tcPr>
          <w:p w14:paraId="09CC0A59" w14:textId="77777777" w:rsidR="001D06D5" w:rsidRPr="00555A65" w:rsidRDefault="001D06D5" w:rsidP="00C365DC">
            <w:pPr>
              <w:contextualSpacing/>
              <w:rPr>
                <w:sz w:val="19"/>
                <w:szCs w:val="19"/>
                <w:lang w:eastAsia="en-AU"/>
              </w:rPr>
            </w:pPr>
            <w:r w:rsidRPr="00555A65">
              <w:rPr>
                <w:sz w:val="19"/>
                <w:szCs w:val="19"/>
                <w:lang w:eastAsia="en-AU"/>
              </w:rPr>
              <w:t>0.0312*</w:t>
            </w:r>
          </w:p>
        </w:tc>
        <w:tc>
          <w:tcPr>
            <w:tcW w:w="638" w:type="pct"/>
          </w:tcPr>
          <w:p w14:paraId="73B59C5F" w14:textId="77777777" w:rsidR="001D06D5" w:rsidRPr="00555A65" w:rsidRDefault="001D06D5" w:rsidP="00C365DC">
            <w:pPr>
              <w:contextualSpacing/>
              <w:rPr>
                <w:sz w:val="19"/>
                <w:szCs w:val="19"/>
                <w:lang w:eastAsia="en-AU"/>
              </w:rPr>
            </w:pPr>
          </w:p>
        </w:tc>
        <w:tc>
          <w:tcPr>
            <w:tcW w:w="638" w:type="pct"/>
          </w:tcPr>
          <w:p w14:paraId="193CD084" w14:textId="77777777" w:rsidR="001D06D5" w:rsidRPr="00555A65" w:rsidRDefault="001D06D5" w:rsidP="00C365DC">
            <w:pPr>
              <w:contextualSpacing/>
              <w:rPr>
                <w:sz w:val="19"/>
                <w:szCs w:val="19"/>
                <w:lang w:eastAsia="en-AU"/>
              </w:rPr>
            </w:pPr>
          </w:p>
        </w:tc>
        <w:tc>
          <w:tcPr>
            <w:tcW w:w="636" w:type="pct"/>
          </w:tcPr>
          <w:p w14:paraId="4D180FED" w14:textId="77777777" w:rsidR="001D06D5" w:rsidRPr="00555A65" w:rsidRDefault="001D06D5" w:rsidP="00C365DC">
            <w:pPr>
              <w:contextualSpacing/>
              <w:rPr>
                <w:sz w:val="19"/>
                <w:szCs w:val="19"/>
                <w:lang w:eastAsia="en-AU"/>
              </w:rPr>
            </w:pPr>
          </w:p>
        </w:tc>
        <w:tc>
          <w:tcPr>
            <w:tcW w:w="583" w:type="pct"/>
          </w:tcPr>
          <w:p w14:paraId="2F27C4E0" w14:textId="77777777" w:rsidR="001D06D5" w:rsidRPr="00555A65" w:rsidRDefault="001D06D5" w:rsidP="00C365DC">
            <w:pPr>
              <w:contextualSpacing/>
              <w:rPr>
                <w:sz w:val="19"/>
                <w:szCs w:val="19"/>
                <w:lang w:eastAsia="en-AU"/>
              </w:rPr>
            </w:pPr>
          </w:p>
        </w:tc>
      </w:tr>
      <w:tr w:rsidR="001D06D5" w:rsidRPr="00555A65" w14:paraId="71959370" w14:textId="77777777" w:rsidTr="00555A65">
        <w:trPr>
          <w:trHeight w:val="340"/>
        </w:trPr>
        <w:tc>
          <w:tcPr>
            <w:tcW w:w="602" w:type="pct"/>
          </w:tcPr>
          <w:p w14:paraId="7A2030E9" w14:textId="77777777" w:rsidR="001D06D5" w:rsidRPr="00555A65" w:rsidRDefault="001D06D5" w:rsidP="00C365DC">
            <w:pPr>
              <w:contextualSpacing/>
              <w:rPr>
                <w:sz w:val="19"/>
                <w:szCs w:val="19"/>
                <w:lang w:eastAsia="en-AU"/>
              </w:rPr>
            </w:pPr>
            <w:r w:rsidRPr="00555A65">
              <w:rPr>
                <w:sz w:val="19"/>
                <w:szCs w:val="19"/>
                <w:lang w:eastAsia="en-AU"/>
              </w:rPr>
              <w:t>30-Nov</w:t>
            </w:r>
          </w:p>
        </w:tc>
        <w:tc>
          <w:tcPr>
            <w:tcW w:w="632" w:type="pct"/>
          </w:tcPr>
          <w:p w14:paraId="40015FA4" w14:textId="77777777" w:rsidR="001D06D5" w:rsidRPr="00555A65" w:rsidRDefault="001D06D5" w:rsidP="00C365DC">
            <w:pPr>
              <w:contextualSpacing/>
              <w:rPr>
                <w:sz w:val="19"/>
                <w:szCs w:val="19"/>
                <w:lang w:eastAsia="en-AU"/>
              </w:rPr>
            </w:pPr>
            <w:r w:rsidRPr="00555A65">
              <w:rPr>
                <w:sz w:val="19"/>
                <w:szCs w:val="19"/>
                <w:lang w:eastAsia="en-AU"/>
              </w:rPr>
              <w:t>0.0312*</w:t>
            </w:r>
          </w:p>
        </w:tc>
        <w:tc>
          <w:tcPr>
            <w:tcW w:w="633" w:type="pct"/>
          </w:tcPr>
          <w:p w14:paraId="0FBF004E" w14:textId="77777777" w:rsidR="001D06D5" w:rsidRPr="00555A65" w:rsidRDefault="001D06D5" w:rsidP="00C365DC">
            <w:pPr>
              <w:contextualSpacing/>
              <w:rPr>
                <w:sz w:val="19"/>
                <w:szCs w:val="19"/>
                <w:lang w:eastAsia="en-AU"/>
              </w:rPr>
            </w:pPr>
            <w:r w:rsidRPr="00555A65">
              <w:rPr>
                <w:sz w:val="19"/>
                <w:szCs w:val="19"/>
                <w:lang w:eastAsia="en-AU"/>
              </w:rPr>
              <w:t>0.0304*</w:t>
            </w:r>
          </w:p>
        </w:tc>
        <w:tc>
          <w:tcPr>
            <w:tcW w:w="638" w:type="pct"/>
          </w:tcPr>
          <w:p w14:paraId="2D7B6F21" w14:textId="77777777" w:rsidR="001D06D5" w:rsidRPr="00555A65" w:rsidRDefault="001D06D5" w:rsidP="00C365DC">
            <w:pPr>
              <w:contextualSpacing/>
              <w:rPr>
                <w:sz w:val="19"/>
                <w:szCs w:val="19"/>
                <w:lang w:eastAsia="en-AU"/>
              </w:rPr>
            </w:pPr>
            <w:r w:rsidRPr="00555A65">
              <w:rPr>
                <w:sz w:val="19"/>
                <w:szCs w:val="19"/>
                <w:lang w:eastAsia="en-AU"/>
              </w:rPr>
              <w:t>0.0289*</w:t>
            </w:r>
          </w:p>
        </w:tc>
        <w:tc>
          <w:tcPr>
            <w:tcW w:w="638" w:type="pct"/>
          </w:tcPr>
          <w:p w14:paraId="736300B4" w14:textId="77777777" w:rsidR="001D06D5" w:rsidRPr="00555A65" w:rsidRDefault="001D06D5" w:rsidP="00C365DC">
            <w:pPr>
              <w:contextualSpacing/>
              <w:rPr>
                <w:sz w:val="19"/>
                <w:szCs w:val="19"/>
                <w:lang w:eastAsia="en-AU"/>
              </w:rPr>
            </w:pPr>
            <w:r w:rsidRPr="00555A65">
              <w:rPr>
                <w:sz w:val="19"/>
                <w:szCs w:val="19"/>
                <w:lang w:eastAsia="en-AU"/>
              </w:rPr>
              <w:t>0.0282*</w:t>
            </w:r>
          </w:p>
        </w:tc>
        <w:tc>
          <w:tcPr>
            <w:tcW w:w="638" w:type="pct"/>
          </w:tcPr>
          <w:p w14:paraId="381EF0AD" w14:textId="77777777" w:rsidR="001D06D5" w:rsidRPr="00555A65" w:rsidRDefault="001D06D5" w:rsidP="00C365DC">
            <w:pPr>
              <w:contextualSpacing/>
              <w:rPr>
                <w:sz w:val="19"/>
                <w:szCs w:val="19"/>
                <w:lang w:eastAsia="en-AU"/>
              </w:rPr>
            </w:pPr>
          </w:p>
        </w:tc>
        <w:tc>
          <w:tcPr>
            <w:tcW w:w="636" w:type="pct"/>
          </w:tcPr>
          <w:p w14:paraId="1603FD49" w14:textId="77777777" w:rsidR="001D06D5" w:rsidRPr="00555A65" w:rsidRDefault="001D06D5" w:rsidP="00C365DC">
            <w:pPr>
              <w:contextualSpacing/>
              <w:rPr>
                <w:sz w:val="19"/>
                <w:szCs w:val="19"/>
                <w:lang w:eastAsia="en-AU"/>
              </w:rPr>
            </w:pPr>
          </w:p>
        </w:tc>
        <w:tc>
          <w:tcPr>
            <w:tcW w:w="583" w:type="pct"/>
          </w:tcPr>
          <w:p w14:paraId="3218843B" w14:textId="77777777" w:rsidR="001D06D5" w:rsidRPr="00555A65" w:rsidRDefault="001D06D5" w:rsidP="00C365DC">
            <w:pPr>
              <w:contextualSpacing/>
              <w:rPr>
                <w:sz w:val="19"/>
                <w:szCs w:val="19"/>
                <w:lang w:eastAsia="en-AU"/>
              </w:rPr>
            </w:pPr>
          </w:p>
        </w:tc>
      </w:tr>
      <w:tr w:rsidR="001D06D5" w:rsidRPr="00555A65" w14:paraId="4C7B7EB5" w14:textId="77777777" w:rsidTr="00555A65">
        <w:trPr>
          <w:trHeight w:val="340"/>
        </w:trPr>
        <w:tc>
          <w:tcPr>
            <w:tcW w:w="602" w:type="pct"/>
          </w:tcPr>
          <w:p w14:paraId="12461EE2" w14:textId="77777777" w:rsidR="001D06D5" w:rsidRPr="00555A65" w:rsidRDefault="001D06D5" w:rsidP="00C365DC">
            <w:pPr>
              <w:contextualSpacing/>
              <w:rPr>
                <w:sz w:val="19"/>
                <w:szCs w:val="19"/>
                <w:lang w:eastAsia="en-AU"/>
              </w:rPr>
            </w:pPr>
            <w:r w:rsidRPr="00555A65">
              <w:rPr>
                <w:sz w:val="19"/>
                <w:szCs w:val="19"/>
                <w:lang w:eastAsia="en-AU"/>
              </w:rPr>
              <w:t>15-Dec</w:t>
            </w:r>
          </w:p>
        </w:tc>
        <w:tc>
          <w:tcPr>
            <w:tcW w:w="632" w:type="pct"/>
          </w:tcPr>
          <w:p w14:paraId="271B8CDC" w14:textId="77777777" w:rsidR="001D06D5" w:rsidRPr="00555A65" w:rsidRDefault="001D06D5" w:rsidP="00C365DC">
            <w:pPr>
              <w:contextualSpacing/>
              <w:rPr>
                <w:sz w:val="19"/>
                <w:szCs w:val="19"/>
                <w:lang w:eastAsia="en-AU"/>
              </w:rPr>
            </w:pPr>
            <w:r w:rsidRPr="00555A65">
              <w:rPr>
                <w:sz w:val="19"/>
                <w:szCs w:val="19"/>
                <w:lang w:eastAsia="en-AU"/>
              </w:rPr>
              <w:t>0.0303*</w:t>
            </w:r>
          </w:p>
        </w:tc>
        <w:tc>
          <w:tcPr>
            <w:tcW w:w="633" w:type="pct"/>
          </w:tcPr>
          <w:p w14:paraId="66F795B5" w14:textId="77777777" w:rsidR="001D06D5" w:rsidRPr="00555A65" w:rsidRDefault="001D06D5" w:rsidP="00C365DC">
            <w:pPr>
              <w:contextualSpacing/>
              <w:rPr>
                <w:sz w:val="19"/>
                <w:szCs w:val="19"/>
                <w:lang w:eastAsia="en-AU"/>
              </w:rPr>
            </w:pPr>
            <w:r w:rsidRPr="00555A65">
              <w:rPr>
                <w:sz w:val="19"/>
                <w:szCs w:val="19"/>
                <w:lang w:eastAsia="en-AU"/>
              </w:rPr>
              <w:t>0.0315*</w:t>
            </w:r>
          </w:p>
        </w:tc>
        <w:tc>
          <w:tcPr>
            <w:tcW w:w="638" w:type="pct"/>
          </w:tcPr>
          <w:p w14:paraId="43372D07" w14:textId="77777777" w:rsidR="001D06D5" w:rsidRPr="00555A65" w:rsidRDefault="001D06D5" w:rsidP="00C365DC">
            <w:pPr>
              <w:contextualSpacing/>
              <w:rPr>
                <w:sz w:val="19"/>
                <w:szCs w:val="19"/>
                <w:lang w:eastAsia="en-AU"/>
              </w:rPr>
            </w:pPr>
            <w:r w:rsidRPr="00555A65">
              <w:rPr>
                <w:sz w:val="19"/>
                <w:szCs w:val="19"/>
                <w:lang w:eastAsia="en-AU"/>
              </w:rPr>
              <w:t>0.0318*</w:t>
            </w:r>
          </w:p>
        </w:tc>
        <w:tc>
          <w:tcPr>
            <w:tcW w:w="638" w:type="pct"/>
          </w:tcPr>
          <w:p w14:paraId="36C72B14" w14:textId="77777777" w:rsidR="001D06D5" w:rsidRPr="00555A65" w:rsidRDefault="001D06D5" w:rsidP="00C365DC">
            <w:pPr>
              <w:contextualSpacing/>
              <w:rPr>
                <w:sz w:val="19"/>
                <w:szCs w:val="19"/>
                <w:lang w:eastAsia="en-AU"/>
              </w:rPr>
            </w:pPr>
            <w:r w:rsidRPr="00555A65">
              <w:rPr>
                <w:sz w:val="19"/>
                <w:szCs w:val="19"/>
                <w:lang w:eastAsia="en-AU"/>
              </w:rPr>
              <w:t>0.0291*</w:t>
            </w:r>
          </w:p>
        </w:tc>
        <w:tc>
          <w:tcPr>
            <w:tcW w:w="638" w:type="pct"/>
          </w:tcPr>
          <w:p w14:paraId="11CC6753" w14:textId="77777777" w:rsidR="001D06D5" w:rsidRPr="00555A65" w:rsidRDefault="001D06D5" w:rsidP="00C365DC">
            <w:pPr>
              <w:contextualSpacing/>
              <w:rPr>
                <w:sz w:val="19"/>
                <w:szCs w:val="19"/>
                <w:lang w:eastAsia="en-AU"/>
              </w:rPr>
            </w:pPr>
            <w:r w:rsidRPr="00555A65">
              <w:rPr>
                <w:sz w:val="19"/>
                <w:szCs w:val="19"/>
                <w:lang w:eastAsia="en-AU"/>
              </w:rPr>
              <w:t>0.0312*</w:t>
            </w:r>
          </w:p>
        </w:tc>
        <w:tc>
          <w:tcPr>
            <w:tcW w:w="636" w:type="pct"/>
          </w:tcPr>
          <w:p w14:paraId="69A49272" w14:textId="77777777" w:rsidR="001D06D5" w:rsidRPr="00555A65" w:rsidRDefault="001D06D5" w:rsidP="00C365DC">
            <w:pPr>
              <w:contextualSpacing/>
              <w:rPr>
                <w:sz w:val="19"/>
                <w:szCs w:val="19"/>
                <w:lang w:eastAsia="en-AU"/>
              </w:rPr>
            </w:pPr>
          </w:p>
        </w:tc>
        <w:tc>
          <w:tcPr>
            <w:tcW w:w="583" w:type="pct"/>
          </w:tcPr>
          <w:p w14:paraId="69932190" w14:textId="77777777" w:rsidR="001D06D5" w:rsidRPr="00555A65" w:rsidRDefault="001D06D5" w:rsidP="00C365DC">
            <w:pPr>
              <w:contextualSpacing/>
              <w:rPr>
                <w:sz w:val="19"/>
                <w:szCs w:val="19"/>
                <w:lang w:eastAsia="en-AU"/>
              </w:rPr>
            </w:pPr>
          </w:p>
        </w:tc>
      </w:tr>
      <w:tr w:rsidR="001D06D5" w:rsidRPr="00555A65" w14:paraId="040546CE" w14:textId="77777777" w:rsidTr="00555A65">
        <w:trPr>
          <w:trHeight w:val="340"/>
        </w:trPr>
        <w:tc>
          <w:tcPr>
            <w:tcW w:w="602" w:type="pct"/>
          </w:tcPr>
          <w:p w14:paraId="38B8C716" w14:textId="77777777" w:rsidR="001D06D5" w:rsidRPr="00555A65" w:rsidRDefault="001D06D5" w:rsidP="00C365DC">
            <w:pPr>
              <w:contextualSpacing/>
              <w:rPr>
                <w:sz w:val="19"/>
                <w:szCs w:val="19"/>
                <w:lang w:eastAsia="en-AU"/>
              </w:rPr>
            </w:pPr>
            <w:r w:rsidRPr="00555A65">
              <w:rPr>
                <w:sz w:val="19"/>
                <w:szCs w:val="19"/>
                <w:lang w:eastAsia="en-AU"/>
              </w:rPr>
              <w:t>5-Jan</w:t>
            </w:r>
          </w:p>
        </w:tc>
        <w:tc>
          <w:tcPr>
            <w:tcW w:w="632" w:type="pct"/>
          </w:tcPr>
          <w:p w14:paraId="23BA6EF6" w14:textId="77777777" w:rsidR="001D06D5" w:rsidRPr="00555A65" w:rsidRDefault="001D06D5" w:rsidP="00C365DC">
            <w:pPr>
              <w:contextualSpacing/>
              <w:rPr>
                <w:sz w:val="19"/>
                <w:szCs w:val="19"/>
                <w:lang w:eastAsia="en-AU"/>
              </w:rPr>
            </w:pPr>
            <w:r w:rsidRPr="00555A65">
              <w:rPr>
                <w:sz w:val="19"/>
                <w:szCs w:val="19"/>
                <w:lang w:eastAsia="en-AU"/>
              </w:rPr>
              <w:t>0.0316*</w:t>
            </w:r>
          </w:p>
        </w:tc>
        <w:tc>
          <w:tcPr>
            <w:tcW w:w="633" w:type="pct"/>
          </w:tcPr>
          <w:p w14:paraId="423F9049" w14:textId="77777777" w:rsidR="001D06D5" w:rsidRPr="00555A65" w:rsidRDefault="001D06D5" w:rsidP="00C365DC">
            <w:pPr>
              <w:contextualSpacing/>
              <w:rPr>
                <w:sz w:val="19"/>
                <w:szCs w:val="19"/>
                <w:lang w:eastAsia="en-AU"/>
              </w:rPr>
            </w:pPr>
            <w:r w:rsidRPr="00555A65">
              <w:rPr>
                <w:sz w:val="19"/>
                <w:szCs w:val="19"/>
                <w:lang w:eastAsia="en-AU"/>
              </w:rPr>
              <w:t>0.0285*</w:t>
            </w:r>
          </w:p>
        </w:tc>
        <w:tc>
          <w:tcPr>
            <w:tcW w:w="638" w:type="pct"/>
          </w:tcPr>
          <w:p w14:paraId="1B8F0DD9" w14:textId="77777777" w:rsidR="001D06D5" w:rsidRPr="00555A65" w:rsidRDefault="001D06D5" w:rsidP="00C365DC">
            <w:pPr>
              <w:contextualSpacing/>
              <w:rPr>
                <w:sz w:val="19"/>
                <w:szCs w:val="19"/>
                <w:lang w:eastAsia="en-AU"/>
              </w:rPr>
            </w:pPr>
            <w:r w:rsidRPr="00555A65">
              <w:rPr>
                <w:sz w:val="19"/>
                <w:szCs w:val="19"/>
                <w:lang w:eastAsia="en-AU"/>
              </w:rPr>
              <w:t>0.0288*</w:t>
            </w:r>
          </w:p>
        </w:tc>
        <w:tc>
          <w:tcPr>
            <w:tcW w:w="638" w:type="pct"/>
          </w:tcPr>
          <w:p w14:paraId="5A1302B1" w14:textId="77777777" w:rsidR="001D06D5" w:rsidRPr="00555A65" w:rsidRDefault="001D06D5" w:rsidP="00C365DC">
            <w:pPr>
              <w:contextualSpacing/>
              <w:rPr>
                <w:sz w:val="19"/>
                <w:szCs w:val="19"/>
                <w:lang w:eastAsia="en-AU"/>
              </w:rPr>
            </w:pPr>
            <w:r w:rsidRPr="00555A65">
              <w:rPr>
                <w:sz w:val="19"/>
                <w:szCs w:val="19"/>
                <w:lang w:eastAsia="en-AU"/>
              </w:rPr>
              <w:t>0.0268*</w:t>
            </w:r>
          </w:p>
        </w:tc>
        <w:tc>
          <w:tcPr>
            <w:tcW w:w="638" w:type="pct"/>
          </w:tcPr>
          <w:p w14:paraId="265B175F" w14:textId="77777777" w:rsidR="001D06D5" w:rsidRPr="00555A65" w:rsidRDefault="001D06D5" w:rsidP="00C365DC">
            <w:pPr>
              <w:contextualSpacing/>
              <w:rPr>
                <w:sz w:val="19"/>
                <w:szCs w:val="19"/>
                <w:lang w:eastAsia="en-AU"/>
              </w:rPr>
            </w:pPr>
            <w:r w:rsidRPr="00555A65">
              <w:rPr>
                <w:sz w:val="19"/>
                <w:szCs w:val="19"/>
                <w:lang w:eastAsia="en-AU"/>
              </w:rPr>
              <w:t>0.027*</w:t>
            </w:r>
          </w:p>
        </w:tc>
        <w:tc>
          <w:tcPr>
            <w:tcW w:w="636" w:type="pct"/>
          </w:tcPr>
          <w:p w14:paraId="0F9C4D8A" w14:textId="77777777" w:rsidR="001D06D5" w:rsidRPr="00555A65" w:rsidRDefault="001D06D5" w:rsidP="00C365DC">
            <w:pPr>
              <w:contextualSpacing/>
              <w:rPr>
                <w:sz w:val="19"/>
                <w:szCs w:val="19"/>
                <w:lang w:eastAsia="en-AU"/>
              </w:rPr>
            </w:pPr>
            <w:r w:rsidRPr="00555A65">
              <w:rPr>
                <w:sz w:val="19"/>
                <w:szCs w:val="19"/>
                <w:lang w:eastAsia="en-AU"/>
              </w:rPr>
              <w:t>0.0287*</w:t>
            </w:r>
          </w:p>
        </w:tc>
        <w:tc>
          <w:tcPr>
            <w:tcW w:w="583" w:type="pct"/>
          </w:tcPr>
          <w:p w14:paraId="7A57592F" w14:textId="77777777" w:rsidR="001D06D5" w:rsidRPr="00555A65" w:rsidRDefault="001D06D5" w:rsidP="00C365DC">
            <w:pPr>
              <w:contextualSpacing/>
              <w:rPr>
                <w:sz w:val="19"/>
                <w:szCs w:val="19"/>
                <w:lang w:eastAsia="en-AU"/>
              </w:rPr>
            </w:pPr>
          </w:p>
        </w:tc>
      </w:tr>
      <w:tr w:rsidR="001D06D5" w:rsidRPr="00555A65" w14:paraId="75A6D380" w14:textId="77777777" w:rsidTr="00555A65">
        <w:trPr>
          <w:trHeight w:val="340"/>
        </w:trPr>
        <w:tc>
          <w:tcPr>
            <w:tcW w:w="602" w:type="pct"/>
          </w:tcPr>
          <w:p w14:paraId="597A0182" w14:textId="77777777" w:rsidR="001D06D5" w:rsidRPr="00555A65" w:rsidRDefault="001D06D5" w:rsidP="00C365DC">
            <w:pPr>
              <w:contextualSpacing/>
              <w:rPr>
                <w:sz w:val="19"/>
                <w:szCs w:val="19"/>
                <w:lang w:eastAsia="en-AU"/>
              </w:rPr>
            </w:pPr>
            <w:r w:rsidRPr="00555A65">
              <w:rPr>
                <w:sz w:val="19"/>
                <w:szCs w:val="19"/>
                <w:lang w:eastAsia="en-AU"/>
              </w:rPr>
              <w:t>20-Jan</w:t>
            </w:r>
          </w:p>
        </w:tc>
        <w:tc>
          <w:tcPr>
            <w:tcW w:w="632" w:type="pct"/>
          </w:tcPr>
          <w:p w14:paraId="3898CCAA" w14:textId="77777777" w:rsidR="001D06D5" w:rsidRPr="00555A65" w:rsidRDefault="001D06D5" w:rsidP="00C365DC">
            <w:pPr>
              <w:contextualSpacing/>
              <w:rPr>
                <w:sz w:val="19"/>
                <w:szCs w:val="19"/>
                <w:lang w:eastAsia="en-AU"/>
              </w:rPr>
            </w:pPr>
            <w:r w:rsidRPr="00555A65">
              <w:rPr>
                <w:sz w:val="19"/>
                <w:szCs w:val="19"/>
                <w:lang w:eastAsia="en-AU"/>
              </w:rPr>
              <w:t>0.0288*</w:t>
            </w:r>
          </w:p>
        </w:tc>
        <w:tc>
          <w:tcPr>
            <w:tcW w:w="633" w:type="pct"/>
          </w:tcPr>
          <w:p w14:paraId="58F079F0" w14:textId="77777777" w:rsidR="001D06D5" w:rsidRPr="00555A65" w:rsidRDefault="001D06D5" w:rsidP="00C365DC">
            <w:pPr>
              <w:contextualSpacing/>
              <w:rPr>
                <w:sz w:val="19"/>
                <w:szCs w:val="19"/>
                <w:lang w:eastAsia="en-AU"/>
              </w:rPr>
            </w:pPr>
            <w:r w:rsidRPr="00555A65">
              <w:rPr>
                <w:sz w:val="19"/>
                <w:szCs w:val="19"/>
                <w:lang w:eastAsia="en-AU"/>
              </w:rPr>
              <w:t>0.0263*</w:t>
            </w:r>
          </w:p>
        </w:tc>
        <w:tc>
          <w:tcPr>
            <w:tcW w:w="638" w:type="pct"/>
          </w:tcPr>
          <w:p w14:paraId="1C82C069" w14:textId="77777777" w:rsidR="001D06D5" w:rsidRPr="00555A65" w:rsidRDefault="001D06D5" w:rsidP="00C365DC">
            <w:pPr>
              <w:contextualSpacing/>
              <w:rPr>
                <w:sz w:val="19"/>
                <w:szCs w:val="19"/>
                <w:lang w:eastAsia="en-AU"/>
              </w:rPr>
            </w:pPr>
            <w:r w:rsidRPr="00555A65">
              <w:rPr>
                <w:sz w:val="19"/>
                <w:szCs w:val="19"/>
                <w:lang w:eastAsia="en-AU"/>
              </w:rPr>
              <w:t>0.0270*</w:t>
            </w:r>
          </w:p>
        </w:tc>
        <w:tc>
          <w:tcPr>
            <w:tcW w:w="638" w:type="pct"/>
          </w:tcPr>
          <w:p w14:paraId="5F1C35EA" w14:textId="77777777" w:rsidR="001D06D5" w:rsidRPr="00555A65" w:rsidRDefault="001D06D5" w:rsidP="00C365DC">
            <w:pPr>
              <w:contextualSpacing/>
              <w:rPr>
                <w:sz w:val="19"/>
                <w:szCs w:val="19"/>
                <w:lang w:eastAsia="en-AU"/>
              </w:rPr>
            </w:pPr>
            <w:r w:rsidRPr="00555A65">
              <w:rPr>
                <w:sz w:val="19"/>
                <w:szCs w:val="19"/>
                <w:lang w:eastAsia="en-AU"/>
              </w:rPr>
              <w:t>0.0273*</w:t>
            </w:r>
          </w:p>
        </w:tc>
        <w:tc>
          <w:tcPr>
            <w:tcW w:w="638" w:type="pct"/>
          </w:tcPr>
          <w:p w14:paraId="584D2D92" w14:textId="77777777" w:rsidR="001D06D5" w:rsidRPr="00555A65" w:rsidRDefault="001D06D5" w:rsidP="00C365DC">
            <w:pPr>
              <w:contextualSpacing/>
              <w:rPr>
                <w:sz w:val="19"/>
                <w:szCs w:val="19"/>
                <w:lang w:eastAsia="en-AU"/>
              </w:rPr>
            </w:pPr>
            <w:r w:rsidRPr="00555A65">
              <w:rPr>
                <w:sz w:val="19"/>
                <w:szCs w:val="19"/>
                <w:lang w:eastAsia="en-AU"/>
              </w:rPr>
              <w:t>0.0283*</w:t>
            </w:r>
          </w:p>
        </w:tc>
        <w:tc>
          <w:tcPr>
            <w:tcW w:w="636" w:type="pct"/>
          </w:tcPr>
          <w:p w14:paraId="23DA1288" w14:textId="77777777" w:rsidR="001D06D5" w:rsidRPr="00555A65" w:rsidRDefault="001D06D5" w:rsidP="00C365DC">
            <w:pPr>
              <w:contextualSpacing/>
              <w:rPr>
                <w:sz w:val="19"/>
                <w:szCs w:val="19"/>
                <w:lang w:eastAsia="en-AU"/>
              </w:rPr>
            </w:pPr>
            <w:r w:rsidRPr="00555A65">
              <w:rPr>
                <w:sz w:val="19"/>
                <w:szCs w:val="19"/>
                <w:lang w:eastAsia="en-AU"/>
              </w:rPr>
              <w:t>0.0276*</w:t>
            </w:r>
          </w:p>
        </w:tc>
        <w:tc>
          <w:tcPr>
            <w:tcW w:w="583" w:type="pct"/>
          </w:tcPr>
          <w:p w14:paraId="0005B2BE" w14:textId="77777777" w:rsidR="001D06D5" w:rsidRPr="00555A65" w:rsidRDefault="001D06D5" w:rsidP="00C365DC">
            <w:pPr>
              <w:contextualSpacing/>
              <w:rPr>
                <w:sz w:val="19"/>
                <w:szCs w:val="19"/>
                <w:lang w:eastAsia="en-AU"/>
              </w:rPr>
            </w:pPr>
            <w:r w:rsidRPr="00555A65">
              <w:rPr>
                <w:sz w:val="19"/>
                <w:szCs w:val="19"/>
                <w:lang w:eastAsia="en-AU"/>
              </w:rPr>
              <w:t>0.0287*</w:t>
            </w:r>
          </w:p>
        </w:tc>
      </w:tr>
    </w:tbl>
    <w:p w14:paraId="1C0CC359" w14:textId="3CF5C215" w:rsidR="001D06D5" w:rsidRPr="00F01413" w:rsidRDefault="001D06D5" w:rsidP="001D06D5">
      <w:r w:rsidRPr="009E7330">
        <w:t xml:space="preserve"> </w:t>
      </w:r>
      <w:r w:rsidR="00D31BF6" w:rsidRPr="00D31BF6">
        <w:rPr>
          <w:noProof/>
          <w:lang w:eastAsia="en-AU"/>
        </w:rPr>
        <w:drawing>
          <wp:inline distT="0" distB="0" distL="0" distR="0" wp14:anchorId="7FCC8226" wp14:editId="53599967">
            <wp:extent cx="5648325" cy="3277852"/>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2" cstate="email">
                      <a:extLst>
                        <a:ext uri="{28A0092B-C50C-407E-A947-70E740481C1C}">
                          <a14:useLocalDpi xmlns:a14="http://schemas.microsoft.com/office/drawing/2010/main"/>
                        </a:ext>
                      </a:extLst>
                    </a:blip>
                    <a:srcRect t="6935"/>
                    <a:stretch/>
                  </pic:blipFill>
                  <pic:spPr bwMode="auto">
                    <a:xfrm>
                      <a:off x="0" y="0"/>
                      <a:ext cx="5653065" cy="3280603"/>
                    </a:xfrm>
                    <a:prstGeom prst="rect">
                      <a:avLst/>
                    </a:prstGeom>
                    <a:noFill/>
                    <a:ln>
                      <a:noFill/>
                    </a:ln>
                    <a:extLst>
                      <a:ext uri="{53640926-AAD7-44D8-BBD7-CCE9431645EC}">
                        <a14:shadowObscured xmlns:a14="http://schemas.microsoft.com/office/drawing/2010/main"/>
                      </a:ext>
                    </a:extLst>
                  </pic:spPr>
                </pic:pic>
              </a:graphicData>
            </a:graphic>
          </wp:inline>
        </w:drawing>
      </w:r>
      <w:r w:rsidR="00D31BF6" w:rsidRPr="00D31BF6">
        <w:t xml:space="preserve"> </w:t>
      </w:r>
    </w:p>
    <w:p w14:paraId="30AEF9AF" w14:textId="51DDD0DB" w:rsidR="001D06D5" w:rsidRPr="00907D3C" w:rsidRDefault="001D06D5" w:rsidP="00B46038">
      <w:pPr>
        <w:pStyle w:val="Captions"/>
      </w:pPr>
      <w:r w:rsidRPr="00907D3C">
        <w:t>Figur</w:t>
      </w:r>
      <w:r>
        <w:t>e G</w:t>
      </w:r>
      <w:r w:rsidR="00603C34">
        <w:t>6</w:t>
      </w:r>
      <w:r>
        <w:t>.</w:t>
      </w:r>
      <w:r w:rsidRPr="00907D3C">
        <w:t xml:space="preserve">  MDS ordination of </w:t>
      </w:r>
      <w:r w:rsidRPr="004C5AFF">
        <w:t>microinvertebrate</w:t>
      </w:r>
      <w:r w:rsidRPr="00907D3C">
        <w:t xml:space="preserve"> assemblage data (log transformed) from </w:t>
      </w:r>
      <w:r>
        <w:t xml:space="preserve">sites below </w:t>
      </w:r>
      <w:r w:rsidRPr="00907D3C">
        <w:t>Lock 6, with samples identified by sampling event. Samples are grouped at a Bray-Curtis similarity of 40%</w:t>
      </w:r>
      <w:r>
        <w:t xml:space="preserve"> (green circles) and 60% (blue circles)</w:t>
      </w:r>
      <w:r w:rsidRPr="00907D3C">
        <w:t xml:space="preserve"> (SIMPROF).  </w:t>
      </w:r>
    </w:p>
    <w:p w14:paraId="65CF8151" w14:textId="43AD8BEF" w:rsidR="00240A70" w:rsidRDefault="001D06D5" w:rsidP="001D06D5">
      <w:r w:rsidRPr="00F01413">
        <w:t xml:space="preserve">SIMPER analysis was used to determine which </w:t>
      </w:r>
      <w:r>
        <w:t>taxa</w:t>
      </w:r>
      <w:r w:rsidRPr="00F01413">
        <w:t xml:space="preserve"> were driving the apparent differences between sampling events</w:t>
      </w:r>
      <w:r>
        <w:t xml:space="preserve"> (all significant)</w:t>
      </w:r>
      <w:r w:rsidRPr="00F01413">
        <w:t xml:space="preserve">.  Results are </w:t>
      </w:r>
      <w:r>
        <w:t>provided</w:t>
      </w:r>
      <w:r w:rsidRPr="00F01413">
        <w:t xml:space="preserve"> below</w:t>
      </w:r>
      <w:r>
        <w:t xml:space="preserve"> in </w:t>
      </w:r>
      <w:r w:rsidRPr="00AC3A0B">
        <w:t>Table G</w:t>
      </w:r>
      <w:r>
        <w:t>3</w:t>
      </w:r>
      <w:r w:rsidRPr="00AC3A0B">
        <w:t>.</w:t>
      </w:r>
      <w:r>
        <w:t xml:space="preserve"> Dissimilarly between groups was primarily driven by lower abundances of rotifers </w:t>
      </w:r>
      <w:r w:rsidRPr="00AF7AFC">
        <w:rPr>
          <w:i/>
        </w:rPr>
        <w:t>Trichocerca</w:t>
      </w:r>
      <w:r>
        <w:t xml:space="preserve"> sp. c and </w:t>
      </w:r>
      <w:r w:rsidRPr="00AF7AFC">
        <w:rPr>
          <w:i/>
        </w:rPr>
        <w:t xml:space="preserve">Polyarthra </w:t>
      </w:r>
      <w:r>
        <w:t xml:space="preserve">sp. a and sp. b during the October sampling events, higher abundance of the rotifer </w:t>
      </w:r>
      <w:r w:rsidRPr="00606A28">
        <w:rPr>
          <w:i/>
        </w:rPr>
        <w:t>Brachionus</w:t>
      </w:r>
      <w:r w:rsidRPr="003974FB">
        <w:t xml:space="preserve"> [</w:t>
      </w:r>
      <w:r w:rsidRPr="00606A28">
        <w:rPr>
          <w:i/>
        </w:rPr>
        <w:t>angularis</w:t>
      </w:r>
      <w:r w:rsidRPr="003974FB">
        <w:t xml:space="preserve">] </w:t>
      </w:r>
      <w:r w:rsidRPr="00606A28">
        <w:rPr>
          <w:i/>
        </w:rPr>
        <w:t>bidens</w:t>
      </w:r>
      <w:r>
        <w:t xml:space="preserve"> during the mid- and late November sampling events, and higher abundance of the rotifer </w:t>
      </w:r>
      <w:r w:rsidRPr="00606A28">
        <w:rPr>
          <w:i/>
        </w:rPr>
        <w:t>Keratella lenzi</w:t>
      </w:r>
      <w:r>
        <w:t xml:space="preserve"> in the last two January sampling events (Table G3).</w:t>
      </w:r>
    </w:p>
    <w:p w14:paraId="7B67FB37" w14:textId="77777777" w:rsidR="00240A70" w:rsidRDefault="00240A70" w:rsidP="007C0F7B">
      <w:pPr>
        <w:sectPr w:rsidR="00240A70" w:rsidSect="00F020E5">
          <w:pgSz w:w="11900" w:h="16840" w:code="9"/>
          <w:pgMar w:top="1440" w:right="1440" w:bottom="1440" w:left="1440" w:header="709" w:footer="709" w:gutter="0"/>
          <w:cols w:space="708"/>
          <w:docGrid w:linePitch="360"/>
        </w:sectPr>
      </w:pPr>
    </w:p>
    <w:p w14:paraId="7338E9B8" w14:textId="367CC1DC" w:rsidR="00240A70" w:rsidRDefault="001D06D5" w:rsidP="00B46038">
      <w:pPr>
        <w:pStyle w:val="Captions"/>
      </w:pPr>
      <w:r>
        <w:lastRenderedPageBreak/>
        <w:t>Table G3. Microinvertebrate t</w:t>
      </w:r>
      <w:r w:rsidRPr="00240A70">
        <w:t xml:space="preserve">axa responsible </w:t>
      </w:r>
      <w:r>
        <w:t>for the dissimilarity between sampling</w:t>
      </w:r>
      <w:r w:rsidRPr="00240A70">
        <w:t xml:space="preserve"> events for</w:t>
      </w:r>
      <w:r>
        <w:t xml:space="preserve"> sites below</w:t>
      </w:r>
      <w:r w:rsidRPr="00240A70">
        <w:t xml:space="preserve"> Lock 6</w:t>
      </w:r>
      <w:r>
        <w:t xml:space="preserve"> (SIMPER)</w:t>
      </w:r>
      <w:r w:rsidRPr="00240A70">
        <w:t>. Bold taxa were more abundant during the sampling event</w:t>
      </w:r>
      <w:r>
        <w:t xml:space="preserve"> in the respective column</w:t>
      </w:r>
      <w:r w:rsidRPr="00240A70">
        <w:t>, while unbolded taxa were those more abundant during the sampling event</w:t>
      </w:r>
      <w:r>
        <w:t xml:space="preserve"> in the respective row</w:t>
      </w:r>
      <w:r w:rsidRPr="00240A70">
        <w:t>.</w:t>
      </w:r>
      <w:r>
        <w:t xml:space="preserve"> Average dissimilarity (%) between sampling events is provided for each comparison.</w:t>
      </w:r>
      <w:r w:rsidR="00240A70">
        <w:t xml:space="preserve"> </w:t>
      </w:r>
    </w:p>
    <w:tbl>
      <w:tblPr>
        <w:tblStyle w:val="TableGrid"/>
        <w:tblW w:w="4977" w:type="pct"/>
        <w:tblLook w:val="04A0" w:firstRow="1" w:lastRow="0" w:firstColumn="1" w:lastColumn="0" w:noHBand="0" w:noVBand="1"/>
      </w:tblPr>
      <w:tblGrid>
        <w:gridCol w:w="1031"/>
        <w:gridCol w:w="1801"/>
        <w:gridCol w:w="1988"/>
        <w:gridCol w:w="1983"/>
        <w:gridCol w:w="2125"/>
        <w:gridCol w:w="1839"/>
        <w:gridCol w:w="1700"/>
        <w:gridCol w:w="1419"/>
      </w:tblGrid>
      <w:tr w:rsidR="00202B00" w:rsidRPr="00591DF4" w14:paraId="4980594D" w14:textId="77777777" w:rsidTr="00202B00">
        <w:trPr>
          <w:cantSplit/>
          <w:trHeight w:val="340"/>
          <w:tblHeader/>
        </w:trPr>
        <w:tc>
          <w:tcPr>
            <w:tcW w:w="371" w:type="pct"/>
          </w:tcPr>
          <w:p w14:paraId="6407B570" w14:textId="77777777" w:rsidR="001D06D5" w:rsidRPr="00591DF4" w:rsidRDefault="001D06D5" w:rsidP="00C365DC">
            <w:pPr>
              <w:spacing w:before="0" w:after="0" w:line="240" w:lineRule="auto"/>
              <w:contextualSpacing/>
              <w:rPr>
                <w:b/>
                <w:sz w:val="18"/>
                <w:szCs w:val="18"/>
                <w:highlight w:val="yellow"/>
              </w:rPr>
            </w:pPr>
            <w:r w:rsidRPr="00591DF4">
              <w:rPr>
                <w:b/>
                <w:sz w:val="18"/>
                <w:szCs w:val="18"/>
              </w:rPr>
              <w:t>Sampling Event</w:t>
            </w:r>
          </w:p>
        </w:tc>
        <w:tc>
          <w:tcPr>
            <w:tcW w:w="648" w:type="pct"/>
          </w:tcPr>
          <w:p w14:paraId="16C887CB" w14:textId="77777777" w:rsidR="001D06D5" w:rsidRPr="00591DF4" w:rsidRDefault="001D06D5" w:rsidP="00C365DC">
            <w:pPr>
              <w:spacing w:line="240" w:lineRule="auto"/>
              <w:contextualSpacing/>
              <w:rPr>
                <w:sz w:val="18"/>
                <w:szCs w:val="18"/>
                <w:highlight w:val="yellow"/>
              </w:rPr>
            </w:pPr>
            <w:r w:rsidRPr="00591DF4">
              <w:rPr>
                <w:sz w:val="18"/>
                <w:szCs w:val="18"/>
              </w:rPr>
              <w:t>6-Oct</w:t>
            </w:r>
          </w:p>
        </w:tc>
        <w:tc>
          <w:tcPr>
            <w:tcW w:w="716" w:type="pct"/>
          </w:tcPr>
          <w:p w14:paraId="260E451F" w14:textId="77777777" w:rsidR="001D06D5" w:rsidRPr="00591DF4" w:rsidRDefault="001D06D5" w:rsidP="00C365DC">
            <w:pPr>
              <w:spacing w:line="240" w:lineRule="auto"/>
              <w:contextualSpacing/>
              <w:rPr>
                <w:sz w:val="18"/>
                <w:szCs w:val="18"/>
                <w:highlight w:val="yellow"/>
              </w:rPr>
            </w:pPr>
            <w:r w:rsidRPr="00591DF4">
              <w:rPr>
                <w:sz w:val="18"/>
                <w:szCs w:val="18"/>
              </w:rPr>
              <w:t>20-Oct</w:t>
            </w:r>
          </w:p>
        </w:tc>
        <w:tc>
          <w:tcPr>
            <w:tcW w:w="714" w:type="pct"/>
          </w:tcPr>
          <w:p w14:paraId="0C7E8FF4" w14:textId="77777777" w:rsidR="001D06D5" w:rsidRPr="00591DF4" w:rsidRDefault="001D06D5" w:rsidP="00C365DC">
            <w:pPr>
              <w:spacing w:line="240" w:lineRule="auto"/>
              <w:contextualSpacing/>
              <w:rPr>
                <w:sz w:val="18"/>
                <w:szCs w:val="18"/>
                <w:highlight w:val="yellow"/>
              </w:rPr>
            </w:pPr>
            <w:r w:rsidRPr="00591DF4">
              <w:rPr>
                <w:sz w:val="18"/>
                <w:szCs w:val="18"/>
              </w:rPr>
              <w:t>2-Nov</w:t>
            </w:r>
          </w:p>
        </w:tc>
        <w:tc>
          <w:tcPr>
            <w:tcW w:w="765" w:type="pct"/>
          </w:tcPr>
          <w:p w14:paraId="6E654760" w14:textId="77777777" w:rsidR="001D06D5" w:rsidRPr="00591DF4" w:rsidRDefault="001D06D5" w:rsidP="00C365DC">
            <w:pPr>
              <w:spacing w:line="240" w:lineRule="auto"/>
              <w:contextualSpacing/>
              <w:rPr>
                <w:sz w:val="18"/>
                <w:szCs w:val="18"/>
                <w:highlight w:val="yellow"/>
              </w:rPr>
            </w:pPr>
            <w:r w:rsidRPr="00591DF4">
              <w:rPr>
                <w:sz w:val="18"/>
                <w:szCs w:val="18"/>
              </w:rPr>
              <w:t>17-Nov</w:t>
            </w:r>
          </w:p>
        </w:tc>
        <w:tc>
          <w:tcPr>
            <w:tcW w:w="662" w:type="pct"/>
          </w:tcPr>
          <w:p w14:paraId="3E700F82" w14:textId="77777777" w:rsidR="001D06D5" w:rsidRPr="00591DF4" w:rsidRDefault="001D06D5" w:rsidP="00C365DC">
            <w:pPr>
              <w:spacing w:line="240" w:lineRule="auto"/>
              <w:contextualSpacing/>
              <w:rPr>
                <w:sz w:val="18"/>
                <w:szCs w:val="18"/>
                <w:highlight w:val="yellow"/>
              </w:rPr>
            </w:pPr>
            <w:r w:rsidRPr="00591DF4">
              <w:rPr>
                <w:sz w:val="18"/>
                <w:szCs w:val="18"/>
              </w:rPr>
              <w:t>30-Nov</w:t>
            </w:r>
          </w:p>
        </w:tc>
        <w:tc>
          <w:tcPr>
            <w:tcW w:w="612" w:type="pct"/>
          </w:tcPr>
          <w:p w14:paraId="6C0FBBC6" w14:textId="77777777" w:rsidR="001D06D5" w:rsidRPr="00591DF4" w:rsidRDefault="001D06D5" w:rsidP="00C365DC">
            <w:pPr>
              <w:spacing w:line="240" w:lineRule="auto"/>
              <w:contextualSpacing/>
              <w:rPr>
                <w:sz w:val="18"/>
                <w:szCs w:val="18"/>
                <w:highlight w:val="yellow"/>
              </w:rPr>
            </w:pPr>
            <w:r w:rsidRPr="00591DF4">
              <w:rPr>
                <w:sz w:val="18"/>
                <w:szCs w:val="18"/>
              </w:rPr>
              <w:t>15-Dec</w:t>
            </w:r>
          </w:p>
        </w:tc>
        <w:tc>
          <w:tcPr>
            <w:tcW w:w="511" w:type="pct"/>
          </w:tcPr>
          <w:p w14:paraId="32A39B0F" w14:textId="77777777" w:rsidR="001D06D5" w:rsidRPr="00591DF4" w:rsidRDefault="001D06D5" w:rsidP="00C365DC">
            <w:pPr>
              <w:spacing w:line="240" w:lineRule="auto"/>
              <w:contextualSpacing/>
              <w:rPr>
                <w:sz w:val="18"/>
                <w:szCs w:val="18"/>
                <w:highlight w:val="yellow"/>
              </w:rPr>
            </w:pPr>
            <w:r w:rsidRPr="00591DF4">
              <w:rPr>
                <w:sz w:val="18"/>
                <w:szCs w:val="18"/>
              </w:rPr>
              <w:t>5-Jan</w:t>
            </w:r>
          </w:p>
        </w:tc>
      </w:tr>
      <w:tr w:rsidR="00202B00" w:rsidRPr="00591DF4" w14:paraId="7F544918" w14:textId="77777777" w:rsidTr="00202B00">
        <w:trPr>
          <w:cantSplit/>
          <w:trHeight w:val="794"/>
        </w:trPr>
        <w:tc>
          <w:tcPr>
            <w:tcW w:w="371" w:type="pct"/>
          </w:tcPr>
          <w:p w14:paraId="5BEECA6B" w14:textId="77777777" w:rsidR="001D06D5" w:rsidRPr="00591DF4" w:rsidRDefault="001D06D5" w:rsidP="00C365DC">
            <w:pPr>
              <w:spacing w:line="240" w:lineRule="auto"/>
              <w:contextualSpacing/>
              <w:rPr>
                <w:sz w:val="18"/>
                <w:szCs w:val="18"/>
                <w:highlight w:val="yellow"/>
              </w:rPr>
            </w:pPr>
            <w:r w:rsidRPr="00591DF4">
              <w:rPr>
                <w:sz w:val="18"/>
                <w:szCs w:val="18"/>
              </w:rPr>
              <w:t>6-Oct</w:t>
            </w:r>
          </w:p>
        </w:tc>
        <w:tc>
          <w:tcPr>
            <w:tcW w:w="648" w:type="pct"/>
            <w:shd w:val="clear" w:color="auto" w:fill="000000" w:themeFill="text1"/>
          </w:tcPr>
          <w:p w14:paraId="72D856D7" w14:textId="77777777" w:rsidR="001D06D5" w:rsidRPr="00591DF4" w:rsidRDefault="001D06D5" w:rsidP="00C365DC">
            <w:pPr>
              <w:spacing w:line="240" w:lineRule="auto"/>
              <w:contextualSpacing/>
              <w:rPr>
                <w:sz w:val="18"/>
                <w:szCs w:val="18"/>
                <w:highlight w:val="yellow"/>
              </w:rPr>
            </w:pPr>
          </w:p>
        </w:tc>
        <w:tc>
          <w:tcPr>
            <w:tcW w:w="716" w:type="pct"/>
          </w:tcPr>
          <w:p w14:paraId="70886C7D" w14:textId="77777777" w:rsidR="001D06D5" w:rsidRPr="00591DF4" w:rsidRDefault="001D06D5" w:rsidP="00C365DC">
            <w:pPr>
              <w:spacing w:line="240" w:lineRule="auto"/>
              <w:contextualSpacing/>
              <w:rPr>
                <w:sz w:val="18"/>
                <w:szCs w:val="18"/>
                <w:highlight w:val="yellow"/>
              </w:rPr>
            </w:pPr>
          </w:p>
        </w:tc>
        <w:tc>
          <w:tcPr>
            <w:tcW w:w="714" w:type="pct"/>
          </w:tcPr>
          <w:p w14:paraId="3CB6F750" w14:textId="77777777" w:rsidR="001D06D5" w:rsidRPr="00591DF4" w:rsidRDefault="001D06D5" w:rsidP="00C365DC">
            <w:pPr>
              <w:spacing w:line="240" w:lineRule="auto"/>
              <w:contextualSpacing/>
              <w:rPr>
                <w:sz w:val="18"/>
                <w:szCs w:val="18"/>
                <w:highlight w:val="yellow"/>
              </w:rPr>
            </w:pPr>
          </w:p>
        </w:tc>
        <w:tc>
          <w:tcPr>
            <w:tcW w:w="765" w:type="pct"/>
          </w:tcPr>
          <w:p w14:paraId="523A944C" w14:textId="77777777" w:rsidR="001D06D5" w:rsidRPr="00591DF4" w:rsidRDefault="001D06D5" w:rsidP="00C365DC">
            <w:pPr>
              <w:spacing w:line="240" w:lineRule="auto"/>
              <w:contextualSpacing/>
              <w:rPr>
                <w:sz w:val="18"/>
                <w:szCs w:val="18"/>
                <w:highlight w:val="yellow"/>
              </w:rPr>
            </w:pPr>
          </w:p>
        </w:tc>
        <w:tc>
          <w:tcPr>
            <w:tcW w:w="662" w:type="pct"/>
          </w:tcPr>
          <w:p w14:paraId="2C581874" w14:textId="77777777" w:rsidR="001D06D5" w:rsidRPr="00591DF4" w:rsidRDefault="001D06D5" w:rsidP="00C365DC">
            <w:pPr>
              <w:spacing w:line="240" w:lineRule="auto"/>
              <w:contextualSpacing/>
              <w:rPr>
                <w:sz w:val="18"/>
                <w:szCs w:val="18"/>
                <w:highlight w:val="yellow"/>
              </w:rPr>
            </w:pPr>
          </w:p>
        </w:tc>
        <w:tc>
          <w:tcPr>
            <w:tcW w:w="612" w:type="pct"/>
          </w:tcPr>
          <w:p w14:paraId="4AAEE2BF" w14:textId="77777777" w:rsidR="001D06D5" w:rsidRPr="00591DF4" w:rsidRDefault="001D06D5" w:rsidP="00C365DC">
            <w:pPr>
              <w:spacing w:line="240" w:lineRule="auto"/>
              <w:contextualSpacing/>
              <w:rPr>
                <w:sz w:val="18"/>
                <w:szCs w:val="18"/>
                <w:highlight w:val="yellow"/>
              </w:rPr>
            </w:pPr>
          </w:p>
        </w:tc>
        <w:tc>
          <w:tcPr>
            <w:tcW w:w="511" w:type="pct"/>
          </w:tcPr>
          <w:p w14:paraId="323D939A" w14:textId="77777777" w:rsidR="001D06D5" w:rsidRPr="00591DF4" w:rsidRDefault="001D06D5" w:rsidP="00C365DC">
            <w:pPr>
              <w:spacing w:line="240" w:lineRule="auto"/>
              <w:contextualSpacing/>
              <w:rPr>
                <w:sz w:val="18"/>
                <w:szCs w:val="18"/>
                <w:highlight w:val="yellow"/>
              </w:rPr>
            </w:pPr>
          </w:p>
        </w:tc>
      </w:tr>
      <w:tr w:rsidR="00202B00" w:rsidRPr="00591DF4" w14:paraId="6F1DF1C3" w14:textId="77777777" w:rsidTr="00202B00">
        <w:trPr>
          <w:cantSplit/>
          <w:trHeight w:val="794"/>
        </w:trPr>
        <w:tc>
          <w:tcPr>
            <w:tcW w:w="371" w:type="pct"/>
          </w:tcPr>
          <w:p w14:paraId="5F8508DD" w14:textId="77777777" w:rsidR="001D06D5" w:rsidRPr="00591DF4" w:rsidRDefault="001D06D5" w:rsidP="00C365DC">
            <w:pPr>
              <w:spacing w:line="240" w:lineRule="auto"/>
              <w:contextualSpacing/>
              <w:rPr>
                <w:sz w:val="18"/>
                <w:szCs w:val="18"/>
                <w:highlight w:val="yellow"/>
              </w:rPr>
            </w:pPr>
            <w:r w:rsidRPr="00591DF4">
              <w:rPr>
                <w:sz w:val="18"/>
                <w:szCs w:val="18"/>
              </w:rPr>
              <w:t>20-Oct</w:t>
            </w:r>
          </w:p>
        </w:tc>
        <w:tc>
          <w:tcPr>
            <w:tcW w:w="648" w:type="pct"/>
          </w:tcPr>
          <w:p w14:paraId="0DB1FCE6" w14:textId="77777777" w:rsidR="001D06D5" w:rsidRPr="00591DF4" w:rsidRDefault="001D06D5" w:rsidP="00C365DC">
            <w:pPr>
              <w:spacing w:line="240" w:lineRule="auto"/>
              <w:contextualSpacing/>
              <w:jc w:val="center"/>
              <w:rPr>
                <w:sz w:val="18"/>
                <w:szCs w:val="18"/>
              </w:rPr>
            </w:pPr>
            <w:r w:rsidRPr="00591DF4">
              <w:rPr>
                <w:sz w:val="18"/>
                <w:szCs w:val="18"/>
              </w:rPr>
              <w:t>52.65%</w:t>
            </w:r>
          </w:p>
          <w:p w14:paraId="003FCBA4" w14:textId="71835730" w:rsidR="001D06D5" w:rsidRPr="00591DF4" w:rsidRDefault="001D06D5" w:rsidP="00C365DC">
            <w:pPr>
              <w:spacing w:line="240" w:lineRule="auto"/>
              <w:contextualSpacing/>
              <w:rPr>
                <w:sz w:val="18"/>
                <w:szCs w:val="18"/>
              </w:rPr>
            </w:pPr>
            <w:r w:rsidRPr="00591DF4">
              <w:rPr>
                <w:b/>
                <w:sz w:val="18"/>
                <w:szCs w:val="18"/>
              </w:rPr>
              <w:t xml:space="preserve">Indet. glob. ciliate [sm], </w:t>
            </w:r>
            <w:r w:rsidR="000279E6" w:rsidRPr="00591DF4">
              <w:rPr>
                <w:b/>
                <w:i/>
                <w:sz w:val="18"/>
                <w:szCs w:val="18"/>
              </w:rPr>
              <w:t>Fil</w:t>
            </w:r>
            <w:r w:rsidRPr="00591DF4">
              <w:rPr>
                <w:b/>
                <w:i/>
                <w:sz w:val="18"/>
                <w:szCs w:val="18"/>
              </w:rPr>
              <w:t>inia pejleri</w:t>
            </w:r>
            <w:r w:rsidRPr="00591DF4">
              <w:rPr>
                <w:b/>
                <w:sz w:val="18"/>
                <w:szCs w:val="18"/>
              </w:rPr>
              <w:t xml:space="preserve">, </w:t>
            </w:r>
            <w:r w:rsidRPr="00591DF4">
              <w:rPr>
                <w:b/>
                <w:i/>
                <w:sz w:val="18"/>
                <w:szCs w:val="18"/>
              </w:rPr>
              <w:t>Synchaeta</w:t>
            </w:r>
            <w:r w:rsidRPr="00591DF4">
              <w:rPr>
                <w:b/>
                <w:sz w:val="18"/>
                <w:szCs w:val="18"/>
              </w:rPr>
              <w:t xml:space="preserve"> sp. c [tiny], </w:t>
            </w:r>
            <w:r w:rsidRPr="00591DF4">
              <w:rPr>
                <w:b/>
                <w:i/>
                <w:sz w:val="18"/>
                <w:szCs w:val="18"/>
              </w:rPr>
              <w:t>Polyarthra</w:t>
            </w:r>
            <w:r w:rsidRPr="00591DF4">
              <w:rPr>
                <w:b/>
                <w:sz w:val="18"/>
                <w:szCs w:val="18"/>
              </w:rPr>
              <w:t xml:space="preserve"> sp. a [sm], </w:t>
            </w:r>
            <w:r w:rsidRPr="00591DF4">
              <w:rPr>
                <w:b/>
                <w:i/>
                <w:sz w:val="18"/>
                <w:szCs w:val="18"/>
              </w:rPr>
              <w:t xml:space="preserve">Trichocerca similis </w:t>
            </w:r>
            <w:r w:rsidRPr="00591DF4">
              <w:rPr>
                <w:sz w:val="18"/>
                <w:szCs w:val="18"/>
              </w:rPr>
              <w:t xml:space="preserve">and </w:t>
            </w:r>
            <w:r w:rsidRPr="00591DF4">
              <w:rPr>
                <w:i/>
                <w:sz w:val="18"/>
                <w:szCs w:val="18"/>
              </w:rPr>
              <w:t>Conochilus</w:t>
            </w:r>
            <w:r w:rsidRPr="00591DF4">
              <w:rPr>
                <w:sz w:val="18"/>
                <w:szCs w:val="18"/>
              </w:rPr>
              <w:t xml:space="preserve"> sp. a [sm].</w:t>
            </w:r>
          </w:p>
        </w:tc>
        <w:tc>
          <w:tcPr>
            <w:tcW w:w="716" w:type="pct"/>
            <w:shd w:val="clear" w:color="auto" w:fill="000000" w:themeFill="text1"/>
          </w:tcPr>
          <w:p w14:paraId="2A73FC04" w14:textId="77777777" w:rsidR="001D06D5" w:rsidRPr="00591DF4" w:rsidRDefault="001D06D5" w:rsidP="00C365DC">
            <w:pPr>
              <w:spacing w:line="240" w:lineRule="auto"/>
              <w:contextualSpacing/>
              <w:rPr>
                <w:sz w:val="18"/>
                <w:szCs w:val="18"/>
                <w:highlight w:val="yellow"/>
              </w:rPr>
            </w:pPr>
          </w:p>
        </w:tc>
        <w:tc>
          <w:tcPr>
            <w:tcW w:w="714" w:type="pct"/>
          </w:tcPr>
          <w:p w14:paraId="3E97EA17" w14:textId="77777777" w:rsidR="001D06D5" w:rsidRPr="00591DF4" w:rsidRDefault="001D06D5" w:rsidP="00C365DC">
            <w:pPr>
              <w:spacing w:line="240" w:lineRule="auto"/>
              <w:contextualSpacing/>
              <w:rPr>
                <w:sz w:val="18"/>
                <w:szCs w:val="18"/>
                <w:highlight w:val="yellow"/>
              </w:rPr>
            </w:pPr>
          </w:p>
        </w:tc>
        <w:tc>
          <w:tcPr>
            <w:tcW w:w="765" w:type="pct"/>
          </w:tcPr>
          <w:p w14:paraId="64FC44E7" w14:textId="77777777" w:rsidR="001D06D5" w:rsidRPr="00591DF4" w:rsidRDefault="001D06D5" w:rsidP="00C365DC">
            <w:pPr>
              <w:spacing w:line="240" w:lineRule="auto"/>
              <w:contextualSpacing/>
              <w:rPr>
                <w:sz w:val="18"/>
                <w:szCs w:val="18"/>
                <w:highlight w:val="yellow"/>
              </w:rPr>
            </w:pPr>
          </w:p>
        </w:tc>
        <w:tc>
          <w:tcPr>
            <w:tcW w:w="662" w:type="pct"/>
          </w:tcPr>
          <w:p w14:paraId="3CEC35DF" w14:textId="77777777" w:rsidR="001D06D5" w:rsidRPr="00591DF4" w:rsidRDefault="001D06D5" w:rsidP="00C365DC">
            <w:pPr>
              <w:spacing w:line="240" w:lineRule="auto"/>
              <w:contextualSpacing/>
              <w:rPr>
                <w:sz w:val="18"/>
                <w:szCs w:val="18"/>
                <w:highlight w:val="yellow"/>
              </w:rPr>
            </w:pPr>
          </w:p>
        </w:tc>
        <w:tc>
          <w:tcPr>
            <w:tcW w:w="612" w:type="pct"/>
          </w:tcPr>
          <w:p w14:paraId="4CDB91B0" w14:textId="77777777" w:rsidR="001D06D5" w:rsidRPr="00591DF4" w:rsidRDefault="001D06D5" w:rsidP="00C365DC">
            <w:pPr>
              <w:spacing w:line="240" w:lineRule="auto"/>
              <w:contextualSpacing/>
              <w:rPr>
                <w:sz w:val="18"/>
                <w:szCs w:val="18"/>
                <w:highlight w:val="yellow"/>
              </w:rPr>
            </w:pPr>
          </w:p>
        </w:tc>
        <w:tc>
          <w:tcPr>
            <w:tcW w:w="511" w:type="pct"/>
          </w:tcPr>
          <w:p w14:paraId="1E70F970" w14:textId="77777777" w:rsidR="001D06D5" w:rsidRPr="00591DF4" w:rsidRDefault="001D06D5" w:rsidP="00C365DC">
            <w:pPr>
              <w:spacing w:line="240" w:lineRule="auto"/>
              <w:contextualSpacing/>
              <w:rPr>
                <w:sz w:val="18"/>
                <w:szCs w:val="18"/>
                <w:highlight w:val="yellow"/>
              </w:rPr>
            </w:pPr>
          </w:p>
        </w:tc>
      </w:tr>
      <w:tr w:rsidR="00202B00" w:rsidRPr="00591DF4" w14:paraId="77642090" w14:textId="77777777" w:rsidTr="00202B00">
        <w:trPr>
          <w:cantSplit/>
          <w:trHeight w:val="794"/>
        </w:trPr>
        <w:tc>
          <w:tcPr>
            <w:tcW w:w="371" w:type="pct"/>
          </w:tcPr>
          <w:p w14:paraId="6AD0A8E5" w14:textId="77777777" w:rsidR="001D06D5" w:rsidRPr="00591DF4" w:rsidRDefault="001D06D5" w:rsidP="00C365DC">
            <w:pPr>
              <w:spacing w:line="240" w:lineRule="auto"/>
              <w:contextualSpacing/>
              <w:rPr>
                <w:sz w:val="18"/>
                <w:szCs w:val="18"/>
                <w:highlight w:val="yellow"/>
              </w:rPr>
            </w:pPr>
            <w:r w:rsidRPr="00591DF4">
              <w:rPr>
                <w:sz w:val="18"/>
                <w:szCs w:val="18"/>
              </w:rPr>
              <w:t>2-Nov</w:t>
            </w:r>
          </w:p>
        </w:tc>
        <w:tc>
          <w:tcPr>
            <w:tcW w:w="648" w:type="pct"/>
          </w:tcPr>
          <w:p w14:paraId="61EC3820" w14:textId="77777777" w:rsidR="001D06D5" w:rsidRPr="00591DF4" w:rsidRDefault="001D06D5" w:rsidP="00C365DC">
            <w:pPr>
              <w:spacing w:line="240" w:lineRule="auto"/>
              <w:contextualSpacing/>
              <w:jc w:val="center"/>
              <w:rPr>
                <w:sz w:val="18"/>
                <w:szCs w:val="18"/>
              </w:rPr>
            </w:pPr>
            <w:r w:rsidRPr="00591DF4">
              <w:rPr>
                <w:sz w:val="18"/>
                <w:szCs w:val="18"/>
              </w:rPr>
              <w:t>53.40%</w:t>
            </w:r>
          </w:p>
          <w:p w14:paraId="3E3202DC" w14:textId="77777777" w:rsidR="001D06D5" w:rsidRPr="00591DF4" w:rsidRDefault="001D06D5" w:rsidP="00C365DC">
            <w:pPr>
              <w:spacing w:line="240" w:lineRule="auto"/>
              <w:contextualSpacing/>
              <w:rPr>
                <w:sz w:val="18"/>
                <w:szCs w:val="18"/>
              </w:rPr>
            </w:pPr>
            <w:r w:rsidRPr="00591DF4">
              <w:rPr>
                <w:b/>
                <w:i/>
                <w:sz w:val="18"/>
                <w:szCs w:val="18"/>
              </w:rPr>
              <w:t>Filinia pejleri</w:t>
            </w:r>
            <w:r w:rsidRPr="00591DF4">
              <w:rPr>
                <w:b/>
                <w:sz w:val="18"/>
                <w:szCs w:val="18"/>
              </w:rPr>
              <w:t xml:space="preserve">, </w:t>
            </w:r>
            <w:r w:rsidRPr="00591DF4">
              <w:rPr>
                <w:i/>
                <w:sz w:val="18"/>
                <w:szCs w:val="18"/>
              </w:rPr>
              <w:t>Trichocerca</w:t>
            </w:r>
            <w:r w:rsidRPr="00591DF4">
              <w:rPr>
                <w:sz w:val="18"/>
                <w:szCs w:val="18"/>
              </w:rPr>
              <w:t xml:space="preserve"> sp. c [long toe, med],</w:t>
            </w:r>
            <w:r w:rsidRPr="00591DF4">
              <w:rPr>
                <w:b/>
                <w:sz w:val="18"/>
                <w:szCs w:val="18"/>
              </w:rPr>
              <w:t xml:space="preserve"> </w:t>
            </w:r>
            <w:r w:rsidRPr="00591DF4">
              <w:rPr>
                <w:i/>
                <w:sz w:val="18"/>
                <w:szCs w:val="18"/>
              </w:rPr>
              <w:t>Brachionus calyciflorus amphiceros</w:t>
            </w:r>
            <w:r w:rsidRPr="00591DF4">
              <w:rPr>
                <w:sz w:val="18"/>
                <w:szCs w:val="18"/>
              </w:rPr>
              <w:t xml:space="preserve">, </w:t>
            </w:r>
            <w:r w:rsidRPr="00591DF4">
              <w:rPr>
                <w:i/>
                <w:sz w:val="18"/>
                <w:szCs w:val="18"/>
              </w:rPr>
              <w:t>Cephalodella catellina</w:t>
            </w:r>
            <w:r w:rsidRPr="00591DF4">
              <w:rPr>
                <w:sz w:val="18"/>
                <w:szCs w:val="18"/>
              </w:rPr>
              <w:t xml:space="preserve">, </w:t>
            </w:r>
            <w:r w:rsidRPr="00591DF4">
              <w:rPr>
                <w:i/>
                <w:sz w:val="18"/>
                <w:szCs w:val="18"/>
              </w:rPr>
              <w:t>Conochilus</w:t>
            </w:r>
            <w:r w:rsidRPr="00591DF4">
              <w:rPr>
                <w:sz w:val="18"/>
                <w:szCs w:val="18"/>
              </w:rPr>
              <w:t xml:space="preserve"> sp. b</w:t>
            </w:r>
            <w:r w:rsidRPr="00591DF4">
              <w:rPr>
                <w:b/>
                <w:sz w:val="18"/>
                <w:szCs w:val="18"/>
              </w:rPr>
              <w:t xml:space="preserve"> </w:t>
            </w:r>
            <w:r w:rsidRPr="00591DF4">
              <w:rPr>
                <w:sz w:val="18"/>
                <w:szCs w:val="18"/>
              </w:rPr>
              <w:t>[lg],</w:t>
            </w:r>
            <w:r w:rsidRPr="00591DF4">
              <w:rPr>
                <w:b/>
                <w:sz w:val="18"/>
                <w:szCs w:val="18"/>
              </w:rPr>
              <w:t xml:space="preserve"> indet. glob. ciliate [sm] </w:t>
            </w:r>
            <w:r w:rsidRPr="00591DF4">
              <w:rPr>
                <w:sz w:val="18"/>
                <w:szCs w:val="18"/>
              </w:rPr>
              <w:t>and</w:t>
            </w:r>
            <w:r w:rsidRPr="00591DF4">
              <w:rPr>
                <w:b/>
                <w:sz w:val="18"/>
                <w:szCs w:val="18"/>
              </w:rPr>
              <w:t xml:space="preserve"> </w:t>
            </w:r>
            <w:r w:rsidRPr="00591DF4">
              <w:rPr>
                <w:b/>
                <w:i/>
                <w:sz w:val="18"/>
                <w:szCs w:val="18"/>
              </w:rPr>
              <w:t>Bosmina meridionalis</w:t>
            </w:r>
            <w:r w:rsidRPr="00591DF4">
              <w:rPr>
                <w:b/>
                <w:sz w:val="18"/>
                <w:szCs w:val="18"/>
              </w:rPr>
              <w:t>.</w:t>
            </w:r>
          </w:p>
        </w:tc>
        <w:tc>
          <w:tcPr>
            <w:tcW w:w="716" w:type="pct"/>
          </w:tcPr>
          <w:p w14:paraId="1FA48698" w14:textId="77777777" w:rsidR="001D06D5" w:rsidRPr="00591DF4" w:rsidRDefault="001D06D5" w:rsidP="00C365DC">
            <w:pPr>
              <w:spacing w:line="240" w:lineRule="auto"/>
              <w:contextualSpacing/>
              <w:jc w:val="center"/>
              <w:rPr>
                <w:sz w:val="18"/>
                <w:szCs w:val="18"/>
              </w:rPr>
            </w:pPr>
            <w:r w:rsidRPr="00591DF4">
              <w:rPr>
                <w:sz w:val="18"/>
                <w:szCs w:val="18"/>
              </w:rPr>
              <w:t>56.61%</w:t>
            </w:r>
          </w:p>
          <w:p w14:paraId="05CC3270" w14:textId="77777777" w:rsidR="001D06D5" w:rsidRPr="00591DF4" w:rsidRDefault="001D06D5" w:rsidP="00C365DC">
            <w:pPr>
              <w:spacing w:line="240" w:lineRule="auto"/>
              <w:contextualSpacing/>
              <w:rPr>
                <w:sz w:val="18"/>
                <w:szCs w:val="18"/>
                <w:highlight w:val="yellow"/>
              </w:rPr>
            </w:pPr>
            <w:r w:rsidRPr="00591DF4">
              <w:rPr>
                <w:rFonts w:cstheme="minorHAnsi"/>
                <w:i/>
                <w:iCs/>
                <w:sz w:val="18"/>
                <w:szCs w:val="18"/>
              </w:rPr>
              <w:t>Trichocerca</w:t>
            </w:r>
            <w:r w:rsidRPr="00591DF4">
              <w:rPr>
                <w:rFonts w:cstheme="minorHAnsi"/>
                <w:iCs/>
                <w:sz w:val="18"/>
                <w:szCs w:val="18"/>
              </w:rPr>
              <w:t xml:space="preserve"> sp. c [long toe, med], </w:t>
            </w:r>
            <w:r w:rsidRPr="00591DF4">
              <w:rPr>
                <w:rFonts w:cstheme="minorHAnsi"/>
                <w:i/>
                <w:iCs/>
                <w:sz w:val="18"/>
                <w:szCs w:val="18"/>
              </w:rPr>
              <w:t>Cephalodella catellina</w:t>
            </w:r>
            <w:r w:rsidRPr="00591DF4">
              <w:rPr>
                <w:rFonts w:cstheme="minorHAnsi"/>
                <w:iCs/>
                <w:sz w:val="18"/>
                <w:szCs w:val="18"/>
              </w:rPr>
              <w:t xml:space="preserve">, </w:t>
            </w:r>
            <w:r w:rsidRPr="00591DF4">
              <w:rPr>
                <w:rFonts w:cstheme="minorHAnsi"/>
                <w:i/>
                <w:iCs/>
                <w:sz w:val="18"/>
                <w:szCs w:val="18"/>
              </w:rPr>
              <w:t>Brachionus calyciflorus amphiceros</w:t>
            </w:r>
            <w:r w:rsidRPr="00591DF4">
              <w:rPr>
                <w:rFonts w:cstheme="minorHAnsi"/>
                <w:iCs/>
                <w:sz w:val="18"/>
                <w:szCs w:val="18"/>
              </w:rPr>
              <w:t xml:space="preserve">, </w:t>
            </w:r>
            <w:r w:rsidRPr="00591DF4">
              <w:rPr>
                <w:rFonts w:cstheme="minorHAnsi"/>
                <w:i/>
                <w:iCs/>
                <w:sz w:val="18"/>
                <w:szCs w:val="18"/>
              </w:rPr>
              <w:t xml:space="preserve">Synchaeta </w:t>
            </w:r>
            <w:r w:rsidRPr="00591DF4">
              <w:rPr>
                <w:rFonts w:cstheme="minorHAnsi"/>
                <w:iCs/>
                <w:sz w:val="18"/>
                <w:szCs w:val="18"/>
              </w:rPr>
              <w:t xml:space="preserve">sp. b [sm., cf. oblonga], </w:t>
            </w:r>
            <w:r w:rsidRPr="00591DF4">
              <w:rPr>
                <w:rFonts w:cstheme="minorHAnsi"/>
                <w:i/>
                <w:iCs/>
                <w:sz w:val="18"/>
                <w:szCs w:val="18"/>
              </w:rPr>
              <w:t xml:space="preserve">Trichocerca similis </w:t>
            </w:r>
            <w:r w:rsidRPr="00591DF4">
              <w:rPr>
                <w:rFonts w:cstheme="minorHAnsi"/>
                <w:iCs/>
                <w:sz w:val="18"/>
                <w:szCs w:val="18"/>
              </w:rPr>
              <w:t xml:space="preserve">and </w:t>
            </w:r>
            <w:r w:rsidRPr="00591DF4">
              <w:rPr>
                <w:rFonts w:cstheme="minorHAnsi"/>
                <w:i/>
                <w:iCs/>
                <w:sz w:val="18"/>
                <w:szCs w:val="18"/>
              </w:rPr>
              <w:t>Conochilus</w:t>
            </w:r>
            <w:r w:rsidRPr="00591DF4">
              <w:rPr>
                <w:rFonts w:cstheme="minorHAnsi"/>
                <w:iCs/>
                <w:sz w:val="18"/>
                <w:szCs w:val="18"/>
              </w:rPr>
              <w:t xml:space="preserve"> sp. b [lg].</w:t>
            </w:r>
          </w:p>
        </w:tc>
        <w:tc>
          <w:tcPr>
            <w:tcW w:w="714" w:type="pct"/>
            <w:shd w:val="clear" w:color="auto" w:fill="000000" w:themeFill="text1"/>
          </w:tcPr>
          <w:p w14:paraId="05B7B587" w14:textId="77777777" w:rsidR="001D06D5" w:rsidRPr="00591DF4" w:rsidRDefault="001D06D5" w:rsidP="00C365DC">
            <w:pPr>
              <w:spacing w:line="240" w:lineRule="auto"/>
              <w:contextualSpacing/>
              <w:rPr>
                <w:sz w:val="18"/>
                <w:szCs w:val="18"/>
                <w:highlight w:val="yellow"/>
              </w:rPr>
            </w:pPr>
          </w:p>
        </w:tc>
        <w:tc>
          <w:tcPr>
            <w:tcW w:w="765" w:type="pct"/>
          </w:tcPr>
          <w:p w14:paraId="73BBB06A" w14:textId="77777777" w:rsidR="001D06D5" w:rsidRPr="00591DF4" w:rsidRDefault="001D06D5" w:rsidP="00C365DC">
            <w:pPr>
              <w:spacing w:line="240" w:lineRule="auto"/>
              <w:contextualSpacing/>
              <w:rPr>
                <w:sz w:val="18"/>
                <w:szCs w:val="18"/>
                <w:highlight w:val="yellow"/>
              </w:rPr>
            </w:pPr>
          </w:p>
        </w:tc>
        <w:tc>
          <w:tcPr>
            <w:tcW w:w="662" w:type="pct"/>
          </w:tcPr>
          <w:p w14:paraId="026BD171" w14:textId="77777777" w:rsidR="001D06D5" w:rsidRPr="00591DF4" w:rsidRDefault="001D06D5" w:rsidP="00C365DC">
            <w:pPr>
              <w:spacing w:line="240" w:lineRule="auto"/>
              <w:contextualSpacing/>
              <w:rPr>
                <w:sz w:val="18"/>
                <w:szCs w:val="18"/>
                <w:highlight w:val="yellow"/>
              </w:rPr>
            </w:pPr>
          </w:p>
        </w:tc>
        <w:tc>
          <w:tcPr>
            <w:tcW w:w="612" w:type="pct"/>
          </w:tcPr>
          <w:p w14:paraId="7D4E8422" w14:textId="77777777" w:rsidR="001D06D5" w:rsidRPr="00591DF4" w:rsidRDefault="001D06D5" w:rsidP="00C365DC">
            <w:pPr>
              <w:spacing w:line="240" w:lineRule="auto"/>
              <w:contextualSpacing/>
              <w:rPr>
                <w:sz w:val="18"/>
                <w:szCs w:val="18"/>
                <w:highlight w:val="yellow"/>
              </w:rPr>
            </w:pPr>
          </w:p>
        </w:tc>
        <w:tc>
          <w:tcPr>
            <w:tcW w:w="511" w:type="pct"/>
          </w:tcPr>
          <w:p w14:paraId="48301360" w14:textId="77777777" w:rsidR="001D06D5" w:rsidRPr="00591DF4" w:rsidRDefault="001D06D5" w:rsidP="00C365DC">
            <w:pPr>
              <w:spacing w:line="240" w:lineRule="auto"/>
              <w:contextualSpacing/>
              <w:rPr>
                <w:sz w:val="18"/>
                <w:szCs w:val="18"/>
                <w:highlight w:val="yellow"/>
              </w:rPr>
            </w:pPr>
          </w:p>
        </w:tc>
      </w:tr>
      <w:tr w:rsidR="00202B00" w:rsidRPr="00591DF4" w14:paraId="608CF147" w14:textId="77777777" w:rsidTr="00202B00">
        <w:trPr>
          <w:cantSplit/>
          <w:trHeight w:val="794"/>
        </w:trPr>
        <w:tc>
          <w:tcPr>
            <w:tcW w:w="371" w:type="pct"/>
          </w:tcPr>
          <w:p w14:paraId="57423A95" w14:textId="77777777" w:rsidR="001D06D5" w:rsidRPr="00591DF4" w:rsidRDefault="001D06D5" w:rsidP="00C365DC">
            <w:pPr>
              <w:spacing w:line="240" w:lineRule="auto"/>
              <w:contextualSpacing/>
              <w:rPr>
                <w:sz w:val="18"/>
                <w:szCs w:val="18"/>
                <w:highlight w:val="yellow"/>
              </w:rPr>
            </w:pPr>
            <w:r w:rsidRPr="00591DF4">
              <w:rPr>
                <w:sz w:val="18"/>
                <w:szCs w:val="18"/>
              </w:rPr>
              <w:lastRenderedPageBreak/>
              <w:t>17-Nov</w:t>
            </w:r>
          </w:p>
        </w:tc>
        <w:tc>
          <w:tcPr>
            <w:tcW w:w="648" w:type="pct"/>
          </w:tcPr>
          <w:p w14:paraId="22CE5327" w14:textId="77777777" w:rsidR="001D06D5" w:rsidRPr="00591DF4" w:rsidRDefault="001D06D5" w:rsidP="00C365DC">
            <w:pPr>
              <w:spacing w:line="240" w:lineRule="auto"/>
              <w:contextualSpacing/>
              <w:jc w:val="center"/>
              <w:rPr>
                <w:sz w:val="18"/>
                <w:szCs w:val="18"/>
              </w:rPr>
            </w:pPr>
            <w:r w:rsidRPr="00591DF4">
              <w:rPr>
                <w:sz w:val="18"/>
                <w:szCs w:val="18"/>
              </w:rPr>
              <w:t>50.65%</w:t>
            </w:r>
          </w:p>
          <w:p w14:paraId="6058BDA8" w14:textId="77777777" w:rsidR="001D06D5" w:rsidRPr="00591DF4" w:rsidRDefault="001D06D5" w:rsidP="00C365DC">
            <w:pPr>
              <w:spacing w:line="240" w:lineRule="auto"/>
              <w:contextualSpacing/>
              <w:rPr>
                <w:sz w:val="18"/>
                <w:szCs w:val="18"/>
              </w:rPr>
            </w:pPr>
            <w:r w:rsidRPr="00591DF4">
              <w:rPr>
                <w:i/>
                <w:sz w:val="18"/>
                <w:szCs w:val="18"/>
              </w:rPr>
              <w:t>Brachionus</w:t>
            </w:r>
            <w:r w:rsidRPr="00591DF4">
              <w:rPr>
                <w:sz w:val="18"/>
                <w:szCs w:val="18"/>
              </w:rPr>
              <w:t xml:space="preserve"> [</w:t>
            </w:r>
            <w:r w:rsidRPr="00591DF4">
              <w:rPr>
                <w:i/>
                <w:sz w:val="18"/>
                <w:szCs w:val="18"/>
              </w:rPr>
              <w:t>angularis</w:t>
            </w:r>
            <w:r w:rsidRPr="00591DF4">
              <w:rPr>
                <w:sz w:val="18"/>
                <w:szCs w:val="18"/>
              </w:rPr>
              <w:t xml:space="preserve">] </w:t>
            </w:r>
            <w:r w:rsidRPr="00591DF4">
              <w:rPr>
                <w:i/>
                <w:sz w:val="18"/>
                <w:szCs w:val="18"/>
              </w:rPr>
              <w:t>bidens</w:t>
            </w:r>
            <w:r w:rsidRPr="00591DF4">
              <w:rPr>
                <w:sz w:val="18"/>
                <w:szCs w:val="18"/>
              </w:rPr>
              <w:t xml:space="preserve">, </w:t>
            </w:r>
            <w:r w:rsidRPr="00591DF4">
              <w:rPr>
                <w:b/>
                <w:i/>
                <w:sz w:val="18"/>
                <w:szCs w:val="18"/>
              </w:rPr>
              <w:t>Filinia pejleri</w:t>
            </w:r>
            <w:r w:rsidRPr="00591DF4">
              <w:rPr>
                <w:sz w:val="18"/>
                <w:szCs w:val="18"/>
              </w:rPr>
              <w:t xml:space="preserve">, </w:t>
            </w:r>
            <w:r w:rsidRPr="00591DF4">
              <w:rPr>
                <w:i/>
                <w:sz w:val="18"/>
                <w:szCs w:val="18"/>
              </w:rPr>
              <w:t>Keratella tropica</w:t>
            </w:r>
            <w:r w:rsidRPr="00591DF4">
              <w:rPr>
                <w:sz w:val="18"/>
                <w:szCs w:val="18"/>
              </w:rPr>
              <w:t xml:space="preserve">, </w:t>
            </w:r>
            <w:r w:rsidRPr="00591DF4">
              <w:rPr>
                <w:i/>
                <w:sz w:val="18"/>
                <w:szCs w:val="18"/>
              </w:rPr>
              <w:t>Polyarthra</w:t>
            </w:r>
            <w:r w:rsidRPr="00591DF4">
              <w:rPr>
                <w:sz w:val="18"/>
                <w:szCs w:val="18"/>
              </w:rPr>
              <w:t xml:space="preserve"> sp. b [lg], </w:t>
            </w:r>
            <w:r w:rsidRPr="00591DF4">
              <w:rPr>
                <w:i/>
                <w:sz w:val="18"/>
                <w:szCs w:val="18"/>
              </w:rPr>
              <w:t>Hexarthra</w:t>
            </w:r>
            <w:r w:rsidRPr="00591DF4">
              <w:rPr>
                <w:sz w:val="18"/>
                <w:szCs w:val="18"/>
              </w:rPr>
              <w:t xml:space="preserve"> sp. [?spp.], </w:t>
            </w:r>
            <w:r w:rsidRPr="00591DF4">
              <w:rPr>
                <w:i/>
                <w:sz w:val="18"/>
                <w:szCs w:val="18"/>
              </w:rPr>
              <w:t>Difflugia gramen</w:t>
            </w:r>
            <w:r w:rsidRPr="00591DF4">
              <w:rPr>
                <w:sz w:val="18"/>
                <w:szCs w:val="18"/>
              </w:rPr>
              <w:t xml:space="preserve">, </w:t>
            </w:r>
            <w:r w:rsidRPr="00591DF4">
              <w:rPr>
                <w:b/>
                <w:i/>
                <w:sz w:val="18"/>
                <w:szCs w:val="18"/>
              </w:rPr>
              <w:t>Bosmina meridionalis</w:t>
            </w:r>
            <w:r w:rsidRPr="00591DF4">
              <w:rPr>
                <w:b/>
                <w:sz w:val="18"/>
                <w:szCs w:val="18"/>
              </w:rPr>
              <w:t xml:space="preserve"> </w:t>
            </w:r>
            <w:r w:rsidRPr="00591DF4">
              <w:rPr>
                <w:sz w:val="18"/>
                <w:szCs w:val="18"/>
              </w:rPr>
              <w:t>and</w:t>
            </w:r>
            <w:r w:rsidRPr="00591DF4">
              <w:rPr>
                <w:b/>
                <w:sz w:val="18"/>
                <w:szCs w:val="18"/>
              </w:rPr>
              <w:t xml:space="preserve"> indet. glob. ciliate [sm]</w:t>
            </w:r>
            <w:r w:rsidRPr="00591DF4">
              <w:rPr>
                <w:sz w:val="18"/>
                <w:szCs w:val="18"/>
              </w:rPr>
              <w:t>.</w:t>
            </w:r>
          </w:p>
        </w:tc>
        <w:tc>
          <w:tcPr>
            <w:tcW w:w="716" w:type="pct"/>
          </w:tcPr>
          <w:p w14:paraId="4770C29A" w14:textId="77777777" w:rsidR="001D06D5" w:rsidRPr="00591DF4" w:rsidRDefault="001D06D5" w:rsidP="00C365DC">
            <w:pPr>
              <w:spacing w:line="240" w:lineRule="auto"/>
              <w:contextualSpacing/>
              <w:jc w:val="center"/>
              <w:rPr>
                <w:rFonts w:cstheme="minorHAnsi"/>
                <w:iCs/>
                <w:sz w:val="18"/>
                <w:szCs w:val="18"/>
              </w:rPr>
            </w:pPr>
            <w:r w:rsidRPr="00591DF4">
              <w:rPr>
                <w:rFonts w:cstheme="minorHAnsi"/>
                <w:iCs/>
                <w:sz w:val="18"/>
                <w:szCs w:val="18"/>
              </w:rPr>
              <w:t>59.14%</w:t>
            </w:r>
          </w:p>
          <w:p w14:paraId="4BE66F5A" w14:textId="77777777" w:rsidR="001D06D5" w:rsidRPr="00591DF4" w:rsidRDefault="001D06D5" w:rsidP="00C365DC">
            <w:pPr>
              <w:spacing w:line="240" w:lineRule="auto"/>
              <w:contextualSpacing/>
              <w:rPr>
                <w:sz w:val="18"/>
                <w:szCs w:val="18"/>
              </w:rPr>
            </w:pPr>
            <w:r w:rsidRPr="00591DF4">
              <w:rPr>
                <w:rFonts w:cstheme="minorHAnsi"/>
                <w:i/>
                <w:iCs/>
                <w:sz w:val="18"/>
                <w:szCs w:val="18"/>
              </w:rPr>
              <w:t>Brachionus</w:t>
            </w:r>
            <w:r w:rsidRPr="00591DF4">
              <w:rPr>
                <w:rFonts w:cstheme="minorHAnsi"/>
                <w:iCs/>
                <w:sz w:val="18"/>
                <w:szCs w:val="18"/>
              </w:rPr>
              <w:t xml:space="preserve"> [</w:t>
            </w:r>
            <w:r w:rsidRPr="00591DF4">
              <w:rPr>
                <w:rFonts w:cstheme="minorHAnsi"/>
                <w:i/>
                <w:iCs/>
                <w:sz w:val="18"/>
                <w:szCs w:val="18"/>
              </w:rPr>
              <w:t>angularis</w:t>
            </w:r>
            <w:r w:rsidRPr="00591DF4">
              <w:rPr>
                <w:rFonts w:cstheme="minorHAnsi"/>
                <w:iCs/>
                <w:sz w:val="18"/>
                <w:szCs w:val="18"/>
              </w:rPr>
              <w:t xml:space="preserve">] </w:t>
            </w:r>
            <w:r w:rsidRPr="00591DF4">
              <w:rPr>
                <w:rFonts w:cstheme="minorHAnsi"/>
                <w:i/>
                <w:iCs/>
                <w:sz w:val="18"/>
                <w:szCs w:val="18"/>
              </w:rPr>
              <w:t>bidens</w:t>
            </w:r>
            <w:r w:rsidRPr="00591DF4">
              <w:rPr>
                <w:rFonts w:cstheme="minorHAnsi"/>
                <w:iCs/>
                <w:sz w:val="18"/>
                <w:szCs w:val="18"/>
              </w:rPr>
              <w:t xml:space="preserve">, </w:t>
            </w:r>
            <w:r w:rsidRPr="00591DF4">
              <w:rPr>
                <w:rFonts w:cstheme="minorHAnsi"/>
                <w:i/>
                <w:iCs/>
                <w:sz w:val="18"/>
                <w:szCs w:val="18"/>
              </w:rPr>
              <w:t>Polyarthra</w:t>
            </w:r>
            <w:r w:rsidRPr="00591DF4">
              <w:rPr>
                <w:rFonts w:cstheme="minorHAnsi"/>
                <w:iCs/>
                <w:sz w:val="18"/>
                <w:szCs w:val="18"/>
              </w:rPr>
              <w:t xml:space="preserve"> sp. a [sm], </w:t>
            </w:r>
            <w:r w:rsidRPr="00591DF4">
              <w:rPr>
                <w:rFonts w:cstheme="minorHAnsi"/>
                <w:i/>
                <w:iCs/>
                <w:sz w:val="18"/>
                <w:szCs w:val="18"/>
              </w:rPr>
              <w:t>Trichocerca</w:t>
            </w:r>
            <w:r w:rsidRPr="00591DF4">
              <w:rPr>
                <w:rFonts w:cstheme="minorHAnsi"/>
                <w:iCs/>
                <w:sz w:val="18"/>
                <w:szCs w:val="18"/>
              </w:rPr>
              <w:t xml:space="preserve"> sp. c [long toe, med], </w:t>
            </w:r>
            <w:r w:rsidRPr="00591DF4">
              <w:rPr>
                <w:rFonts w:cstheme="minorHAnsi"/>
                <w:i/>
                <w:iCs/>
                <w:sz w:val="18"/>
                <w:szCs w:val="18"/>
              </w:rPr>
              <w:t>Keratella tropica</w:t>
            </w:r>
            <w:r w:rsidRPr="00591DF4">
              <w:rPr>
                <w:rFonts w:cstheme="minorHAnsi"/>
                <w:iCs/>
                <w:sz w:val="18"/>
                <w:szCs w:val="18"/>
              </w:rPr>
              <w:t xml:space="preserve">, indet. glob. ciliate [sm], </w:t>
            </w:r>
            <w:r w:rsidRPr="00591DF4">
              <w:rPr>
                <w:rFonts w:cstheme="minorHAnsi"/>
                <w:i/>
                <w:iCs/>
                <w:sz w:val="18"/>
                <w:szCs w:val="18"/>
              </w:rPr>
              <w:t>Polyarthra</w:t>
            </w:r>
            <w:r w:rsidRPr="00591DF4">
              <w:rPr>
                <w:rFonts w:cstheme="minorHAnsi"/>
                <w:iCs/>
                <w:sz w:val="18"/>
                <w:szCs w:val="18"/>
              </w:rPr>
              <w:t xml:space="preserve"> sp. b [lg] and </w:t>
            </w:r>
            <w:r w:rsidRPr="00591DF4">
              <w:rPr>
                <w:rFonts w:cstheme="minorHAnsi"/>
                <w:i/>
                <w:iCs/>
                <w:sz w:val="18"/>
                <w:szCs w:val="18"/>
              </w:rPr>
              <w:t>Hexarthra</w:t>
            </w:r>
            <w:r w:rsidRPr="00591DF4">
              <w:rPr>
                <w:rFonts w:cstheme="minorHAnsi"/>
                <w:iCs/>
                <w:sz w:val="18"/>
                <w:szCs w:val="18"/>
              </w:rPr>
              <w:t xml:space="preserve"> sp. [?spp.].</w:t>
            </w:r>
          </w:p>
        </w:tc>
        <w:tc>
          <w:tcPr>
            <w:tcW w:w="714" w:type="pct"/>
          </w:tcPr>
          <w:p w14:paraId="624AAEA1" w14:textId="77777777" w:rsidR="001D06D5" w:rsidRPr="00591DF4" w:rsidRDefault="001D06D5" w:rsidP="00C365DC">
            <w:pPr>
              <w:spacing w:line="240" w:lineRule="auto"/>
              <w:contextualSpacing/>
              <w:jc w:val="center"/>
              <w:rPr>
                <w:rFonts w:cstheme="minorHAnsi"/>
                <w:iCs/>
                <w:sz w:val="18"/>
                <w:szCs w:val="18"/>
              </w:rPr>
            </w:pPr>
            <w:r w:rsidRPr="00591DF4">
              <w:rPr>
                <w:rFonts w:cstheme="minorHAnsi"/>
                <w:iCs/>
                <w:sz w:val="18"/>
                <w:szCs w:val="18"/>
              </w:rPr>
              <w:t>45.62%</w:t>
            </w:r>
          </w:p>
          <w:p w14:paraId="661A35A5" w14:textId="77777777" w:rsidR="001D06D5" w:rsidRPr="00591DF4" w:rsidRDefault="001D06D5" w:rsidP="00C365DC">
            <w:pPr>
              <w:spacing w:line="240" w:lineRule="auto"/>
              <w:contextualSpacing/>
              <w:rPr>
                <w:sz w:val="18"/>
                <w:szCs w:val="18"/>
              </w:rPr>
            </w:pPr>
            <w:r w:rsidRPr="00591DF4">
              <w:rPr>
                <w:rFonts w:cstheme="minorHAnsi"/>
                <w:i/>
                <w:iCs/>
                <w:sz w:val="18"/>
                <w:szCs w:val="18"/>
              </w:rPr>
              <w:t>Brachionus</w:t>
            </w:r>
            <w:r w:rsidRPr="00591DF4">
              <w:rPr>
                <w:rFonts w:cstheme="minorHAnsi"/>
                <w:iCs/>
                <w:sz w:val="18"/>
                <w:szCs w:val="18"/>
              </w:rPr>
              <w:t xml:space="preserve"> [</w:t>
            </w:r>
            <w:r w:rsidRPr="00591DF4">
              <w:rPr>
                <w:rFonts w:cstheme="minorHAnsi"/>
                <w:i/>
                <w:iCs/>
                <w:sz w:val="18"/>
                <w:szCs w:val="18"/>
              </w:rPr>
              <w:t>angularis</w:t>
            </w:r>
            <w:r w:rsidRPr="00591DF4">
              <w:rPr>
                <w:rFonts w:cstheme="minorHAnsi"/>
                <w:iCs/>
                <w:sz w:val="18"/>
                <w:szCs w:val="18"/>
              </w:rPr>
              <w:t xml:space="preserve">] </w:t>
            </w:r>
            <w:r w:rsidRPr="00591DF4">
              <w:rPr>
                <w:rFonts w:cstheme="minorHAnsi"/>
                <w:i/>
                <w:iCs/>
                <w:sz w:val="18"/>
                <w:szCs w:val="18"/>
              </w:rPr>
              <w:t>bidens</w:t>
            </w:r>
            <w:r w:rsidRPr="00591DF4">
              <w:rPr>
                <w:rFonts w:cstheme="minorHAnsi"/>
                <w:iCs/>
                <w:sz w:val="18"/>
                <w:szCs w:val="18"/>
              </w:rPr>
              <w:t xml:space="preserve">, </w:t>
            </w:r>
            <w:r w:rsidRPr="00591DF4">
              <w:rPr>
                <w:rFonts w:cstheme="minorHAnsi"/>
                <w:i/>
                <w:iCs/>
                <w:sz w:val="18"/>
                <w:szCs w:val="18"/>
              </w:rPr>
              <w:t>Polyarthra</w:t>
            </w:r>
            <w:r w:rsidRPr="00591DF4">
              <w:rPr>
                <w:rFonts w:cstheme="minorHAnsi"/>
                <w:iCs/>
                <w:sz w:val="18"/>
                <w:szCs w:val="18"/>
              </w:rPr>
              <w:t xml:space="preserve"> sp. a [sm], </w:t>
            </w:r>
            <w:r w:rsidRPr="00591DF4">
              <w:rPr>
                <w:rFonts w:cstheme="minorHAnsi"/>
                <w:b/>
                <w:i/>
                <w:iCs/>
                <w:sz w:val="18"/>
                <w:szCs w:val="18"/>
              </w:rPr>
              <w:t>Brachionus calyciflorus amphiceros</w:t>
            </w:r>
            <w:r w:rsidRPr="00591DF4">
              <w:rPr>
                <w:rFonts w:cstheme="minorHAnsi"/>
                <w:iCs/>
                <w:sz w:val="18"/>
                <w:szCs w:val="18"/>
              </w:rPr>
              <w:t xml:space="preserve">, </w:t>
            </w:r>
            <w:r w:rsidRPr="00591DF4">
              <w:rPr>
                <w:rFonts w:cstheme="minorHAnsi"/>
                <w:i/>
                <w:iCs/>
                <w:sz w:val="18"/>
                <w:szCs w:val="18"/>
              </w:rPr>
              <w:t>Keratella tropica</w:t>
            </w:r>
            <w:r w:rsidRPr="00591DF4">
              <w:rPr>
                <w:rFonts w:cstheme="minorHAnsi"/>
                <w:iCs/>
                <w:sz w:val="18"/>
                <w:szCs w:val="18"/>
              </w:rPr>
              <w:t xml:space="preserve">, </w:t>
            </w:r>
            <w:r w:rsidRPr="00591DF4">
              <w:rPr>
                <w:rFonts w:cstheme="minorHAnsi"/>
                <w:b/>
                <w:i/>
                <w:iCs/>
                <w:sz w:val="18"/>
                <w:szCs w:val="18"/>
              </w:rPr>
              <w:t>Cephalodella catellina</w:t>
            </w:r>
            <w:r w:rsidRPr="00591DF4">
              <w:rPr>
                <w:rFonts w:cstheme="minorHAnsi"/>
                <w:iCs/>
                <w:sz w:val="18"/>
                <w:szCs w:val="18"/>
              </w:rPr>
              <w:t xml:space="preserve">, </w:t>
            </w:r>
            <w:r w:rsidRPr="00591DF4">
              <w:rPr>
                <w:rFonts w:cstheme="minorHAnsi"/>
                <w:i/>
                <w:iCs/>
                <w:sz w:val="18"/>
                <w:szCs w:val="18"/>
              </w:rPr>
              <w:t>Hexarthra</w:t>
            </w:r>
            <w:r w:rsidRPr="00591DF4">
              <w:rPr>
                <w:rFonts w:cstheme="minorHAnsi"/>
                <w:iCs/>
                <w:sz w:val="18"/>
                <w:szCs w:val="18"/>
              </w:rPr>
              <w:t xml:space="preserve"> sp. [?spp.] and </w:t>
            </w:r>
            <w:r w:rsidRPr="00591DF4">
              <w:rPr>
                <w:rFonts w:cstheme="minorHAnsi"/>
                <w:b/>
                <w:i/>
                <w:iCs/>
                <w:sz w:val="18"/>
                <w:szCs w:val="18"/>
              </w:rPr>
              <w:t>Codonaria</w:t>
            </w:r>
            <w:r w:rsidRPr="00591DF4">
              <w:rPr>
                <w:rFonts w:cstheme="minorHAnsi"/>
                <w:b/>
                <w:iCs/>
                <w:sz w:val="18"/>
                <w:szCs w:val="18"/>
              </w:rPr>
              <w:t xml:space="preserve"> sp.</w:t>
            </w:r>
          </w:p>
        </w:tc>
        <w:tc>
          <w:tcPr>
            <w:tcW w:w="765" w:type="pct"/>
            <w:shd w:val="clear" w:color="auto" w:fill="000000" w:themeFill="text1"/>
          </w:tcPr>
          <w:p w14:paraId="1688EF02" w14:textId="77777777" w:rsidR="001D06D5" w:rsidRPr="00591DF4" w:rsidRDefault="001D06D5" w:rsidP="00C365DC">
            <w:pPr>
              <w:spacing w:line="240" w:lineRule="auto"/>
              <w:contextualSpacing/>
              <w:rPr>
                <w:sz w:val="18"/>
                <w:szCs w:val="18"/>
                <w:highlight w:val="yellow"/>
              </w:rPr>
            </w:pPr>
          </w:p>
        </w:tc>
        <w:tc>
          <w:tcPr>
            <w:tcW w:w="662" w:type="pct"/>
          </w:tcPr>
          <w:p w14:paraId="1E45E111" w14:textId="77777777" w:rsidR="001D06D5" w:rsidRPr="00591DF4" w:rsidRDefault="001D06D5" w:rsidP="00C365DC">
            <w:pPr>
              <w:spacing w:line="240" w:lineRule="auto"/>
              <w:contextualSpacing/>
              <w:rPr>
                <w:sz w:val="18"/>
                <w:szCs w:val="18"/>
                <w:highlight w:val="yellow"/>
              </w:rPr>
            </w:pPr>
          </w:p>
        </w:tc>
        <w:tc>
          <w:tcPr>
            <w:tcW w:w="612" w:type="pct"/>
          </w:tcPr>
          <w:p w14:paraId="79D80BA2" w14:textId="77777777" w:rsidR="001D06D5" w:rsidRPr="00591DF4" w:rsidRDefault="001D06D5" w:rsidP="00C365DC">
            <w:pPr>
              <w:spacing w:line="240" w:lineRule="auto"/>
              <w:contextualSpacing/>
              <w:rPr>
                <w:sz w:val="18"/>
                <w:szCs w:val="18"/>
                <w:highlight w:val="yellow"/>
              </w:rPr>
            </w:pPr>
          </w:p>
        </w:tc>
        <w:tc>
          <w:tcPr>
            <w:tcW w:w="511" w:type="pct"/>
          </w:tcPr>
          <w:p w14:paraId="70434A79" w14:textId="77777777" w:rsidR="001D06D5" w:rsidRPr="00591DF4" w:rsidRDefault="001D06D5" w:rsidP="00C365DC">
            <w:pPr>
              <w:spacing w:line="240" w:lineRule="auto"/>
              <w:contextualSpacing/>
              <w:rPr>
                <w:sz w:val="18"/>
                <w:szCs w:val="18"/>
                <w:highlight w:val="yellow"/>
              </w:rPr>
            </w:pPr>
          </w:p>
        </w:tc>
      </w:tr>
      <w:tr w:rsidR="00202B00" w:rsidRPr="00591DF4" w14:paraId="304DF17E" w14:textId="77777777" w:rsidTr="00202B00">
        <w:trPr>
          <w:cantSplit/>
          <w:trHeight w:val="794"/>
        </w:trPr>
        <w:tc>
          <w:tcPr>
            <w:tcW w:w="371" w:type="pct"/>
          </w:tcPr>
          <w:p w14:paraId="1A110B3C" w14:textId="77777777" w:rsidR="001D06D5" w:rsidRPr="00591DF4" w:rsidRDefault="001D06D5" w:rsidP="00C365DC">
            <w:pPr>
              <w:spacing w:line="240" w:lineRule="auto"/>
              <w:contextualSpacing/>
              <w:rPr>
                <w:sz w:val="18"/>
                <w:szCs w:val="18"/>
                <w:highlight w:val="yellow"/>
              </w:rPr>
            </w:pPr>
            <w:r w:rsidRPr="00591DF4">
              <w:rPr>
                <w:sz w:val="18"/>
                <w:szCs w:val="18"/>
              </w:rPr>
              <w:t>30-Nov</w:t>
            </w:r>
          </w:p>
        </w:tc>
        <w:tc>
          <w:tcPr>
            <w:tcW w:w="648" w:type="pct"/>
          </w:tcPr>
          <w:p w14:paraId="1AE8B97E" w14:textId="77777777" w:rsidR="001D06D5" w:rsidRPr="00591DF4" w:rsidRDefault="001D06D5" w:rsidP="00C365DC">
            <w:pPr>
              <w:spacing w:line="240" w:lineRule="auto"/>
              <w:contextualSpacing/>
              <w:jc w:val="center"/>
              <w:rPr>
                <w:sz w:val="18"/>
                <w:szCs w:val="18"/>
              </w:rPr>
            </w:pPr>
            <w:r w:rsidRPr="00591DF4">
              <w:rPr>
                <w:sz w:val="18"/>
                <w:szCs w:val="18"/>
              </w:rPr>
              <w:t>56.67%</w:t>
            </w:r>
          </w:p>
          <w:p w14:paraId="6D20CF31" w14:textId="77777777" w:rsidR="001D06D5" w:rsidRPr="00591DF4" w:rsidRDefault="001D06D5" w:rsidP="00C365DC">
            <w:pPr>
              <w:spacing w:line="240" w:lineRule="auto"/>
              <w:contextualSpacing/>
              <w:rPr>
                <w:sz w:val="18"/>
                <w:szCs w:val="18"/>
                <w:highlight w:val="yellow"/>
              </w:rPr>
            </w:pPr>
            <w:r w:rsidRPr="00591DF4">
              <w:rPr>
                <w:b/>
                <w:i/>
                <w:sz w:val="18"/>
                <w:szCs w:val="18"/>
              </w:rPr>
              <w:t>Filinia pejleri</w:t>
            </w:r>
            <w:r w:rsidRPr="00591DF4">
              <w:rPr>
                <w:sz w:val="18"/>
                <w:szCs w:val="18"/>
              </w:rPr>
              <w:t xml:space="preserve">, </w:t>
            </w:r>
            <w:r w:rsidRPr="00591DF4">
              <w:rPr>
                <w:i/>
                <w:sz w:val="18"/>
                <w:szCs w:val="18"/>
              </w:rPr>
              <w:t>Brachionus</w:t>
            </w:r>
            <w:r w:rsidRPr="00591DF4">
              <w:rPr>
                <w:sz w:val="18"/>
                <w:szCs w:val="18"/>
              </w:rPr>
              <w:t xml:space="preserve"> [</w:t>
            </w:r>
            <w:r w:rsidRPr="00591DF4">
              <w:rPr>
                <w:i/>
                <w:sz w:val="18"/>
                <w:szCs w:val="18"/>
              </w:rPr>
              <w:t>angularis</w:t>
            </w:r>
            <w:r w:rsidRPr="00591DF4">
              <w:rPr>
                <w:sz w:val="18"/>
                <w:szCs w:val="18"/>
              </w:rPr>
              <w:t xml:space="preserve">] </w:t>
            </w:r>
            <w:r w:rsidRPr="00591DF4">
              <w:rPr>
                <w:i/>
                <w:sz w:val="18"/>
                <w:szCs w:val="18"/>
              </w:rPr>
              <w:t>bidens</w:t>
            </w:r>
            <w:r w:rsidRPr="00591DF4">
              <w:rPr>
                <w:sz w:val="18"/>
                <w:szCs w:val="18"/>
              </w:rPr>
              <w:t xml:space="preserve">, </w:t>
            </w:r>
            <w:r w:rsidRPr="00591DF4">
              <w:rPr>
                <w:b/>
                <w:sz w:val="18"/>
                <w:szCs w:val="18"/>
              </w:rPr>
              <w:t>indet. glob. ciliate [sm]</w:t>
            </w:r>
            <w:r w:rsidRPr="00591DF4">
              <w:rPr>
                <w:sz w:val="18"/>
                <w:szCs w:val="18"/>
              </w:rPr>
              <w:t xml:space="preserve">, </w:t>
            </w:r>
            <w:r w:rsidRPr="00591DF4">
              <w:rPr>
                <w:i/>
                <w:sz w:val="18"/>
                <w:szCs w:val="18"/>
              </w:rPr>
              <w:t>Polyarthra</w:t>
            </w:r>
            <w:r w:rsidRPr="00591DF4">
              <w:rPr>
                <w:sz w:val="18"/>
                <w:szCs w:val="18"/>
              </w:rPr>
              <w:t xml:space="preserve"> sp. b [lg], </w:t>
            </w:r>
            <w:r w:rsidRPr="00591DF4">
              <w:rPr>
                <w:i/>
                <w:sz w:val="18"/>
                <w:szCs w:val="18"/>
              </w:rPr>
              <w:t>Trichocerca</w:t>
            </w:r>
            <w:r w:rsidRPr="00591DF4">
              <w:rPr>
                <w:sz w:val="18"/>
                <w:szCs w:val="18"/>
              </w:rPr>
              <w:t xml:space="preserve"> sp. c [long toe, med], </w:t>
            </w:r>
            <w:r w:rsidRPr="00591DF4">
              <w:rPr>
                <w:i/>
                <w:sz w:val="18"/>
                <w:szCs w:val="18"/>
              </w:rPr>
              <w:t xml:space="preserve">Keratella tropica </w:t>
            </w:r>
            <w:r w:rsidRPr="00591DF4">
              <w:rPr>
                <w:sz w:val="18"/>
                <w:szCs w:val="18"/>
              </w:rPr>
              <w:t xml:space="preserve">and </w:t>
            </w:r>
            <w:r w:rsidRPr="00591DF4">
              <w:rPr>
                <w:b/>
                <w:i/>
                <w:sz w:val="18"/>
                <w:szCs w:val="18"/>
              </w:rPr>
              <w:t>Synchaeta</w:t>
            </w:r>
            <w:r w:rsidRPr="00591DF4">
              <w:rPr>
                <w:b/>
                <w:sz w:val="18"/>
                <w:szCs w:val="18"/>
              </w:rPr>
              <w:t xml:space="preserve"> sp. c [tiny]</w:t>
            </w:r>
            <w:r w:rsidRPr="00591DF4">
              <w:rPr>
                <w:sz w:val="18"/>
                <w:szCs w:val="18"/>
              </w:rPr>
              <w:t>.</w:t>
            </w:r>
          </w:p>
        </w:tc>
        <w:tc>
          <w:tcPr>
            <w:tcW w:w="716" w:type="pct"/>
          </w:tcPr>
          <w:p w14:paraId="1EB98264" w14:textId="77777777" w:rsidR="001D06D5" w:rsidRPr="00591DF4" w:rsidRDefault="001D06D5" w:rsidP="00C365DC">
            <w:pPr>
              <w:spacing w:line="240" w:lineRule="auto"/>
              <w:contextualSpacing/>
              <w:jc w:val="center"/>
              <w:rPr>
                <w:rFonts w:cstheme="minorHAnsi"/>
                <w:iCs/>
                <w:sz w:val="18"/>
                <w:szCs w:val="18"/>
              </w:rPr>
            </w:pPr>
            <w:r w:rsidRPr="00591DF4">
              <w:rPr>
                <w:rFonts w:cstheme="minorHAnsi"/>
                <w:iCs/>
                <w:sz w:val="18"/>
                <w:szCs w:val="18"/>
              </w:rPr>
              <w:t>59.16%</w:t>
            </w:r>
          </w:p>
          <w:p w14:paraId="4DCBE5E8" w14:textId="77777777" w:rsidR="001D06D5" w:rsidRPr="00591DF4" w:rsidRDefault="001D06D5" w:rsidP="00C365DC">
            <w:pPr>
              <w:spacing w:line="240" w:lineRule="auto"/>
              <w:contextualSpacing/>
              <w:rPr>
                <w:sz w:val="18"/>
                <w:szCs w:val="18"/>
                <w:highlight w:val="yellow"/>
              </w:rPr>
            </w:pPr>
            <w:r w:rsidRPr="00591DF4">
              <w:rPr>
                <w:rFonts w:cstheme="minorHAnsi"/>
                <w:i/>
                <w:iCs/>
                <w:sz w:val="18"/>
                <w:szCs w:val="18"/>
              </w:rPr>
              <w:t>Trichocerca</w:t>
            </w:r>
            <w:r w:rsidRPr="00591DF4">
              <w:rPr>
                <w:rFonts w:cstheme="minorHAnsi"/>
                <w:iCs/>
                <w:sz w:val="18"/>
                <w:szCs w:val="18"/>
              </w:rPr>
              <w:t xml:space="preserve"> sp. c [long toe, med], </w:t>
            </w:r>
            <w:r w:rsidRPr="00591DF4">
              <w:rPr>
                <w:rFonts w:cstheme="minorHAnsi"/>
                <w:i/>
                <w:iCs/>
                <w:sz w:val="18"/>
                <w:szCs w:val="18"/>
              </w:rPr>
              <w:t>Brachionus</w:t>
            </w:r>
            <w:r w:rsidRPr="00591DF4">
              <w:rPr>
                <w:rFonts w:cstheme="minorHAnsi"/>
                <w:iCs/>
                <w:sz w:val="18"/>
                <w:szCs w:val="18"/>
              </w:rPr>
              <w:t xml:space="preserve"> [</w:t>
            </w:r>
            <w:r w:rsidRPr="00591DF4">
              <w:rPr>
                <w:rFonts w:cstheme="minorHAnsi"/>
                <w:i/>
                <w:iCs/>
                <w:sz w:val="18"/>
                <w:szCs w:val="18"/>
              </w:rPr>
              <w:t>angularis</w:t>
            </w:r>
            <w:r w:rsidRPr="00591DF4">
              <w:rPr>
                <w:rFonts w:cstheme="minorHAnsi"/>
                <w:iCs/>
                <w:sz w:val="18"/>
                <w:szCs w:val="18"/>
              </w:rPr>
              <w:t xml:space="preserve">] </w:t>
            </w:r>
            <w:r w:rsidRPr="00591DF4">
              <w:rPr>
                <w:rFonts w:cstheme="minorHAnsi"/>
                <w:i/>
                <w:iCs/>
                <w:sz w:val="18"/>
                <w:szCs w:val="18"/>
              </w:rPr>
              <w:t>bidens</w:t>
            </w:r>
            <w:r w:rsidRPr="00591DF4">
              <w:rPr>
                <w:rFonts w:cstheme="minorHAnsi"/>
                <w:iCs/>
                <w:sz w:val="18"/>
                <w:szCs w:val="18"/>
              </w:rPr>
              <w:t xml:space="preserve">, </w:t>
            </w:r>
            <w:r w:rsidRPr="00591DF4">
              <w:rPr>
                <w:rFonts w:cstheme="minorHAnsi"/>
                <w:i/>
                <w:iCs/>
                <w:sz w:val="18"/>
                <w:szCs w:val="18"/>
              </w:rPr>
              <w:t>Polyarthra</w:t>
            </w:r>
            <w:r w:rsidRPr="00591DF4">
              <w:rPr>
                <w:rFonts w:cstheme="minorHAnsi"/>
                <w:iCs/>
                <w:sz w:val="18"/>
                <w:szCs w:val="18"/>
              </w:rPr>
              <w:t xml:space="preserve"> sp. a [sm], </w:t>
            </w:r>
            <w:r w:rsidRPr="00591DF4">
              <w:rPr>
                <w:rFonts w:cstheme="minorHAnsi"/>
                <w:i/>
                <w:iCs/>
                <w:sz w:val="18"/>
                <w:szCs w:val="18"/>
              </w:rPr>
              <w:t>Polyarthra</w:t>
            </w:r>
            <w:r w:rsidRPr="00591DF4">
              <w:rPr>
                <w:rFonts w:cstheme="minorHAnsi"/>
                <w:iCs/>
                <w:sz w:val="18"/>
                <w:szCs w:val="18"/>
              </w:rPr>
              <w:t xml:space="preserve"> sp. b [lg], </w:t>
            </w:r>
            <w:r w:rsidRPr="00591DF4">
              <w:rPr>
                <w:rFonts w:cstheme="minorHAnsi"/>
                <w:i/>
                <w:iCs/>
                <w:sz w:val="18"/>
                <w:szCs w:val="18"/>
              </w:rPr>
              <w:t>Keratella tropica</w:t>
            </w:r>
            <w:r w:rsidRPr="00591DF4">
              <w:rPr>
                <w:rFonts w:cstheme="minorHAnsi"/>
                <w:iCs/>
                <w:sz w:val="18"/>
                <w:szCs w:val="18"/>
              </w:rPr>
              <w:t xml:space="preserve"> and </w:t>
            </w:r>
            <w:r w:rsidRPr="00591DF4">
              <w:rPr>
                <w:rFonts w:cstheme="minorHAnsi"/>
                <w:i/>
                <w:iCs/>
                <w:sz w:val="18"/>
                <w:szCs w:val="18"/>
              </w:rPr>
              <w:t>Filinia terminalis</w:t>
            </w:r>
            <w:r w:rsidRPr="00591DF4">
              <w:rPr>
                <w:rFonts w:cstheme="minorHAnsi"/>
                <w:iCs/>
                <w:sz w:val="18"/>
                <w:szCs w:val="18"/>
              </w:rPr>
              <w:t>.</w:t>
            </w:r>
          </w:p>
        </w:tc>
        <w:tc>
          <w:tcPr>
            <w:tcW w:w="714" w:type="pct"/>
          </w:tcPr>
          <w:p w14:paraId="223FDC3C" w14:textId="77777777" w:rsidR="001D06D5" w:rsidRPr="00591DF4" w:rsidRDefault="001D06D5" w:rsidP="00C365DC">
            <w:pPr>
              <w:spacing w:line="240" w:lineRule="auto"/>
              <w:contextualSpacing/>
              <w:jc w:val="center"/>
              <w:rPr>
                <w:rFonts w:cstheme="minorHAnsi"/>
                <w:iCs/>
                <w:sz w:val="18"/>
                <w:szCs w:val="18"/>
              </w:rPr>
            </w:pPr>
            <w:r w:rsidRPr="00591DF4">
              <w:rPr>
                <w:rFonts w:cstheme="minorHAnsi"/>
                <w:iCs/>
                <w:sz w:val="18"/>
                <w:szCs w:val="18"/>
              </w:rPr>
              <w:t>56.06%</w:t>
            </w:r>
          </w:p>
          <w:p w14:paraId="06F0B34E" w14:textId="77777777" w:rsidR="001D06D5" w:rsidRPr="00591DF4" w:rsidRDefault="001D06D5" w:rsidP="00C365DC">
            <w:pPr>
              <w:spacing w:line="240" w:lineRule="auto"/>
              <w:contextualSpacing/>
              <w:rPr>
                <w:sz w:val="18"/>
                <w:szCs w:val="18"/>
                <w:highlight w:val="yellow"/>
              </w:rPr>
            </w:pPr>
            <w:r w:rsidRPr="00591DF4">
              <w:rPr>
                <w:rFonts w:cstheme="minorHAnsi"/>
                <w:b/>
                <w:iCs/>
                <w:sz w:val="18"/>
                <w:szCs w:val="18"/>
              </w:rPr>
              <w:t>Synchaeta sp. b [sm., cf. oblonga]</w:t>
            </w:r>
            <w:r w:rsidRPr="00591DF4">
              <w:rPr>
                <w:rFonts w:cstheme="minorHAnsi"/>
                <w:iCs/>
                <w:sz w:val="18"/>
                <w:szCs w:val="18"/>
              </w:rPr>
              <w:t xml:space="preserve">, </w:t>
            </w:r>
            <w:r w:rsidRPr="00591DF4">
              <w:rPr>
                <w:rFonts w:cstheme="minorHAnsi"/>
                <w:i/>
                <w:iCs/>
                <w:sz w:val="18"/>
                <w:szCs w:val="18"/>
              </w:rPr>
              <w:t>Brachionus</w:t>
            </w:r>
            <w:r w:rsidRPr="00591DF4">
              <w:rPr>
                <w:rFonts w:cstheme="minorHAnsi"/>
                <w:iCs/>
                <w:sz w:val="18"/>
                <w:szCs w:val="18"/>
              </w:rPr>
              <w:t xml:space="preserve"> [</w:t>
            </w:r>
            <w:r w:rsidRPr="00591DF4">
              <w:rPr>
                <w:rFonts w:cstheme="minorHAnsi"/>
                <w:i/>
                <w:iCs/>
                <w:sz w:val="18"/>
                <w:szCs w:val="18"/>
              </w:rPr>
              <w:t>angularis</w:t>
            </w:r>
            <w:r w:rsidRPr="00591DF4">
              <w:rPr>
                <w:rFonts w:cstheme="minorHAnsi"/>
                <w:iCs/>
                <w:sz w:val="18"/>
                <w:szCs w:val="18"/>
              </w:rPr>
              <w:t xml:space="preserve">] </w:t>
            </w:r>
            <w:r w:rsidRPr="00591DF4">
              <w:rPr>
                <w:rFonts w:cstheme="minorHAnsi"/>
                <w:i/>
                <w:iCs/>
                <w:sz w:val="18"/>
                <w:szCs w:val="18"/>
              </w:rPr>
              <w:t>bidens</w:t>
            </w:r>
            <w:r w:rsidRPr="00591DF4">
              <w:rPr>
                <w:rFonts w:cstheme="minorHAnsi"/>
                <w:iCs/>
                <w:sz w:val="18"/>
                <w:szCs w:val="18"/>
              </w:rPr>
              <w:t xml:space="preserve">, </w:t>
            </w:r>
            <w:r w:rsidRPr="00591DF4">
              <w:rPr>
                <w:rFonts w:cstheme="minorHAnsi"/>
                <w:b/>
                <w:i/>
                <w:iCs/>
                <w:sz w:val="18"/>
                <w:szCs w:val="18"/>
              </w:rPr>
              <w:t>Cephalodella catellina</w:t>
            </w:r>
            <w:r w:rsidRPr="00591DF4">
              <w:rPr>
                <w:rFonts w:cstheme="minorHAnsi"/>
                <w:iCs/>
                <w:sz w:val="18"/>
                <w:szCs w:val="18"/>
              </w:rPr>
              <w:t xml:space="preserve">, </w:t>
            </w:r>
            <w:r w:rsidRPr="00591DF4">
              <w:rPr>
                <w:rFonts w:cstheme="minorHAnsi"/>
                <w:i/>
                <w:iCs/>
                <w:sz w:val="18"/>
                <w:szCs w:val="18"/>
              </w:rPr>
              <w:t>Polyarthra</w:t>
            </w:r>
            <w:r w:rsidRPr="00591DF4">
              <w:rPr>
                <w:rFonts w:cstheme="minorHAnsi"/>
                <w:iCs/>
                <w:sz w:val="18"/>
                <w:szCs w:val="18"/>
              </w:rPr>
              <w:t xml:space="preserve"> sp. a [sm], </w:t>
            </w:r>
            <w:r w:rsidRPr="00591DF4">
              <w:rPr>
                <w:rFonts w:cstheme="minorHAnsi"/>
                <w:b/>
                <w:i/>
                <w:iCs/>
                <w:sz w:val="18"/>
                <w:szCs w:val="18"/>
              </w:rPr>
              <w:t>Conochilus</w:t>
            </w:r>
            <w:r w:rsidRPr="00591DF4">
              <w:rPr>
                <w:rFonts w:cstheme="minorHAnsi"/>
                <w:b/>
                <w:iCs/>
                <w:sz w:val="18"/>
                <w:szCs w:val="18"/>
              </w:rPr>
              <w:t xml:space="preserve"> sp. b [lg]</w:t>
            </w:r>
            <w:r w:rsidRPr="00591DF4">
              <w:rPr>
                <w:rFonts w:cstheme="minorHAnsi"/>
                <w:iCs/>
                <w:sz w:val="18"/>
                <w:szCs w:val="18"/>
              </w:rPr>
              <w:t xml:space="preserve">, </w:t>
            </w:r>
            <w:r w:rsidRPr="00591DF4">
              <w:rPr>
                <w:rFonts w:cstheme="minorHAnsi"/>
                <w:i/>
                <w:iCs/>
                <w:sz w:val="18"/>
                <w:szCs w:val="18"/>
              </w:rPr>
              <w:t>Keratella tropica</w:t>
            </w:r>
            <w:r w:rsidRPr="00591DF4">
              <w:rPr>
                <w:rFonts w:cstheme="minorHAnsi"/>
                <w:iCs/>
                <w:sz w:val="18"/>
                <w:szCs w:val="18"/>
              </w:rPr>
              <w:t xml:space="preserve"> and </w:t>
            </w:r>
            <w:r w:rsidRPr="00591DF4">
              <w:rPr>
                <w:rFonts w:cstheme="minorHAnsi"/>
                <w:b/>
                <w:i/>
                <w:iCs/>
                <w:sz w:val="18"/>
                <w:szCs w:val="18"/>
              </w:rPr>
              <w:t>Synchaeta pectinata</w:t>
            </w:r>
            <w:r w:rsidRPr="00591DF4">
              <w:rPr>
                <w:rFonts w:cstheme="minorHAnsi"/>
                <w:b/>
                <w:iCs/>
                <w:sz w:val="18"/>
                <w:szCs w:val="18"/>
              </w:rPr>
              <w:t xml:space="preserve"> [med-lg]</w:t>
            </w:r>
            <w:r w:rsidRPr="00591DF4">
              <w:rPr>
                <w:rFonts w:cstheme="minorHAnsi"/>
                <w:iCs/>
                <w:sz w:val="18"/>
                <w:szCs w:val="18"/>
              </w:rPr>
              <w:t>.</w:t>
            </w:r>
          </w:p>
        </w:tc>
        <w:tc>
          <w:tcPr>
            <w:tcW w:w="765" w:type="pct"/>
          </w:tcPr>
          <w:p w14:paraId="5B1B7214" w14:textId="77777777" w:rsidR="001D06D5" w:rsidRPr="00591DF4" w:rsidRDefault="001D06D5" w:rsidP="00C365DC">
            <w:pPr>
              <w:spacing w:line="240" w:lineRule="auto"/>
              <w:contextualSpacing/>
              <w:jc w:val="center"/>
              <w:rPr>
                <w:rFonts w:cstheme="minorHAnsi"/>
                <w:iCs/>
                <w:sz w:val="18"/>
                <w:szCs w:val="18"/>
              </w:rPr>
            </w:pPr>
            <w:r w:rsidRPr="00591DF4">
              <w:rPr>
                <w:rFonts w:cstheme="minorHAnsi"/>
                <w:iCs/>
                <w:sz w:val="18"/>
                <w:szCs w:val="18"/>
              </w:rPr>
              <w:t>43.35%</w:t>
            </w:r>
          </w:p>
          <w:p w14:paraId="46F452B1" w14:textId="77777777" w:rsidR="001D06D5" w:rsidRPr="00591DF4" w:rsidRDefault="001D06D5" w:rsidP="00C365DC">
            <w:pPr>
              <w:spacing w:line="240" w:lineRule="auto"/>
              <w:contextualSpacing/>
              <w:rPr>
                <w:sz w:val="18"/>
                <w:szCs w:val="18"/>
                <w:highlight w:val="yellow"/>
              </w:rPr>
            </w:pPr>
            <w:r w:rsidRPr="00591DF4">
              <w:rPr>
                <w:rFonts w:cstheme="minorHAnsi"/>
                <w:b/>
                <w:i/>
                <w:iCs/>
                <w:sz w:val="18"/>
                <w:szCs w:val="18"/>
              </w:rPr>
              <w:t>Synchaeta</w:t>
            </w:r>
            <w:r w:rsidRPr="00591DF4">
              <w:rPr>
                <w:rFonts w:cstheme="minorHAnsi"/>
                <w:b/>
                <w:iCs/>
                <w:sz w:val="18"/>
                <w:szCs w:val="18"/>
              </w:rPr>
              <w:t xml:space="preserve"> sp. b [sm., cf. oblonga], </w:t>
            </w:r>
            <w:r w:rsidRPr="00591DF4">
              <w:rPr>
                <w:rFonts w:cstheme="minorHAnsi"/>
                <w:b/>
                <w:i/>
                <w:iCs/>
                <w:sz w:val="18"/>
                <w:szCs w:val="18"/>
              </w:rPr>
              <w:t>Synchaeta</w:t>
            </w:r>
            <w:r w:rsidRPr="00591DF4">
              <w:rPr>
                <w:rFonts w:cstheme="minorHAnsi"/>
                <w:b/>
                <w:iCs/>
                <w:sz w:val="18"/>
                <w:szCs w:val="18"/>
              </w:rPr>
              <w:t xml:space="preserve"> sp. c [tiny]</w:t>
            </w:r>
            <w:r w:rsidRPr="00591DF4">
              <w:rPr>
                <w:rFonts w:cstheme="minorHAnsi"/>
                <w:iCs/>
                <w:sz w:val="18"/>
                <w:szCs w:val="18"/>
              </w:rPr>
              <w:t xml:space="preserve">, </w:t>
            </w:r>
            <w:r w:rsidRPr="00591DF4">
              <w:rPr>
                <w:rFonts w:cstheme="minorHAnsi"/>
                <w:i/>
                <w:iCs/>
                <w:sz w:val="18"/>
                <w:szCs w:val="18"/>
              </w:rPr>
              <w:t>Filinia terminalis</w:t>
            </w:r>
            <w:r w:rsidRPr="00591DF4">
              <w:rPr>
                <w:rFonts w:cstheme="minorHAnsi"/>
                <w:iCs/>
                <w:sz w:val="18"/>
                <w:szCs w:val="18"/>
              </w:rPr>
              <w:t xml:space="preserve">, </w:t>
            </w:r>
            <w:r w:rsidRPr="00591DF4">
              <w:rPr>
                <w:rFonts w:cstheme="minorHAnsi"/>
                <w:b/>
                <w:i/>
                <w:iCs/>
                <w:sz w:val="18"/>
                <w:szCs w:val="18"/>
              </w:rPr>
              <w:t>Hexarthra</w:t>
            </w:r>
            <w:r w:rsidRPr="00591DF4">
              <w:rPr>
                <w:rFonts w:cstheme="minorHAnsi"/>
                <w:b/>
                <w:iCs/>
                <w:sz w:val="18"/>
                <w:szCs w:val="18"/>
              </w:rPr>
              <w:t xml:space="preserve"> sp. [?spp.]</w:t>
            </w:r>
            <w:r w:rsidRPr="00591DF4">
              <w:rPr>
                <w:rFonts w:cstheme="minorHAnsi"/>
                <w:iCs/>
                <w:sz w:val="18"/>
                <w:szCs w:val="18"/>
              </w:rPr>
              <w:t xml:space="preserve">, cyclopoid nauplii, </w:t>
            </w:r>
            <w:r w:rsidRPr="00591DF4">
              <w:rPr>
                <w:rFonts w:cstheme="minorHAnsi"/>
                <w:b/>
                <w:i/>
                <w:iCs/>
                <w:sz w:val="18"/>
                <w:szCs w:val="18"/>
              </w:rPr>
              <w:t>Trichocerca similis</w:t>
            </w:r>
            <w:r w:rsidRPr="00591DF4">
              <w:rPr>
                <w:rFonts w:cstheme="minorHAnsi"/>
                <w:b/>
                <w:iCs/>
                <w:sz w:val="18"/>
                <w:szCs w:val="18"/>
              </w:rPr>
              <w:t xml:space="preserve">, indet. glob. ciliate [sm], </w:t>
            </w:r>
            <w:r w:rsidRPr="00591DF4">
              <w:rPr>
                <w:rFonts w:cstheme="minorHAnsi"/>
                <w:b/>
                <w:i/>
                <w:iCs/>
                <w:sz w:val="18"/>
                <w:szCs w:val="18"/>
              </w:rPr>
              <w:t>Trichocerca</w:t>
            </w:r>
            <w:r w:rsidRPr="00591DF4">
              <w:rPr>
                <w:rFonts w:cstheme="minorHAnsi"/>
                <w:b/>
                <w:iCs/>
                <w:sz w:val="18"/>
                <w:szCs w:val="18"/>
              </w:rPr>
              <w:t xml:space="preserve"> sp. d [gracile, med toe(s)] </w:t>
            </w:r>
            <w:r w:rsidRPr="00591DF4">
              <w:rPr>
                <w:rFonts w:cstheme="minorHAnsi"/>
                <w:iCs/>
                <w:sz w:val="18"/>
                <w:szCs w:val="18"/>
              </w:rPr>
              <w:t>and</w:t>
            </w:r>
            <w:r w:rsidRPr="00591DF4">
              <w:rPr>
                <w:rFonts w:cstheme="minorHAnsi"/>
                <w:b/>
                <w:iCs/>
                <w:sz w:val="18"/>
                <w:szCs w:val="18"/>
              </w:rPr>
              <w:t xml:space="preserve"> </w:t>
            </w:r>
            <w:r w:rsidRPr="00591DF4">
              <w:rPr>
                <w:rFonts w:cstheme="minorHAnsi"/>
                <w:b/>
                <w:i/>
                <w:iCs/>
                <w:sz w:val="18"/>
                <w:szCs w:val="18"/>
              </w:rPr>
              <w:t>Asplanchna priodonta</w:t>
            </w:r>
            <w:r w:rsidRPr="00591DF4">
              <w:rPr>
                <w:rFonts w:cstheme="minorHAnsi"/>
                <w:b/>
                <w:iCs/>
                <w:sz w:val="18"/>
                <w:szCs w:val="18"/>
              </w:rPr>
              <w:t>.</w:t>
            </w:r>
          </w:p>
        </w:tc>
        <w:tc>
          <w:tcPr>
            <w:tcW w:w="662" w:type="pct"/>
            <w:shd w:val="clear" w:color="auto" w:fill="000000" w:themeFill="text1"/>
          </w:tcPr>
          <w:p w14:paraId="26151995" w14:textId="77777777" w:rsidR="001D06D5" w:rsidRPr="00591DF4" w:rsidRDefault="001D06D5" w:rsidP="00C365DC">
            <w:pPr>
              <w:spacing w:line="240" w:lineRule="auto"/>
              <w:contextualSpacing/>
              <w:rPr>
                <w:sz w:val="18"/>
                <w:szCs w:val="18"/>
                <w:highlight w:val="yellow"/>
              </w:rPr>
            </w:pPr>
          </w:p>
        </w:tc>
        <w:tc>
          <w:tcPr>
            <w:tcW w:w="612" w:type="pct"/>
          </w:tcPr>
          <w:p w14:paraId="12833556" w14:textId="77777777" w:rsidR="001D06D5" w:rsidRPr="00591DF4" w:rsidRDefault="001D06D5" w:rsidP="00C365DC">
            <w:pPr>
              <w:spacing w:line="240" w:lineRule="auto"/>
              <w:contextualSpacing/>
              <w:rPr>
                <w:sz w:val="18"/>
                <w:szCs w:val="18"/>
                <w:highlight w:val="yellow"/>
              </w:rPr>
            </w:pPr>
          </w:p>
        </w:tc>
        <w:tc>
          <w:tcPr>
            <w:tcW w:w="511" w:type="pct"/>
          </w:tcPr>
          <w:p w14:paraId="4EA1CD4D" w14:textId="77777777" w:rsidR="001D06D5" w:rsidRPr="00591DF4" w:rsidRDefault="001D06D5" w:rsidP="00C365DC">
            <w:pPr>
              <w:spacing w:line="240" w:lineRule="auto"/>
              <w:contextualSpacing/>
              <w:rPr>
                <w:sz w:val="18"/>
                <w:szCs w:val="18"/>
                <w:highlight w:val="yellow"/>
              </w:rPr>
            </w:pPr>
          </w:p>
        </w:tc>
      </w:tr>
      <w:tr w:rsidR="00202B00" w:rsidRPr="00591DF4" w14:paraId="160FBAFD" w14:textId="77777777" w:rsidTr="00202B00">
        <w:trPr>
          <w:cantSplit/>
          <w:trHeight w:val="794"/>
        </w:trPr>
        <w:tc>
          <w:tcPr>
            <w:tcW w:w="371" w:type="pct"/>
          </w:tcPr>
          <w:p w14:paraId="3936458B" w14:textId="77777777" w:rsidR="001D06D5" w:rsidRPr="00591DF4" w:rsidRDefault="001D06D5" w:rsidP="00C365DC">
            <w:pPr>
              <w:spacing w:line="240" w:lineRule="auto"/>
              <w:contextualSpacing/>
              <w:rPr>
                <w:sz w:val="18"/>
                <w:szCs w:val="18"/>
                <w:highlight w:val="yellow"/>
              </w:rPr>
            </w:pPr>
            <w:r w:rsidRPr="00591DF4">
              <w:rPr>
                <w:sz w:val="18"/>
                <w:szCs w:val="18"/>
              </w:rPr>
              <w:lastRenderedPageBreak/>
              <w:t>15-Dec</w:t>
            </w:r>
          </w:p>
        </w:tc>
        <w:tc>
          <w:tcPr>
            <w:tcW w:w="648" w:type="pct"/>
          </w:tcPr>
          <w:p w14:paraId="7216A602" w14:textId="77777777" w:rsidR="001D06D5" w:rsidRPr="00591DF4" w:rsidRDefault="001D06D5" w:rsidP="00C365DC">
            <w:pPr>
              <w:spacing w:line="240" w:lineRule="auto"/>
              <w:contextualSpacing/>
              <w:jc w:val="center"/>
              <w:rPr>
                <w:sz w:val="18"/>
                <w:szCs w:val="18"/>
              </w:rPr>
            </w:pPr>
            <w:r w:rsidRPr="00591DF4">
              <w:rPr>
                <w:sz w:val="18"/>
                <w:szCs w:val="18"/>
              </w:rPr>
              <w:t>62.05%</w:t>
            </w:r>
          </w:p>
          <w:p w14:paraId="69EB83A0" w14:textId="77777777" w:rsidR="001D06D5" w:rsidRPr="00591DF4" w:rsidRDefault="001D06D5" w:rsidP="00C365DC">
            <w:pPr>
              <w:spacing w:line="240" w:lineRule="auto"/>
              <w:contextualSpacing/>
              <w:rPr>
                <w:sz w:val="18"/>
                <w:szCs w:val="18"/>
                <w:highlight w:val="yellow"/>
              </w:rPr>
            </w:pPr>
            <w:r w:rsidRPr="00591DF4">
              <w:rPr>
                <w:rFonts w:cs="Calibri"/>
                <w:i/>
                <w:sz w:val="18"/>
                <w:szCs w:val="18"/>
              </w:rPr>
              <w:t>Filinia terminalis</w:t>
            </w:r>
            <w:r w:rsidRPr="00591DF4">
              <w:rPr>
                <w:rFonts w:cs="Calibri"/>
                <w:sz w:val="18"/>
                <w:szCs w:val="18"/>
              </w:rPr>
              <w:t xml:space="preserve">, </w:t>
            </w:r>
            <w:r w:rsidRPr="00591DF4">
              <w:rPr>
                <w:rFonts w:cs="Calibri"/>
                <w:b/>
                <w:i/>
                <w:sz w:val="18"/>
                <w:szCs w:val="18"/>
              </w:rPr>
              <w:t>Filinia pejleri</w:t>
            </w:r>
            <w:r w:rsidRPr="00591DF4">
              <w:rPr>
                <w:rFonts w:cs="Calibri"/>
                <w:sz w:val="18"/>
                <w:szCs w:val="18"/>
              </w:rPr>
              <w:t xml:space="preserve">, </w:t>
            </w:r>
            <w:r w:rsidRPr="00591DF4">
              <w:rPr>
                <w:rFonts w:cs="Calibri"/>
                <w:i/>
                <w:sz w:val="18"/>
                <w:szCs w:val="18"/>
              </w:rPr>
              <w:t>Hexarthra</w:t>
            </w:r>
            <w:r w:rsidRPr="00591DF4">
              <w:rPr>
                <w:rFonts w:cs="Calibri"/>
                <w:sz w:val="18"/>
                <w:szCs w:val="18"/>
              </w:rPr>
              <w:t xml:space="preserve"> sp. [?spp.], </w:t>
            </w:r>
            <w:r w:rsidRPr="00591DF4">
              <w:rPr>
                <w:rFonts w:cs="Calibri"/>
                <w:b/>
                <w:sz w:val="18"/>
                <w:szCs w:val="18"/>
              </w:rPr>
              <w:t>indet. glob. ciliate [sm]</w:t>
            </w:r>
            <w:r w:rsidRPr="00591DF4">
              <w:rPr>
                <w:rFonts w:cs="Calibri"/>
                <w:sz w:val="18"/>
                <w:szCs w:val="18"/>
              </w:rPr>
              <w:t xml:space="preserve">, </w:t>
            </w:r>
            <w:r w:rsidRPr="00591DF4">
              <w:rPr>
                <w:rFonts w:cs="Calibri"/>
                <w:i/>
                <w:sz w:val="18"/>
                <w:szCs w:val="18"/>
              </w:rPr>
              <w:t>Keratella tropica</w:t>
            </w:r>
            <w:r w:rsidRPr="00591DF4">
              <w:rPr>
                <w:rFonts w:cs="Calibri"/>
                <w:sz w:val="18"/>
                <w:szCs w:val="18"/>
              </w:rPr>
              <w:t xml:space="preserve">, </w:t>
            </w:r>
            <w:r w:rsidRPr="00591DF4">
              <w:rPr>
                <w:rFonts w:cs="Calibri"/>
                <w:i/>
                <w:sz w:val="18"/>
                <w:szCs w:val="18"/>
              </w:rPr>
              <w:t>Keratella javana</w:t>
            </w:r>
            <w:r w:rsidRPr="00591DF4">
              <w:rPr>
                <w:rFonts w:cs="Calibri"/>
                <w:sz w:val="18"/>
                <w:szCs w:val="18"/>
              </w:rPr>
              <w:t xml:space="preserve">, </w:t>
            </w:r>
            <w:r w:rsidRPr="00591DF4">
              <w:rPr>
                <w:rFonts w:cs="Calibri"/>
                <w:i/>
                <w:sz w:val="18"/>
                <w:szCs w:val="18"/>
              </w:rPr>
              <w:t>Polyarthra</w:t>
            </w:r>
            <w:r w:rsidRPr="00591DF4">
              <w:rPr>
                <w:rFonts w:cs="Calibri"/>
                <w:sz w:val="18"/>
                <w:szCs w:val="18"/>
              </w:rPr>
              <w:t xml:space="preserve"> sp. b [lg] and </w:t>
            </w:r>
            <w:r w:rsidRPr="00591DF4">
              <w:rPr>
                <w:rFonts w:cs="Calibri"/>
                <w:i/>
                <w:sz w:val="18"/>
                <w:szCs w:val="18"/>
              </w:rPr>
              <w:t>Polyarthra</w:t>
            </w:r>
            <w:r w:rsidRPr="00591DF4">
              <w:rPr>
                <w:rFonts w:cs="Calibri"/>
                <w:sz w:val="18"/>
                <w:szCs w:val="18"/>
              </w:rPr>
              <w:t xml:space="preserve"> sp. a [sm].</w:t>
            </w:r>
          </w:p>
        </w:tc>
        <w:tc>
          <w:tcPr>
            <w:tcW w:w="716" w:type="pct"/>
          </w:tcPr>
          <w:p w14:paraId="0B25765B" w14:textId="77777777" w:rsidR="001D06D5" w:rsidRPr="00591DF4" w:rsidRDefault="001D06D5" w:rsidP="00C365DC">
            <w:pPr>
              <w:spacing w:line="240" w:lineRule="auto"/>
              <w:contextualSpacing/>
              <w:jc w:val="center"/>
              <w:rPr>
                <w:rFonts w:cstheme="minorHAnsi"/>
                <w:iCs/>
                <w:sz w:val="18"/>
                <w:szCs w:val="18"/>
              </w:rPr>
            </w:pPr>
            <w:r w:rsidRPr="00591DF4">
              <w:rPr>
                <w:rFonts w:cstheme="minorHAnsi"/>
                <w:iCs/>
                <w:sz w:val="18"/>
                <w:szCs w:val="18"/>
              </w:rPr>
              <w:t>62.81%</w:t>
            </w:r>
          </w:p>
          <w:p w14:paraId="373A43BF" w14:textId="77777777" w:rsidR="001D06D5" w:rsidRPr="00591DF4" w:rsidRDefault="001D06D5" w:rsidP="00C365DC">
            <w:pPr>
              <w:spacing w:line="240" w:lineRule="auto"/>
              <w:contextualSpacing/>
              <w:rPr>
                <w:sz w:val="18"/>
                <w:szCs w:val="18"/>
                <w:highlight w:val="yellow"/>
              </w:rPr>
            </w:pPr>
            <w:r w:rsidRPr="00591DF4">
              <w:rPr>
                <w:rFonts w:cstheme="minorHAnsi"/>
                <w:i/>
                <w:iCs/>
                <w:sz w:val="18"/>
                <w:szCs w:val="18"/>
              </w:rPr>
              <w:t>Polyarthra</w:t>
            </w:r>
            <w:r w:rsidRPr="00591DF4">
              <w:rPr>
                <w:rFonts w:cstheme="minorHAnsi"/>
                <w:iCs/>
                <w:sz w:val="18"/>
                <w:szCs w:val="18"/>
              </w:rPr>
              <w:t xml:space="preserve"> sp. a [sm], </w:t>
            </w:r>
            <w:r w:rsidRPr="00591DF4">
              <w:rPr>
                <w:rFonts w:cstheme="minorHAnsi"/>
                <w:i/>
                <w:iCs/>
                <w:sz w:val="18"/>
                <w:szCs w:val="18"/>
              </w:rPr>
              <w:t>Trichocerc</w:t>
            </w:r>
            <w:r w:rsidRPr="00591DF4">
              <w:rPr>
                <w:rFonts w:cstheme="minorHAnsi"/>
                <w:iCs/>
                <w:sz w:val="18"/>
                <w:szCs w:val="18"/>
              </w:rPr>
              <w:t xml:space="preserve">a sp. c [long toe, med], </w:t>
            </w:r>
            <w:r w:rsidRPr="00591DF4">
              <w:rPr>
                <w:rFonts w:cstheme="minorHAnsi"/>
                <w:i/>
                <w:iCs/>
                <w:sz w:val="18"/>
                <w:szCs w:val="18"/>
              </w:rPr>
              <w:t>Filinia terminalis</w:t>
            </w:r>
            <w:r w:rsidRPr="00591DF4">
              <w:rPr>
                <w:rFonts w:cstheme="minorHAnsi"/>
                <w:iCs/>
                <w:sz w:val="18"/>
                <w:szCs w:val="18"/>
              </w:rPr>
              <w:t xml:space="preserve">, </w:t>
            </w:r>
            <w:r w:rsidRPr="00591DF4">
              <w:rPr>
                <w:rFonts w:cstheme="minorHAnsi"/>
                <w:i/>
                <w:iCs/>
                <w:sz w:val="18"/>
                <w:szCs w:val="18"/>
              </w:rPr>
              <w:t>Hexarthra</w:t>
            </w:r>
            <w:r w:rsidRPr="00591DF4">
              <w:rPr>
                <w:rFonts w:cstheme="minorHAnsi"/>
                <w:iCs/>
                <w:sz w:val="18"/>
                <w:szCs w:val="18"/>
              </w:rPr>
              <w:t xml:space="preserve"> sp. [?spp.], </w:t>
            </w:r>
            <w:r w:rsidRPr="00591DF4">
              <w:rPr>
                <w:rFonts w:cstheme="minorHAnsi"/>
                <w:i/>
                <w:iCs/>
                <w:sz w:val="18"/>
                <w:szCs w:val="18"/>
              </w:rPr>
              <w:t>Keratella tropica</w:t>
            </w:r>
            <w:r w:rsidRPr="00591DF4">
              <w:rPr>
                <w:rFonts w:cstheme="minorHAnsi"/>
                <w:iCs/>
                <w:sz w:val="18"/>
                <w:szCs w:val="18"/>
              </w:rPr>
              <w:t xml:space="preserve"> and </w:t>
            </w:r>
            <w:r w:rsidRPr="00591DF4">
              <w:rPr>
                <w:rFonts w:cstheme="minorHAnsi"/>
                <w:i/>
                <w:iCs/>
                <w:sz w:val="18"/>
                <w:szCs w:val="18"/>
              </w:rPr>
              <w:t>Keratella javana</w:t>
            </w:r>
            <w:r w:rsidRPr="00591DF4">
              <w:rPr>
                <w:rFonts w:cstheme="minorHAnsi"/>
                <w:iCs/>
                <w:sz w:val="18"/>
                <w:szCs w:val="18"/>
              </w:rPr>
              <w:t>.</w:t>
            </w:r>
          </w:p>
        </w:tc>
        <w:tc>
          <w:tcPr>
            <w:tcW w:w="714" w:type="pct"/>
          </w:tcPr>
          <w:p w14:paraId="5145C330" w14:textId="77777777" w:rsidR="001D06D5" w:rsidRPr="00591DF4" w:rsidRDefault="001D06D5" w:rsidP="00C365DC">
            <w:pPr>
              <w:spacing w:line="240" w:lineRule="auto"/>
              <w:contextualSpacing/>
              <w:jc w:val="center"/>
              <w:rPr>
                <w:rFonts w:cstheme="minorHAnsi"/>
                <w:iCs/>
                <w:sz w:val="18"/>
                <w:szCs w:val="18"/>
              </w:rPr>
            </w:pPr>
            <w:r w:rsidRPr="00591DF4">
              <w:rPr>
                <w:rFonts w:cstheme="minorHAnsi"/>
                <w:iCs/>
                <w:sz w:val="18"/>
                <w:szCs w:val="18"/>
              </w:rPr>
              <w:t>55.87%</w:t>
            </w:r>
          </w:p>
          <w:p w14:paraId="7C5DE93E" w14:textId="77777777" w:rsidR="001D06D5" w:rsidRPr="00591DF4" w:rsidRDefault="001D06D5" w:rsidP="00C365DC">
            <w:pPr>
              <w:spacing w:line="240" w:lineRule="auto"/>
              <w:contextualSpacing/>
              <w:rPr>
                <w:sz w:val="18"/>
                <w:szCs w:val="18"/>
                <w:highlight w:val="yellow"/>
              </w:rPr>
            </w:pPr>
            <w:r w:rsidRPr="00591DF4">
              <w:rPr>
                <w:rFonts w:cstheme="minorHAnsi"/>
                <w:i/>
                <w:iCs/>
                <w:sz w:val="18"/>
                <w:szCs w:val="18"/>
              </w:rPr>
              <w:t>Polyarthra</w:t>
            </w:r>
            <w:r w:rsidRPr="00591DF4">
              <w:rPr>
                <w:rFonts w:cstheme="minorHAnsi"/>
                <w:iCs/>
                <w:sz w:val="18"/>
                <w:szCs w:val="18"/>
              </w:rPr>
              <w:t xml:space="preserve"> sp. a [sm], </w:t>
            </w:r>
            <w:r w:rsidRPr="00591DF4">
              <w:rPr>
                <w:rFonts w:cstheme="minorHAnsi"/>
                <w:i/>
                <w:iCs/>
                <w:sz w:val="18"/>
                <w:szCs w:val="18"/>
              </w:rPr>
              <w:t>Filinia terminalis</w:t>
            </w:r>
            <w:r w:rsidRPr="00591DF4">
              <w:rPr>
                <w:rFonts w:cstheme="minorHAnsi"/>
                <w:iCs/>
                <w:sz w:val="18"/>
                <w:szCs w:val="18"/>
              </w:rPr>
              <w:t xml:space="preserve">, </w:t>
            </w:r>
            <w:r w:rsidRPr="00591DF4">
              <w:rPr>
                <w:rFonts w:cstheme="minorHAnsi"/>
                <w:i/>
                <w:iCs/>
                <w:sz w:val="18"/>
                <w:szCs w:val="18"/>
              </w:rPr>
              <w:t>Keratella tropica</w:t>
            </w:r>
            <w:r w:rsidRPr="00591DF4">
              <w:rPr>
                <w:rFonts w:cstheme="minorHAnsi"/>
                <w:iCs/>
                <w:sz w:val="18"/>
                <w:szCs w:val="18"/>
              </w:rPr>
              <w:t xml:space="preserve">, </w:t>
            </w:r>
            <w:r w:rsidRPr="00591DF4">
              <w:rPr>
                <w:rFonts w:cstheme="minorHAnsi"/>
                <w:b/>
                <w:i/>
                <w:iCs/>
                <w:sz w:val="18"/>
                <w:szCs w:val="18"/>
              </w:rPr>
              <w:t>Cephalodella catellina</w:t>
            </w:r>
            <w:r w:rsidRPr="00591DF4">
              <w:rPr>
                <w:rFonts w:cstheme="minorHAnsi"/>
                <w:b/>
                <w:iCs/>
                <w:sz w:val="18"/>
                <w:szCs w:val="18"/>
              </w:rPr>
              <w:t xml:space="preserve">, </w:t>
            </w:r>
            <w:r w:rsidRPr="00591DF4">
              <w:rPr>
                <w:rFonts w:cstheme="minorHAnsi"/>
                <w:b/>
                <w:i/>
                <w:iCs/>
                <w:sz w:val="18"/>
                <w:szCs w:val="18"/>
              </w:rPr>
              <w:t>Synchaeta pectinata</w:t>
            </w:r>
            <w:r w:rsidRPr="00591DF4">
              <w:rPr>
                <w:rFonts w:cstheme="minorHAnsi"/>
                <w:b/>
                <w:iCs/>
                <w:sz w:val="18"/>
                <w:szCs w:val="18"/>
              </w:rPr>
              <w:t xml:space="preserve"> [med-lg]</w:t>
            </w:r>
            <w:r w:rsidRPr="00591DF4">
              <w:rPr>
                <w:rFonts w:cstheme="minorHAnsi"/>
                <w:iCs/>
                <w:sz w:val="18"/>
                <w:szCs w:val="18"/>
              </w:rPr>
              <w:t xml:space="preserve">, </w:t>
            </w:r>
            <w:r w:rsidRPr="00591DF4">
              <w:rPr>
                <w:rFonts w:cstheme="minorHAnsi"/>
                <w:i/>
                <w:iCs/>
                <w:sz w:val="18"/>
                <w:szCs w:val="18"/>
              </w:rPr>
              <w:t>Hexarthra</w:t>
            </w:r>
            <w:r w:rsidRPr="00591DF4">
              <w:rPr>
                <w:rFonts w:cstheme="minorHAnsi"/>
                <w:iCs/>
                <w:sz w:val="18"/>
                <w:szCs w:val="18"/>
              </w:rPr>
              <w:t xml:space="preserve"> sp. [?spp.] and </w:t>
            </w:r>
            <w:r w:rsidRPr="00591DF4">
              <w:rPr>
                <w:rFonts w:cstheme="minorHAnsi"/>
                <w:b/>
                <w:i/>
                <w:iCs/>
                <w:sz w:val="18"/>
                <w:szCs w:val="18"/>
              </w:rPr>
              <w:t>Brachionus calyciflorus amphiceros</w:t>
            </w:r>
            <w:r w:rsidRPr="00591DF4">
              <w:rPr>
                <w:rFonts w:cstheme="minorHAnsi"/>
                <w:iCs/>
                <w:sz w:val="18"/>
                <w:szCs w:val="18"/>
              </w:rPr>
              <w:t>.</w:t>
            </w:r>
          </w:p>
        </w:tc>
        <w:tc>
          <w:tcPr>
            <w:tcW w:w="765" w:type="pct"/>
          </w:tcPr>
          <w:p w14:paraId="39C9E370" w14:textId="77777777" w:rsidR="001D06D5" w:rsidRPr="00591DF4" w:rsidRDefault="001D06D5" w:rsidP="00C365DC">
            <w:pPr>
              <w:spacing w:line="240" w:lineRule="auto"/>
              <w:contextualSpacing/>
              <w:jc w:val="center"/>
              <w:rPr>
                <w:rFonts w:cstheme="minorHAnsi"/>
                <w:iCs/>
                <w:sz w:val="18"/>
                <w:szCs w:val="18"/>
              </w:rPr>
            </w:pPr>
            <w:r w:rsidRPr="00591DF4">
              <w:rPr>
                <w:rFonts w:cstheme="minorHAnsi"/>
                <w:iCs/>
                <w:sz w:val="18"/>
                <w:szCs w:val="18"/>
              </w:rPr>
              <w:t>44.52%</w:t>
            </w:r>
          </w:p>
          <w:p w14:paraId="11271988" w14:textId="77777777" w:rsidR="001D06D5" w:rsidRPr="00591DF4" w:rsidRDefault="001D06D5" w:rsidP="00C365DC">
            <w:pPr>
              <w:spacing w:line="240" w:lineRule="auto"/>
              <w:contextualSpacing/>
              <w:rPr>
                <w:sz w:val="18"/>
                <w:szCs w:val="18"/>
                <w:highlight w:val="yellow"/>
              </w:rPr>
            </w:pPr>
            <w:r w:rsidRPr="00591DF4">
              <w:rPr>
                <w:rFonts w:cstheme="minorHAnsi"/>
                <w:i/>
                <w:sz w:val="18"/>
                <w:szCs w:val="18"/>
              </w:rPr>
              <w:t>Filinia terminalis</w:t>
            </w:r>
            <w:r w:rsidRPr="00591DF4">
              <w:rPr>
                <w:rFonts w:cstheme="minorHAnsi"/>
                <w:sz w:val="18"/>
                <w:szCs w:val="18"/>
              </w:rPr>
              <w:t xml:space="preserve">, </w:t>
            </w:r>
            <w:r w:rsidRPr="00591DF4">
              <w:rPr>
                <w:rFonts w:cstheme="minorHAnsi"/>
                <w:i/>
                <w:sz w:val="18"/>
                <w:szCs w:val="18"/>
              </w:rPr>
              <w:t>Keratella javana</w:t>
            </w:r>
            <w:r w:rsidRPr="00591DF4">
              <w:rPr>
                <w:rFonts w:cstheme="minorHAnsi"/>
                <w:sz w:val="18"/>
                <w:szCs w:val="18"/>
              </w:rPr>
              <w:t xml:space="preserve">, </w:t>
            </w:r>
            <w:r w:rsidRPr="00591DF4">
              <w:rPr>
                <w:rFonts w:cstheme="minorHAnsi"/>
                <w:i/>
                <w:sz w:val="18"/>
                <w:szCs w:val="18"/>
              </w:rPr>
              <w:t>Keratella lenzi</w:t>
            </w:r>
            <w:r w:rsidRPr="00591DF4">
              <w:rPr>
                <w:rFonts w:cstheme="minorHAnsi"/>
                <w:sz w:val="18"/>
                <w:szCs w:val="18"/>
              </w:rPr>
              <w:t xml:space="preserve">, cyclopoid nauplii, </w:t>
            </w:r>
            <w:r w:rsidRPr="00591DF4">
              <w:rPr>
                <w:rFonts w:cstheme="minorHAnsi"/>
                <w:b/>
                <w:i/>
                <w:sz w:val="18"/>
                <w:szCs w:val="18"/>
              </w:rPr>
              <w:t>Synchaeta</w:t>
            </w:r>
            <w:r w:rsidRPr="00591DF4">
              <w:rPr>
                <w:rFonts w:cstheme="minorHAnsi"/>
                <w:b/>
                <w:sz w:val="18"/>
                <w:szCs w:val="18"/>
              </w:rPr>
              <w:t xml:space="preserve"> sp. c [tiny], </w:t>
            </w:r>
            <w:r w:rsidRPr="00591DF4">
              <w:rPr>
                <w:rFonts w:cstheme="minorHAnsi"/>
                <w:b/>
                <w:i/>
                <w:sz w:val="18"/>
                <w:szCs w:val="18"/>
              </w:rPr>
              <w:t>Trichocerca similis</w:t>
            </w:r>
            <w:r w:rsidRPr="00591DF4">
              <w:rPr>
                <w:rFonts w:cstheme="minorHAnsi"/>
                <w:b/>
                <w:sz w:val="18"/>
                <w:szCs w:val="18"/>
              </w:rPr>
              <w:t xml:space="preserve">, indet. glob. ciliate [sm], </w:t>
            </w:r>
            <w:r w:rsidRPr="00591DF4">
              <w:rPr>
                <w:rFonts w:cstheme="minorHAnsi"/>
                <w:b/>
                <w:i/>
                <w:sz w:val="18"/>
                <w:szCs w:val="18"/>
              </w:rPr>
              <w:t>Asplanchna priodonta</w:t>
            </w:r>
            <w:r w:rsidRPr="00591DF4">
              <w:rPr>
                <w:rFonts w:cstheme="minorHAnsi"/>
                <w:b/>
                <w:sz w:val="18"/>
                <w:szCs w:val="18"/>
              </w:rPr>
              <w:t xml:space="preserve"> </w:t>
            </w:r>
            <w:r w:rsidRPr="00591DF4">
              <w:rPr>
                <w:rFonts w:cstheme="minorHAnsi"/>
                <w:sz w:val="18"/>
                <w:szCs w:val="18"/>
              </w:rPr>
              <w:t>and</w:t>
            </w:r>
            <w:r w:rsidRPr="00591DF4">
              <w:rPr>
                <w:rFonts w:cstheme="minorHAnsi"/>
                <w:b/>
                <w:sz w:val="18"/>
                <w:szCs w:val="18"/>
              </w:rPr>
              <w:t xml:space="preserve"> </w:t>
            </w:r>
            <w:r w:rsidRPr="00591DF4">
              <w:rPr>
                <w:rFonts w:cstheme="minorHAnsi"/>
                <w:b/>
                <w:i/>
                <w:sz w:val="18"/>
                <w:szCs w:val="18"/>
              </w:rPr>
              <w:t>Synchaeta pectinata</w:t>
            </w:r>
            <w:r w:rsidRPr="00591DF4">
              <w:rPr>
                <w:rFonts w:cstheme="minorHAnsi"/>
                <w:b/>
                <w:sz w:val="18"/>
                <w:szCs w:val="18"/>
              </w:rPr>
              <w:t xml:space="preserve"> [med-lg]</w:t>
            </w:r>
            <w:r w:rsidRPr="00591DF4">
              <w:rPr>
                <w:rFonts w:cstheme="minorHAnsi"/>
                <w:sz w:val="18"/>
                <w:szCs w:val="18"/>
              </w:rPr>
              <w:t>.</w:t>
            </w:r>
          </w:p>
        </w:tc>
        <w:tc>
          <w:tcPr>
            <w:tcW w:w="662" w:type="pct"/>
          </w:tcPr>
          <w:p w14:paraId="240B21B8" w14:textId="77777777" w:rsidR="001D06D5" w:rsidRPr="00591DF4" w:rsidRDefault="001D06D5" w:rsidP="00C365DC">
            <w:pPr>
              <w:spacing w:line="240" w:lineRule="auto"/>
              <w:contextualSpacing/>
              <w:jc w:val="center"/>
              <w:rPr>
                <w:rFonts w:cstheme="minorHAnsi"/>
                <w:iCs/>
                <w:sz w:val="18"/>
                <w:szCs w:val="18"/>
              </w:rPr>
            </w:pPr>
            <w:r w:rsidRPr="00591DF4">
              <w:rPr>
                <w:rFonts w:cstheme="minorHAnsi"/>
                <w:iCs/>
                <w:sz w:val="18"/>
                <w:szCs w:val="18"/>
              </w:rPr>
              <w:t>39.33%</w:t>
            </w:r>
          </w:p>
          <w:p w14:paraId="5A1942DE" w14:textId="77777777" w:rsidR="001D06D5" w:rsidRPr="00591DF4" w:rsidRDefault="001D06D5" w:rsidP="00C365DC">
            <w:pPr>
              <w:spacing w:line="240" w:lineRule="auto"/>
              <w:contextualSpacing/>
              <w:rPr>
                <w:sz w:val="18"/>
                <w:szCs w:val="18"/>
              </w:rPr>
            </w:pPr>
            <w:r w:rsidRPr="00591DF4">
              <w:rPr>
                <w:rFonts w:cstheme="minorHAnsi"/>
                <w:i/>
                <w:sz w:val="18"/>
                <w:szCs w:val="18"/>
              </w:rPr>
              <w:t>Hexarthra</w:t>
            </w:r>
            <w:r w:rsidRPr="00591DF4">
              <w:rPr>
                <w:rFonts w:cstheme="minorHAnsi"/>
                <w:sz w:val="18"/>
                <w:szCs w:val="18"/>
              </w:rPr>
              <w:t xml:space="preserve"> sp. [?spp.], </w:t>
            </w:r>
            <w:r w:rsidRPr="00591DF4">
              <w:rPr>
                <w:rFonts w:cstheme="minorHAnsi"/>
                <w:i/>
                <w:sz w:val="18"/>
                <w:szCs w:val="18"/>
              </w:rPr>
              <w:t>Keratella javana</w:t>
            </w:r>
            <w:r w:rsidRPr="00591DF4">
              <w:rPr>
                <w:rFonts w:cstheme="minorHAnsi"/>
                <w:sz w:val="18"/>
                <w:szCs w:val="18"/>
              </w:rPr>
              <w:t xml:space="preserve">, </w:t>
            </w:r>
            <w:r w:rsidRPr="00591DF4">
              <w:rPr>
                <w:rFonts w:cstheme="minorHAnsi"/>
                <w:i/>
                <w:sz w:val="18"/>
                <w:szCs w:val="18"/>
              </w:rPr>
              <w:t>Conochilus</w:t>
            </w:r>
            <w:r w:rsidRPr="00591DF4">
              <w:rPr>
                <w:rFonts w:cstheme="minorHAnsi"/>
                <w:sz w:val="18"/>
                <w:szCs w:val="18"/>
              </w:rPr>
              <w:t xml:space="preserve"> sp. b [lg], </w:t>
            </w:r>
            <w:r w:rsidRPr="00591DF4">
              <w:rPr>
                <w:rFonts w:cstheme="minorHAnsi"/>
                <w:i/>
                <w:sz w:val="18"/>
                <w:szCs w:val="18"/>
              </w:rPr>
              <w:t>Keratella lenzi</w:t>
            </w:r>
            <w:r w:rsidRPr="00591DF4">
              <w:rPr>
                <w:rFonts w:cstheme="minorHAnsi"/>
                <w:sz w:val="18"/>
                <w:szCs w:val="18"/>
              </w:rPr>
              <w:t xml:space="preserve">, </w:t>
            </w:r>
            <w:r w:rsidRPr="00591DF4">
              <w:rPr>
                <w:rFonts w:cstheme="minorHAnsi"/>
                <w:b/>
                <w:i/>
                <w:sz w:val="18"/>
                <w:szCs w:val="18"/>
              </w:rPr>
              <w:t>Filinia terminalis</w:t>
            </w:r>
            <w:r w:rsidRPr="00591DF4">
              <w:rPr>
                <w:rFonts w:cstheme="minorHAnsi"/>
                <w:sz w:val="18"/>
                <w:szCs w:val="18"/>
              </w:rPr>
              <w:t xml:space="preserve">, </w:t>
            </w:r>
            <w:r w:rsidRPr="00591DF4">
              <w:rPr>
                <w:rFonts w:cstheme="minorHAnsi"/>
                <w:i/>
                <w:sz w:val="18"/>
                <w:szCs w:val="18"/>
              </w:rPr>
              <w:t>Trichocerca</w:t>
            </w:r>
            <w:r w:rsidRPr="00591DF4">
              <w:rPr>
                <w:rFonts w:cstheme="minorHAnsi"/>
                <w:sz w:val="18"/>
                <w:szCs w:val="18"/>
              </w:rPr>
              <w:t xml:space="preserve"> sp. d [gracile, med toe(s)], </w:t>
            </w:r>
            <w:r w:rsidRPr="00591DF4">
              <w:rPr>
                <w:rFonts w:cstheme="minorHAnsi"/>
                <w:i/>
                <w:sz w:val="18"/>
                <w:szCs w:val="18"/>
              </w:rPr>
              <w:t>Filinia australiensis</w:t>
            </w:r>
            <w:r w:rsidRPr="00591DF4">
              <w:rPr>
                <w:rFonts w:cstheme="minorHAnsi"/>
                <w:sz w:val="18"/>
                <w:szCs w:val="18"/>
              </w:rPr>
              <w:t xml:space="preserve">, </w:t>
            </w:r>
            <w:r w:rsidRPr="00591DF4">
              <w:rPr>
                <w:rFonts w:cstheme="minorHAnsi"/>
                <w:b/>
                <w:i/>
                <w:sz w:val="18"/>
                <w:szCs w:val="18"/>
              </w:rPr>
              <w:t xml:space="preserve">Synchaeta pectinata </w:t>
            </w:r>
            <w:r w:rsidRPr="00591DF4">
              <w:rPr>
                <w:rFonts w:cstheme="minorHAnsi"/>
                <w:b/>
                <w:sz w:val="18"/>
                <w:szCs w:val="18"/>
              </w:rPr>
              <w:t>[med-lg]</w:t>
            </w:r>
            <w:r w:rsidRPr="00591DF4">
              <w:rPr>
                <w:rFonts w:cstheme="minorHAnsi"/>
                <w:sz w:val="18"/>
                <w:szCs w:val="18"/>
              </w:rPr>
              <w:t xml:space="preserve"> and </w:t>
            </w:r>
            <w:r w:rsidRPr="00591DF4">
              <w:rPr>
                <w:rFonts w:cstheme="minorHAnsi"/>
                <w:i/>
                <w:sz w:val="18"/>
                <w:szCs w:val="18"/>
              </w:rPr>
              <w:t>Trichocerca similis grandis</w:t>
            </w:r>
            <w:r w:rsidRPr="00591DF4">
              <w:rPr>
                <w:rFonts w:cstheme="minorHAnsi"/>
                <w:sz w:val="18"/>
                <w:szCs w:val="18"/>
              </w:rPr>
              <w:t xml:space="preserve">. </w:t>
            </w:r>
          </w:p>
        </w:tc>
        <w:tc>
          <w:tcPr>
            <w:tcW w:w="612" w:type="pct"/>
            <w:shd w:val="clear" w:color="auto" w:fill="000000" w:themeFill="text1"/>
          </w:tcPr>
          <w:p w14:paraId="1627333D" w14:textId="77777777" w:rsidR="001D06D5" w:rsidRPr="00591DF4" w:rsidRDefault="001D06D5" w:rsidP="00C365DC">
            <w:pPr>
              <w:spacing w:line="240" w:lineRule="auto"/>
              <w:contextualSpacing/>
              <w:rPr>
                <w:sz w:val="18"/>
                <w:szCs w:val="18"/>
              </w:rPr>
            </w:pPr>
          </w:p>
        </w:tc>
        <w:tc>
          <w:tcPr>
            <w:tcW w:w="511" w:type="pct"/>
            <w:shd w:val="clear" w:color="auto" w:fill="auto"/>
          </w:tcPr>
          <w:p w14:paraId="78E576E9" w14:textId="77777777" w:rsidR="001D06D5" w:rsidRPr="00591DF4" w:rsidRDefault="001D06D5" w:rsidP="00C365DC">
            <w:pPr>
              <w:spacing w:line="240" w:lineRule="auto"/>
              <w:contextualSpacing/>
              <w:rPr>
                <w:sz w:val="18"/>
                <w:szCs w:val="18"/>
              </w:rPr>
            </w:pPr>
          </w:p>
        </w:tc>
      </w:tr>
      <w:tr w:rsidR="00202B00" w:rsidRPr="00591DF4" w14:paraId="6070326B" w14:textId="77777777" w:rsidTr="00202B00">
        <w:trPr>
          <w:cantSplit/>
          <w:trHeight w:val="794"/>
        </w:trPr>
        <w:tc>
          <w:tcPr>
            <w:tcW w:w="371" w:type="pct"/>
          </w:tcPr>
          <w:p w14:paraId="74853693" w14:textId="77777777" w:rsidR="001D06D5" w:rsidRPr="00591DF4" w:rsidRDefault="001D06D5" w:rsidP="00C365DC">
            <w:pPr>
              <w:spacing w:line="240" w:lineRule="auto"/>
              <w:contextualSpacing/>
              <w:rPr>
                <w:sz w:val="18"/>
                <w:szCs w:val="18"/>
                <w:highlight w:val="yellow"/>
              </w:rPr>
            </w:pPr>
            <w:r w:rsidRPr="00591DF4">
              <w:rPr>
                <w:sz w:val="18"/>
                <w:szCs w:val="18"/>
              </w:rPr>
              <w:t>5-Jan</w:t>
            </w:r>
          </w:p>
        </w:tc>
        <w:tc>
          <w:tcPr>
            <w:tcW w:w="648" w:type="pct"/>
          </w:tcPr>
          <w:p w14:paraId="358BAE39" w14:textId="77777777" w:rsidR="001D06D5" w:rsidRPr="00591DF4" w:rsidRDefault="001D06D5" w:rsidP="00C365DC">
            <w:pPr>
              <w:spacing w:line="240" w:lineRule="auto"/>
              <w:contextualSpacing/>
              <w:jc w:val="center"/>
              <w:rPr>
                <w:sz w:val="18"/>
                <w:szCs w:val="18"/>
              </w:rPr>
            </w:pPr>
            <w:r w:rsidRPr="00591DF4">
              <w:rPr>
                <w:sz w:val="18"/>
                <w:szCs w:val="18"/>
              </w:rPr>
              <w:t>67.63%</w:t>
            </w:r>
          </w:p>
          <w:p w14:paraId="4AA78E42" w14:textId="77777777" w:rsidR="001D06D5" w:rsidRPr="00591DF4" w:rsidRDefault="001D06D5" w:rsidP="00C365DC">
            <w:pPr>
              <w:spacing w:line="240" w:lineRule="auto"/>
              <w:contextualSpacing/>
              <w:rPr>
                <w:sz w:val="18"/>
                <w:szCs w:val="18"/>
                <w:highlight w:val="yellow"/>
              </w:rPr>
            </w:pPr>
            <w:r w:rsidRPr="00591DF4">
              <w:rPr>
                <w:rFonts w:cs="Calibri"/>
                <w:i/>
                <w:sz w:val="18"/>
                <w:szCs w:val="18"/>
              </w:rPr>
              <w:t>Keratella lenzi</w:t>
            </w:r>
            <w:r w:rsidRPr="00591DF4">
              <w:rPr>
                <w:rFonts w:cs="Calibri"/>
                <w:sz w:val="18"/>
                <w:szCs w:val="18"/>
              </w:rPr>
              <w:t xml:space="preserve">, </w:t>
            </w:r>
            <w:r w:rsidRPr="00591DF4">
              <w:rPr>
                <w:rFonts w:cs="Calibri"/>
                <w:b/>
                <w:sz w:val="18"/>
                <w:szCs w:val="18"/>
              </w:rPr>
              <w:t xml:space="preserve">indet. glob. ciliate [sm], </w:t>
            </w:r>
            <w:r w:rsidRPr="00591DF4">
              <w:rPr>
                <w:rFonts w:cs="Calibri"/>
                <w:b/>
                <w:i/>
                <w:sz w:val="18"/>
                <w:szCs w:val="18"/>
              </w:rPr>
              <w:t>Filinia pejleri</w:t>
            </w:r>
            <w:r w:rsidRPr="00591DF4">
              <w:rPr>
                <w:rFonts w:cs="Calibri"/>
                <w:sz w:val="18"/>
                <w:szCs w:val="18"/>
              </w:rPr>
              <w:t xml:space="preserve">, </w:t>
            </w:r>
            <w:r w:rsidRPr="00591DF4">
              <w:rPr>
                <w:rFonts w:cs="Calibri"/>
                <w:i/>
                <w:sz w:val="18"/>
                <w:szCs w:val="18"/>
              </w:rPr>
              <w:t>Filinia terminalis</w:t>
            </w:r>
            <w:r w:rsidRPr="00591DF4">
              <w:rPr>
                <w:rFonts w:cs="Calibri"/>
                <w:sz w:val="18"/>
                <w:szCs w:val="18"/>
              </w:rPr>
              <w:t xml:space="preserve">, </w:t>
            </w:r>
            <w:r w:rsidRPr="00591DF4">
              <w:rPr>
                <w:rFonts w:cs="Calibri"/>
                <w:i/>
                <w:sz w:val="18"/>
                <w:szCs w:val="18"/>
              </w:rPr>
              <w:t>Keratella javana</w:t>
            </w:r>
            <w:r w:rsidRPr="00591DF4">
              <w:rPr>
                <w:rFonts w:cs="Calibri"/>
                <w:sz w:val="18"/>
                <w:szCs w:val="18"/>
              </w:rPr>
              <w:t xml:space="preserve">, </w:t>
            </w:r>
            <w:r w:rsidRPr="00591DF4">
              <w:rPr>
                <w:rFonts w:cs="Calibri"/>
                <w:i/>
                <w:sz w:val="18"/>
                <w:szCs w:val="18"/>
              </w:rPr>
              <w:t>Trichocerca</w:t>
            </w:r>
            <w:r w:rsidRPr="00591DF4">
              <w:rPr>
                <w:rFonts w:cs="Calibri"/>
                <w:sz w:val="18"/>
                <w:szCs w:val="18"/>
              </w:rPr>
              <w:t xml:space="preserve"> sp. c [long toe, med], </w:t>
            </w:r>
            <w:r w:rsidRPr="00591DF4">
              <w:rPr>
                <w:rFonts w:cs="Calibri"/>
                <w:i/>
                <w:sz w:val="18"/>
                <w:szCs w:val="18"/>
              </w:rPr>
              <w:t>Hexarthra</w:t>
            </w:r>
            <w:r w:rsidRPr="00591DF4">
              <w:rPr>
                <w:rFonts w:cs="Calibri"/>
                <w:sz w:val="18"/>
                <w:szCs w:val="18"/>
              </w:rPr>
              <w:t xml:space="preserve"> sp. [?spp. and </w:t>
            </w:r>
            <w:r w:rsidRPr="00591DF4">
              <w:rPr>
                <w:rFonts w:cs="Calibri"/>
                <w:i/>
                <w:sz w:val="18"/>
                <w:szCs w:val="18"/>
              </w:rPr>
              <w:t>Keratella tropica</w:t>
            </w:r>
            <w:r w:rsidRPr="00591DF4">
              <w:rPr>
                <w:rFonts w:cs="Calibri"/>
                <w:sz w:val="18"/>
                <w:szCs w:val="18"/>
              </w:rPr>
              <w:t>.</w:t>
            </w:r>
          </w:p>
        </w:tc>
        <w:tc>
          <w:tcPr>
            <w:tcW w:w="716" w:type="pct"/>
          </w:tcPr>
          <w:p w14:paraId="190953BE" w14:textId="77777777" w:rsidR="001D06D5" w:rsidRPr="00591DF4" w:rsidRDefault="001D06D5" w:rsidP="00C365DC">
            <w:pPr>
              <w:spacing w:line="240" w:lineRule="auto"/>
              <w:contextualSpacing/>
              <w:jc w:val="center"/>
              <w:rPr>
                <w:sz w:val="18"/>
                <w:szCs w:val="18"/>
              </w:rPr>
            </w:pPr>
            <w:r w:rsidRPr="00591DF4">
              <w:rPr>
                <w:sz w:val="18"/>
                <w:szCs w:val="18"/>
              </w:rPr>
              <w:t>69.74%</w:t>
            </w:r>
          </w:p>
          <w:p w14:paraId="15DE6ABB" w14:textId="77777777" w:rsidR="001D06D5" w:rsidRPr="00591DF4" w:rsidRDefault="001D06D5" w:rsidP="00C365DC">
            <w:pPr>
              <w:spacing w:line="240" w:lineRule="auto"/>
              <w:contextualSpacing/>
              <w:rPr>
                <w:rFonts w:cstheme="minorHAnsi"/>
                <w:iCs/>
                <w:sz w:val="18"/>
                <w:szCs w:val="18"/>
                <w:highlight w:val="yellow"/>
              </w:rPr>
            </w:pPr>
            <w:r w:rsidRPr="00591DF4">
              <w:rPr>
                <w:rFonts w:cs="Calibri"/>
                <w:i/>
                <w:sz w:val="18"/>
                <w:szCs w:val="18"/>
              </w:rPr>
              <w:t>Trichocerca</w:t>
            </w:r>
            <w:r w:rsidRPr="00591DF4">
              <w:rPr>
                <w:rFonts w:cs="Calibri"/>
                <w:sz w:val="18"/>
                <w:szCs w:val="18"/>
              </w:rPr>
              <w:t xml:space="preserve"> sp. c [long toe, med], </w:t>
            </w:r>
            <w:r w:rsidRPr="00591DF4">
              <w:rPr>
                <w:rFonts w:cs="Calibri"/>
                <w:i/>
                <w:sz w:val="18"/>
                <w:szCs w:val="18"/>
              </w:rPr>
              <w:t>Keratella lenzi</w:t>
            </w:r>
            <w:r w:rsidRPr="00591DF4">
              <w:rPr>
                <w:rFonts w:cs="Calibri"/>
                <w:sz w:val="18"/>
                <w:szCs w:val="18"/>
              </w:rPr>
              <w:t xml:space="preserve">, </w:t>
            </w:r>
            <w:r w:rsidRPr="00591DF4">
              <w:rPr>
                <w:rFonts w:cs="Calibri"/>
                <w:i/>
                <w:sz w:val="18"/>
                <w:szCs w:val="18"/>
              </w:rPr>
              <w:t>Polyarthr</w:t>
            </w:r>
            <w:r w:rsidRPr="00591DF4">
              <w:rPr>
                <w:rFonts w:cs="Calibri"/>
                <w:sz w:val="18"/>
                <w:szCs w:val="18"/>
              </w:rPr>
              <w:t xml:space="preserve">a sp. a [sm], </w:t>
            </w:r>
            <w:r w:rsidRPr="00591DF4">
              <w:rPr>
                <w:rFonts w:cs="Calibri"/>
                <w:i/>
                <w:sz w:val="18"/>
                <w:szCs w:val="18"/>
              </w:rPr>
              <w:t>Filinia terminalis</w:t>
            </w:r>
            <w:r w:rsidRPr="00591DF4">
              <w:rPr>
                <w:rFonts w:cs="Calibri"/>
                <w:sz w:val="18"/>
                <w:szCs w:val="18"/>
              </w:rPr>
              <w:t xml:space="preserve">, </w:t>
            </w:r>
            <w:r w:rsidRPr="00591DF4">
              <w:rPr>
                <w:rFonts w:cs="Calibri"/>
                <w:i/>
                <w:sz w:val="18"/>
                <w:szCs w:val="18"/>
              </w:rPr>
              <w:t xml:space="preserve">Keratella javana </w:t>
            </w:r>
            <w:r w:rsidRPr="00591DF4">
              <w:rPr>
                <w:rFonts w:cs="Calibri"/>
                <w:sz w:val="18"/>
                <w:szCs w:val="18"/>
              </w:rPr>
              <w:t xml:space="preserve">and </w:t>
            </w:r>
            <w:r w:rsidRPr="00591DF4">
              <w:rPr>
                <w:rFonts w:cs="Calibri"/>
                <w:i/>
                <w:sz w:val="18"/>
                <w:szCs w:val="18"/>
              </w:rPr>
              <w:t>Hexarthra</w:t>
            </w:r>
            <w:r w:rsidRPr="00591DF4">
              <w:rPr>
                <w:rFonts w:cs="Calibri"/>
                <w:sz w:val="18"/>
                <w:szCs w:val="18"/>
              </w:rPr>
              <w:t xml:space="preserve"> sp. [?spp.].</w:t>
            </w:r>
          </w:p>
        </w:tc>
        <w:tc>
          <w:tcPr>
            <w:tcW w:w="714" w:type="pct"/>
          </w:tcPr>
          <w:p w14:paraId="10B13F16" w14:textId="77777777" w:rsidR="001D06D5" w:rsidRPr="00591DF4" w:rsidRDefault="001D06D5" w:rsidP="00C365DC">
            <w:pPr>
              <w:spacing w:line="240" w:lineRule="auto"/>
              <w:contextualSpacing/>
              <w:jc w:val="center"/>
              <w:rPr>
                <w:sz w:val="18"/>
                <w:szCs w:val="18"/>
              </w:rPr>
            </w:pPr>
            <w:r w:rsidRPr="00591DF4">
              <w:rPr>
                <w:sz w:val="18"/>
                <w:szCs w:val="18"/>
              </w:rPr>
              <w:t>60.18%</w:t>
            </w:r>
          </w:p>
          <w:p w14:paraId="7ACDD67A" w14:textId="77777777" w:rsidR="001D06D5" w:rsidRPr="00591DF4" w:rsidRDefault="001D06D5" w:rsidP="00C365DC">
            <w:pPr>
              <w:spacing w:line="240" w:lineRule="auto"/>
              <w:contextualSpacing/>
              <w:rPr>
                <w:rFonts w:cstheme="minorHAnsi"/>
                <w:iCs/>
                <w:sz w:val="18"/>
                <w:szCs w:val="18"/>
                <w:highlight w:val="yellow"/>
              </w:rPr>
            </w:pPr>
            <w:r w:rsidRPr="00591DF4">
              <w:rPr>
                <w:rFonts w:cs="Calibri"/>
                <w:i/>
                <w:sz w:val="18"/>
                <w:szCs w:val="18"/>
              </w:rPr>
              <w:t>Keratella lenzi</w:t>
            </w:r>
            <w:r w:rsidRPr="00591DF4">
              <w:rPr>
                <w:rFonts w:cs="Calibri"/>
                <w:sz w:val="18"/>
                <w:szCs w:val="18"/>
              </w:rPr>
              <w:t xml:space="preserve">, </w:t>
            </w:r>
            <w:r w:rsidRPr="00591DF4">
              <w:rPr>
                <w:rFonts w:cs="Calibri"/>
                <w:b/>
                <w:i/>
                <w:sz w:val="18"/>
                <w:szCs w:val="18"/>
              </w:rPr>
              <w:t>Synchaeta</w:t>
            </w:r>
            <w:r w:rsidRPr="00591DF4">
              <w:rPr>
                <w:rFonts w:cs="Calibri"/>
                <w:b/>
                <w:sz w:val="18"/>
                <w:szCs w:val="18"/>
              </w:rPr>
              <w:t xml:space="preserve"> sp. b [sm., cf. oblonga]</w:t>
            </w:r>
            <w:r w:rsidRPr="00591DF4">
              <w:rPr>
                <w:rFonts w:cs="Calibri"/>
                <w:sz w:val="18"/>
                <w:szCs w:val="18"/>
              </w:rPr>
              <w:t xml:space="preserve">, </w:t>
            </w:r>
            <w:r w:rsidRPr="00591DF4">
              <w:rPr>
                <w:rFonts w:cs="Calibri"/>
                <w:i/>
                <w:sz w:val="18"/>
                <w:szCs w:val="18"/>
              </w:rPr>
              <w:t>Filinia terminalis</w:t>
            </w:r>
            <w:r w:rsidRPr="00591DF4">
              <w:rPr>
                <w:rFonts w:cs="Calibri"/>
                <w:sz w:val="18"/>
                <w:szCs w:val="18"/>
              </w:rPr>
              <w:t xml:space="preserve">, </w:t>
            </w:r>
            <w:r w:rsidRPr="00591DF4">
              <w:rPr>
                <w:rFonts w:cs="Calibri"/>
                <w:i/>
                <w:sz w:val="18"/>
                <w:szCs w:val="18"/>
              </w:rPr>
              <w:t>Polyarthra</w:t>
            </w:r>
            <w:r w:rsidRPr="00591DF4">
              <w:rPr>
                <w:rFonts w:cs="Calibri"/>
                <w:sz w:val="18"/>
                <w:szCs w:val="18"/>
              </w:rPr>
              <w:t xml:space="preserve"> sp. a [sm], </w:t>
            </w:r>
            <w:r w:rsidRPr="00591DF4">
              <w:rPr>
                <w:rFonts w:cs="Calibri"/>
                <w:b/>
                <w:i/>
                <w:sz w:val="18"/>
                <w:szCs w:val="18"/>
              </w:rPr>
              <w:t>Cephalodella catellina</w:t>
            </w:r>
            <w:r w:rsidRPr="00591DF4">
              <w:rPr>
                <w:rFonts w:cs="Calibri"/>
                <w:sz w:val="18"/>
                <w:szCs w:val="18"/>
              </w:rPr>
              <w:t xml:space="preserve">, </w:t>
            </w:r>
            <w:r w:rsidRPr="00591DF4">
              <w:rPr>
                <w:rFonts w:cs="Calibri"/>
                <w:i/>
                <w:sz w:val="18"/>
                <w:szCs w:val="18"/>
              </w:rPr>
              <w:t>Keratella javana</w:t>
            </w:r>
            <w:r w:rsidRPr="00591DF4">
              <w:rPr>
                <w:rFonts w:cs="Calibri"/>
                <w:sz w:val="18"/>
                <w:szCs w:val="18"/>
              </w:rPr>
              <w:t xml:space="preserve"> and </w:t>
            </w:r>
            <w:r w:rsidRPr="00591DF4">
              <w:rPr>
                <w:rFonts w:cs="Calibri"/>
                <w:b/>
                <w:i/>
                <w:sz w:val="18"/>
                <w:szCs w:val="18"/>
              </w:rPr>
              <w:t>Brachionus calyciflorus amphiceros</w:t>
            </w:r>
            <w:r w:rsidRPr="00591DF4">
              <w:rPr>
                <w:rFonts w:cs="Calibri"/>
                <w:sz w:val="18"/>
                <w:szCs w:val="18"/>
              </w:rPr>
              <w:t>.</w:t>
            </w:r>
          </w:p>
        </w:tc>
        <w:tc>
          <w:tcPr>
            <w:tcW w:w="765" w:type="pct"/>
          </w:tcPr>
          <w:p w14:paraId="45A9FBF5" w14:textId="77777777" w:rsidR="001D06D5" w:rsidRPr="00591DF4" w:rsidRDefault="001D06D5" w:rsidP="00C365DC">
            <w:pPr>
              <w:spacing w:line="240" w:lineRule="auto"/>
              <w:contextualSpacing/>
              <w:jc w:val="center"/>
              <w:rPr>
                <w:sz w:val="18"/>
                <w:szCs w:val="18"/>
              </w:rPr>
            </w:pPr>
            <w:r w:rsidRPr="00591DF4">
              <w:rPr>
                <w:sz w:val="18"/>
                <w:szCs w:val="18"/>
              </w:rPr>
              <w:t>48.64%</w:t>
            </w:r>
          </w:p>
          <w:p w14:paraId="2533C6BD" w14:textId="77777777" w:rsidR="001D06D5" w:rsidRPr="00591DF4" w:rsidRDefault="001D06D5" w:rsidP="00C365DC">
            <w:pPr>
              <w:spacing w:line="240" w:lineRule="auto"/>
              <w:contextualSpacing/>
              <w:rPr>
                <w:rFonts w:cstheme="minorHAnsi"/>
                <w:iCs/>
                <w:sz w:val="18"/>
                <w:szCs w:val="18"/>
                <w:highlight w:val="yellow"/>
              </w:rPr>
            </w:pPr>
            <w:r w:rsidRPr="00591DF4">
              <w:rPr>
                <w:rFonts w:cs="Calibri"/>
                <w:i/>
                <w:sz w:val="18"/>
                <w:szCs w:val="18"/>
              </w:rPr>
              <w:t>Keratella lenzi</w:t>
            </w:r>
            <w:r w:rsidRPr="00591DF4">
              <w:rPr>
                <w:rFonts w:cs="Calibri"/>
                <w:sz w:val="18"/>
                <w:szCs w:val="18"/>
              </w:rPr>
              <w:t xml:space="preserve">, </w:t>
            </w:r>
            <w:r w:rsidRPr="00591DF4">
              <w:rPr>
                <w:rFonts w:cs="Calibri"/>
                <w:i/>
                <w:sz w:val="18"/>
                <w:szCs w:val="18"/>
              </w:rPr>
              <w:t>Filinia terminalis</w:t>
            </w:r>
            <w:r w:rsidRPr="00591DF4">
              <w:rPr>
                <w:rFonts w:cs="Calibri"/>
                <w:sz w:val="18"/>
                <w:szCs w:val="18"/>
              </w:rPr>
              <w:t xml:space="preserve">, </w:t>
            </w:r>
            <w:r w:rsidRPr="00591DF4">
              <w:rPr>
                <w:rFonts w:cs="Calibri"/>
                <w:i/>
                <w:sz w:val="18"/>
                <w:szCs w:val="18"/>
              </w:rPr>
              <w:t>Keratella javana</w:t>
            </w:r>
            <w:r w:rsidRPr="00591DF4">
              <w:rPr>
                <w:rFonts w:cs="Calibri"/>
                <w:sz w:val="18"/>
                <w:szCs w:val="18"/>
              </w:rPr>
              <w:t xml:space="preserve">, </w:t>
            </w:r>
            <w:r w:rsidRPr="00591DF4">
              <w:rPr>
                <w:rFonts w:cs="Calibri"/>
                <w:b/>
                <w:sz w:val="18"/>
                <w:szCs w:val="18"/>
              </w:rPr>
              <w:t>S</w:t>
            </w:r>
            <w:r w:rsidRPr="00591DF4">
              <w:rPr>
                <w:rFonts w:cs="Calibri"/>
                <w:b/>
                <w:i/>
                <w:sz w:val="18"/>
                <w:szCs w:val="18"/>
              </w:rPr>
              <w:t>ynchaeta</w:t>
            </w:r>
            <w:r w:rsidRPr="00591DF4">
              <w:rPr>
                <w:rFonts w:cs="Calibri"/>
                <w:b/>
                <w:sz w:val="18"/>
                <w:szCs w:val="18"/>
              </w:rPr>
              <w:t xml:space="preserve"> sp. b [sm., cf. oblonga]</w:t>
            </w:r>
            <w:r w:rsidRPr="00591DF4">
              <w:rPr>
                <w:rFonts w:cs="Calibri"/>
                <w:sz w:val="18"/>
                <w:szCs w:val="18"/>
              </w:rPr>
              <w:t xml:space="preserve">, </w:t>
            </w:r>
            <w:r w:rsidRPr="00591DF4">
              <w:rPr>
                <w:rFonts w:cs="Calibri"/>
                <w:b/>
                <w:i/>
                <w:sz w:val="18"/>
                <w:szCs w:val="18"/>
              </w:rPr>
              <w:t>Synchaeta</w:t>
            </w:r>
            <w:r w:rsidRPr="00591DF4">
              <w:rPr>
                <w:rFonts w:cs="Calibri"/>
                <w:b/>
                <w:sz w:val="18"/>
                <w:szCs w:val="18"/>
              </w:rPr>
              <w:t xml:space="preserve"> sp. c [tiny]</w:t>
            </w:r>
            <w:r w:rsidRPr="00591DF4">
              <w:rPr>
                <w:rFonts w:cs="Calibri"/>
                <w:sz w:val="18"/>
                <w:szCs w:val="18"/>
              </w:rPr>
              <w:t xml:space="preserve">, </w:t>
            </w:r>
            <w:r w:rsidRPr="00591DF4">
              <w:rPr>
                <w:rFonts w:cs="Calibri"/>
                <w:b/>
                <w:sz w:val="18"/>
                <w:szCs w:val="18"/>
              </w:rPr>
              <w:t>indet. glob. ciliate [sm]</w:t>
            </w:r>
            <w:r w:rsidRPr="00591DF4">
              <w:rPr>
                <w:rFonts w:cs="Calibri"/>
                <w:sz w:val="18"/>
                <w:szCs w:val="18"/>
              </w:rPr>
              <w:t xml:space="preserve"> and </w:t>
            </w:r>
            <w:r w:rsidRPr="00591DF4">
              <w:rPr>
                <w:rFonts w:cs="Calibri"/>
                <w:b/>
                <w:i/>
                <w:sz w:val="18"/>
                <w:szCs w:val="18"/>
              </w:rPr>
              <w:t>Trichocerca similis</w:t>
            </w:r>
            <w:r w:rsidRPr="00591DF4">
              <w:rPr>
                <w:rFonts w:cs="Calibri"/>
                <w:sz w:val="18"/>
                <w:szCs w:val="18"/>
              </w:rPr>
              <w:t>.</w:t>
            </w:r>
          </w:p>
        </w:tc>
        <w:tc>
          <w:tcPr>
            <w:tcW w:w="662" w:type="pct"/>
          </w:tcPr>
          <w:p w14:paraId="4E5C073E" w14:textId="77777777" w:rsidR="001D06D5" w:rsidRPr="00591DF4" w:rsidRDefault="001D06D5" w:rsidP="00C365DC">
            <w:pPr>
              <w:spacing w:line="240" w:lineRule="auto"/>
              <w:contextualSpacing/>
              <w:jc w:val="center"/>
              <w:rPr>
                <w:sz w:val="18"/>
                <w:szCs w:val="18"/>
              </w:rPr>
            </w:pPr>
            <w:r w:rsidRPr="00591DF4">
              <w:rPr>
                <w:sz w:val="18"/>
                <w:szCs w:val="18"/>
              </w:rPr>
              <w:t>46.63%</w:t>
            </w:r>
          </w:p>
          <w:p w14:paraId="3B8EB369" w14:textId="77777777" w:rsidR="001D06D5" w:rsidRPr="00591DF4" w:rsidRDefault="001D06D5" w:rsidP="00C365DC">
            <w:pPr>
              <w:spacing w:line="240" w:lineRule="auto"/>
              <w:contextualSpacing/>
              <w:rPr>
                <w:rFonts w:cstheme="minorHAnsi"/>
                <w:iCs/>
                <w:sz w:val="18"/>
                <w:szCs w:val="18"/>
                <w:highlight w:val="yellow"/>
              </w:rPr>
            </w:pPr>
            <w:r w:rsidRPr="00591DF4">
              <w:rPr>
                <w:rFonts w:cs="Calibri"/>
                <w:i/>
                <w:sz w:val="18"/>
                <w:szCs w:val="18"/>
              </w:rPr>
              <w:t>Keratella lenzi</w:t>
            </w:r>
            <w:r w:rsidRPr="00591DF4">
              <w:rPr>
                <w:rFonts w:cs="Calibri"/>
                <w:sz w:val="18"/>
                <w:szCs w:val="18"/>
              </w:rPr>
              <w:t xml:space="preserve">, </w:t>
            </w:r>
            <w:r w:rsidRPr="00591DF4">
              <w:rPr>
                <w:rFonts w:cs="Calibri"/>
                <w:i/>
                <w:sz w:val="18"/>
                <w:szCs w:val="18"/>
              </w:rPr>
              <w:t>Keratella javana</w:t>
            </w:r>
            <w:r w:rsidRPr="00591DF4">
              <w:rPr>
                <w:rFonts w:cs="Calibri"/>
                <w:sz w:val="18"/>
                <w:szCs w:val="18"/>
              </w:rPr>
              <w:t xml:space="preserve">, </w:t>
            </w:r>
            <w:r w:rsidRPr="00591DF4">
              <w:rPr>
                <w:rFonts w:cs="Calibri"/>
                <w:i/>
                <w:sz w:val="18"/>
                <w:szCs w:val="18"/>
              </w:rPr>
              <w:t>Trichocerca</w:t>
            </w:r>
            <w:r w:rsidRPr="00591DF4">
              <w:rPr>
                <w:rFonts w:cs="Calibri"/>
                <w:sz w:val="18"/>
                <w:szCs w:val="18"/>
              </w:rPr>
              <w:t xml:space="preserve"> sp. d [gracile, med toe(s)], </w:t>
            </w:r>
            <w:r w:rsidRPr="00591DF4">
              <w:rPr>
                <w:rFonts w:cs="Calibri"/>
                <w:i/>
                <w:sz w:val="18"/>
                <w:szCs w:val="18"/>
              </w:rPr>
              <w:t>Hexarthra</w:t>
            </w:r>
            <w:r w:rsidRPr="00591DF4">
              <w:rPr>
                <w:rFonts w:cs="Calibri"/>
                <w:sz w:val="18"/>
                <w:szCs w:val="18"/>
              </w:rPr>
              <w:t xml:space="preserve"> sp. [?spp.], </w:t>
            </w:r>
            <w:r w:rsidRPr="00591DF4">
              <w:rPr>
                <w:rFonts w:cs="Calibri"/>
                <w:b/>
                <w:i/>
                <w:sz w:val="18"/>
                <w:szCs w:val="18"/>
              </w:rPr>
              <w:t>Trichocerca pusilla</w:t>
            </w:r>
            <w:r w:rsidRPr="00591DF4">
              <w:rPr>
                <w:rFonts w:cs="Calibri"/>
                <w:sz w:val="18"/>
                <w:szCs w:val="18"/>
              </w:rPr>
              <w:t xml:space="preserve">, </w:t>
            </w:r>
            <w:r w:rsidRPr="00591DF4">
              <w:rPr>
                <w:rFonts w:cs="Calibri"/>
                <w:i/>
                <w:sz w:val="18"/>
                <w:szCs w:val="18"/>
              </w:rPr>
              <w:t>Filinia opoliensis</w:t>
            </w:r>
            <w:r w:rsidRPr="00591DF4">
              <w:rPr>
                <w:rFonts w:cs="Calibri"/>
                <w:sz w:val="18"/>
                <w:szCs w:val="18"/>
              </w:rPr>
              <w:t xml:space="preserve">, indet. glob. ciliate [lg] and </w:t>
            </w:r>
            <w:r w:rsidRPr="00591DF4">
              <w:rPr>
                <w:rFonts w:cs="Calibri"/>
                <w:b/>
                <w:i/>
                <w:sz w:val="18"/>
                <w:szCs w:val="18"/>
              </w:rPr>
              <w:t>Filinia terminalis</w:t>
            </w:r>
            <w:r w:rsidRPr="00591DF4">
              <w:rPr>
                <w:rFonts w:cs="Calibri"/>
                <w:sz w:val="18"/>
                <w:szCs w:val="18"/>
              </w:rPr>
              <w:t>.</w:t>
            </w:r>
          </w:p>
        </w:tc>
        <w:tc>
          <w:tcPr>
            <w:tcW w:w="612" w:type="pct"/>
            <w:shd w:val="clear" w:color="auto" w:fill="auto"/>
          </w:tcPr>
          <w:p w14:paraId="6C858D79" w14:textId="77777777" w:rsidR="001D06D5" w:rsidRPr="00591DF4" w:rsidRDefault="001D06D5" w:rsidP="00C365DC">
            <w:pPr>
              <w:spacing w:line="240" w:lineRule="auto"/>
              <w:contextualSpacing/>
              <w:jc w:val="center"/>
              <w:rPr>
                <w:sz w:val="18"/>
                <w:szCs w:val="18"/>
              </w:rPr>
            </w:pPr>
            <w:r w:rsidRPr="00591DF4">
              <w:rPr>
                <w:sz w:val="18"/>
                <w:szCs w:val="18"/>
              </w:rPr>
              <w:t>35.81%</w:t>
            </w:r>
          </w:p>
          <w:p w14:paraId="5A913BFD" w14:textId="77777777" w:rsidR="001D06D5" w:rsidRPr="00591DF4" w:rsidRDefault="001D06D5" w:rsidP="00C365DC">
            <w:pPr>
              <w:spacing w:line="240" w:lineRule="auto"/>
              <w:contextualSpacing/>
              <w:rPr>
                <w:sz w:val="18"/>
                <w:szCs w:val="18"/>
                <w:highlight w:val="yellow"/>
              </w:rPr>
            </w:pPr>
            <w:r w:rsidRPr="00591DF4">
              <w:rPr>
                <w:rFonts w:cs="Calibri"/>
                <w:i/>
                <w:sz w:val="18"/>
                <w:szCs w:val="18"/>
              </w:rPr>
              <w:t>Keratella lenzi</w:t>
            </w:r>
            <w:r w:rsidRPr="00591DF4">
              <w:rPr>
                <w:rFonts w:cs="Calibri"/>
                <w:sz w:val="18"/>
                <w:szCs w:val="18"/>
              </w:rPr>
              <w:t xml:space="preserve">, </w:t>
            </w:r>
            <w:r w:rsidRPr="00591DF4">
              <w:rPr>
                <w:rFonts w:cs="Calibri"/>
                <w:b/>
                <w:i/>
                <w:sz w:val="18"/>
                <w:szCs w:val="18"/>
              </w:rPr>
              <w:t>Trichocerca pusilla</w:t>
            </w:r>
            <w:r w:rsidRPr="00591DF4">
              <w:rPr>
                <w:rFonts w:cs="Calibri"/>
                <w:b/>
                <w:sz w:val="18"/>
                <w:szCs w:val="18"/>
              </w:rPr>
              <w:t>, cyclopoid nauplii</w:t>
            </w:r>
            <w:r w:rsidRPr="00591DF4">
              <w:rPr>
                <w:rFonts w:cs="Calibri"/>
                <w:sz w:val="18"/>
                <w:szCs w:val="18"/>
              </w:rPr>
              <w:t xml:space="preserve">, </w:t>
            </w:r>
            <w:r w:rsidRPr="00591DF4">
              <w:rPr>
                <w:rFonts w:cs="Calibri"/>
                <w:b/>
                <w:sz w:val="18"/>
                <w:szCs w:val="18"/>
              </w:rPr>
              <w:t xml:space="preserve">cyclopoid copepodite, </w:t>
            </w:r>
            <w:r w:rsidRPr="00591DF4">
              <w:rPr>
                <w:rFonts w:cs="Calibri"/>
                <w:b/>
                <w:i/>
                <w:sz w:val="18"/>
                <w:szCs w:val="18"/>
              </w:rPr>
              <w:t>Filinia australiensis</w:t>
            </w:r>
            <w:r w:rsidRPr="00591DF4">
              <w:rPr>
                <w:rFonts w:cs="Calibri"/>
                <w:sz w:val="18"/>
                <w:szCs w:val="18"/>
              </w:rPr>
              <w:t xml:space="preserve">, </w:t>
            </w:r>
            <w:r w:rsidRPr="00591DF4">
              <w:rPr>
                <w:rFonts w:cs="Calibri"/>
                <w:i/>
                <w:sz w:val="18"/>
                <w:szCs w:val="18"/>
              </w:rPr>
              <w:t>Trichocerca</w:t>
            </w:r>
            <w:r w:rsidRPr="00591DF4">
              <w:rPr>
                <w:rFonts w:cs="Calibri"/>
                <w:sz w:val="18"/>
                <w:szCs w:val="18"/>
              </w:rPr>
              <w:t xml:space="preserve"> sp. d [gracile, med toe(s)], </w:t>
            </w:r>
            <w:r w:rsidRPr="00591DF4">
              <w:rPr>
                <w:rFonts w:cs="Calibri"/>
                <w:b/>
                <w:i/>
                <w:sz w:val="18"/>
                <w:szCs w:val="18"/>
              </w:rPr>
              <w:t>Stenosemella</w:t>
            </w:r>
            <w:r w:rsidRPr="00591DF4">
              <w:rPr>
                <w:rFonts w:cs="Calibri"/>
                <w:b/>
                <w:sz w:val="18"/>
                <w:szCs w:val="18"/>
              </w:rPr>
              <w:t xml:space="preserve"> sp., indet. glob. ciliate [sm]</w:t>
            </w:r>
            <w:r w:rsidRPr="00591DF4">
              <w:rPr>
                <w:rFonts w:cs="Calibri"/>
                <w:sz w:val="18"/>
                <w:szCs w:val="18"/>
              </w:rPr>
              <w:t xml:space="preserve">, </w:t>
            </w:r>
            <w:r w:rsidRPr="00591DF4">
              <w:rPr>
                <w:rFonts w:cs="Calibri"/>
                <w:i/>
                <w:sz w:val="18"/>
                <w:szCs w:val="18"/>
              </w:rPr>
              <w:t>Brachionus falcatus</w:t>
            </w:r>
            <w:r w:rsidRPr="00591DF4">
              <w:rPr>
                <w:rFonts w:cs="Calibri"/>
                <w:sz w:val="18"/>
                <w:szCs w:val="18"/>
              </w:rPr>
              <w:t xml:space="preserve">, indet. glob. ciliate [lg] and </w:t>
            </w:r>
            <w:r w:rsidRPr="00591DF4">
              <w:rPr>
                <w:rFonts w:cs="Calibri"/>
                <w:b/>
                <w:i/>
                <w:sz w:val="18"/>
                <w:szCs w:val="18"/>
              </w:rPr>
              <w:t>Trichocerca similis grandis</w:t>
            </w:r>
            <w:r w:rsidRPr="00591DF4">
              <w:rPr>
                <w:rFonts w:cs="Calibri"/>
                <w:sz w:val="18"/>
                <w:szCs w:val="18"/>
              </w:rPr>
              <w:t>.</w:t>
            </w:r>
          </w:p>
        </w:tc>
        <w:tc>
          <w:tcPr>
            <w:tcW w:w="511" w:type="pct"/>
            <w:shd w:val="clear" w:color="auto" w:fill="000000" w:themeFill="text1"/>
          </w:tcPr>
          <w:p w14:paraId="10B73B72" w14:textId="77777777" w:rsidR="001D06D5" w:rsidRPr="00591DF4" w:rsidRDefault="001D06D5" w:rsidP="00C365DC">
            <w:pPr>
              <w:spacing w:line="240" w:lineRule="auto"/>
              <w:contextualSpacing/>
              <w:rPr>
                <w:sz w:val="18"/>
                <w:szCs w:val="18"/>
              </w:rPr>
            </w:pPr>
          </w:p>
        </w:tc>
      </w:tr>
      <w:tr w:rsidR="00202B00" w:rsidRPr="00591DF4" w14:paraId="6BC3AFF0" w14:textId="77777777" w:rsidTr="00202B00">
        <w:trPr>
          <w:cantSplit/>
          <w:trHeight w:val="794"/>
        </w:trPr>
        <w:tc>
          <w:tcPr>
            <w:tcW w:w="371" w:type="pct"/>
          </w:tcPr>
          <w:p w14:paraId="4B4B20F1" w14:textId="77777777" w:rsidR="001D06D5" w:rsidRPr="00591DF4" w:rsidRDefault="001D06D5" w:rsidP="00C365DC">
            <w:pPr>
              <w:spacing w:line="240" w:lineRule="auto"/>
              <w:contextualSpacing/>
              <w:rPr>
                <w:sz w:val="18"/>
                <w:szCs w:val="18"/>
                <w:highlight w:val="yellow"/>
              </w:rPr>
            </w:pPr>
            <w:r w:rsidRPr="00591DF4">
              <w:rPr>
                <w:sz w:val="18"/>
                <w:szCs w:val="18"/>
              </w:rPr>
              <w:lastRenderedPageBreak/>
              <w:t>20-Jan</w:t>
            </w:r>
          </w:p>
        </w:tc>
        <w:tc>
          <w:tcPr>
            <w:tcW w:w="648" w:type="pct"/>
          </w:tcPr>
          <w:p w14:paraId="1C3B90E0" w14:textId="77777777" w:rsidR="001D06D5" w:rsidRPr="00591DF4" w:rsidRDefault="001D06D5" w:rsidP="00C365DC">
            <w:pPr>
              <w:spacing w:line="240" w:lineRule="auto"/>
              <w:contextualSpacing/>
              <w:jc w:val="center"/>
              <w:rPr>
                <w:sz w:val="18"/>
                <w:szCs w:val="18"/>
              </w:rPr>
            </w:pPr>
            <w:r w:rsidRPr="00591DF4">
              <w:rPr>
                <w:sz w:val="18"/>
                <w:szCs w:val="18"/>
              </w:rPr>
              <w:t>63.82%</w:t>
            </w:r>
          </w:p>
          <w:p w14:paraId="34319441" w14:textId="77777777" w:rsidR="001D06D5" w:rsidRPr="00591DF4" w:rsidRDefault="001D06D5" w:rsidP="00C365DC">
            <w:pPr>
              <w:spacing w:line="240" w:lineRule="auto"/>
              <w:contextualSpacing/>
              <w:rPr>
                <w:rFonts w:cs="Calibri"/>
                <w:sz w:val="18"/>
                <w:szCs w:val="18"/>
                <w:highlight w:val="yellow"/>
              </w:rPr>
            </w:pPr>
            <w:r w:rsidRPr="00591DF4">
              <w:rPr>
                <w:rFonts w:cs="Calibri"/>
                <w:i/>
                <w:sz w:val="18"/>
                <w:szCs w:val="18"/>
              </w:rPr>
              <w:t>Keratella lenzi</w:t>
            </w:r>
            <w:r w:rsidRPr="00591DF4">
              <w:rPr>
                <w:rFonts w:cs="Calibri"/>
                <w:sz w:val="18"/>
                <w:szCs w:val="18"/>
              </w:rPr>
              <w:t xml:space="preserve">, </w:t>
            </w:r>
            <w:r w:rsidRPr="00591DF4">
              <w:rPr>
                <w:rFonts w:cs="Calibri"/>
                <w:i/>
                <w:sz w:val="18"/>
                <w:szCs w:val="18"/>
              </w:rPr>
              <w:t>Filinia terminalis</w:t>
            </w:r>
            <w:r w:rsidRPr="00591DF4">
              <w:rPr>
                <w:rFonts w:cs="Calibri"/>
                <w:sz w:val="18"/>
                <w:szCs w:val="18"/>
              </w:rPr>
              <w:t xml:space="preserve">, </w:t>
            </w:r>
            <w:r w:rsidRPr="00591DF4">
              <w:rPr>
                <w:rFonts w:cs="Calibri"/>
                <w:i/>
                <w:sz w:val="18"/>
                <w:szCs w:val="18"/>
              </w:rPr>
              <w:t>Keratella tropica</w:t>
            </w:r>
            <w:r w:rsidRPr="00591DF4">
              <w:rPr>
                <w:rFonts w:cs="Calibri"/>
                <w:sz w:val="18"/>
                <w:szCs w:val="18"/>
              </w:rPr>
              <w:t xml:space="preserve">, </w:t>
            </w:r>
            <w:r w:rsidRPr="00591DF4">
              <w:rPr>
                <w:rFonts w:cs="Calibri"/>
                <w:b/>
                <w:sz w:val="18"/>
                <w:szCs w:val="18"/>
              </w:rPr>
              <w:t xml:space="preserve">indet. glob. ciliate [sm], </w:t>
            </w:r>
            <w:r w:rsidRPr="00591DF4">
              <w:rPr>
                <w:rFonts w:cs="Calibri"/>
                <w:b/>
                <w:i/>
                <w:sz w:val="18"/>
                <w:szCs w:val="18"/>
              </w:rPr>
              <w:t>Filinia pejleri</w:t>
            </w:r>
            <w:r w:rsidRPr="00591DF4">
              <w:rPr>
                <w:rFonts w:cs="Calibri"/>
                <w:sz w:val="18"/>
                <w:szCs w:val="18"/>
              </w:rPr>
              <w:t xml:space="preserve">, </w:t>
            </w:r>
            <w:r w:rsidRPr="00591DF4">
              <w:rPr>
                <w:rFonts w:cs="Calibri"/>
                <w:i/>
                <w:sz w:val="18"/>
                <w:szCs w:val="18"/>
              </w:rPr>
              <w:t>Trichocerca</w:t>
            </w:r>
            <w:r w:rsidRPr="00591DF4">
              <w:rPr>
                <w:rFonts w:cs="Calibri"/>
                <w:sz w:val="18"/>
                <w:szCs w:val="18"/>
              </w:rPr>
              <w:t xml:space="preserve"> sp. d [gracile, med toe(s)], </w:t>
            </w:r>
            <w:r w:rsidRPr="00591DF4">
              <w:rPr>
                <w:rFonts w:cs="Calibri"/>
                <w:i/>
                <w:sz w:val="18"/>
                <w:szCs w:val="18"/>
              </w:rPr>
              <w:t>Difflugia gramen</w:t>
            </w:r>
            <w:r w:rsidRPr="00591DF4">
              <w:rPr>
                <w:rFonts w:cs="Calibri"/>
                <w:sz w:val="18"/>
                <w:szCs w:val="18"/>
              </w:rPr>
              <w:t xml:space="preserve"> and </w:t>
            </w:r>
            <w:r w:rsidRPr="00591DF4">
              <w:rPr>
                <w:rFonts w:cs="Calibri"/>
                <w:b/>
                <w:i/>
                <w:sz w:val="18"/>
                <w:szCs w:val="18"/>
              </w:rPr>
              <w:t>Polyarthra</w:t>
            </w:r>
            <w:r w:rsidRPr="00591DF4">
              <w:rPr>
                <w:rFonts w:cs="Calibri"/>
                <w:b/>
                <w:sz w:val="18"/>
                <w:szCs w:val="18"/>
              </w:rPr>
              <w:t xml:space="preserve"> sp. a [sm]</w:t>
            </w:r>
            <w:r w:rsidRPr="00591DF4">
              <w:rPr>
                <w:rFonts w:cs="Calibri"/>
                <w:sz w:val="18"/>
                <w:szCs w:val="18"/>
              </w:rPr>
              <w:t>.</w:t>
            </w:r>
          </w:p>
        </w:tc>
        <w:tc>
          <w:tcPr>
            <w:tcW w:w="716" w:type="pct"/>
          </w:tcPr>
          <w:p w14:paraId="6D1141E6" w14:textId="77777777" w:rsidR="001D06D5" w:rsidRPr="00591DF4" w:rsidRDefault="001D06D5" w:rsidP="00C365DC">
            <w:pPr>
              <w:spacing w:line="240" w:lineRule="auto"/>
              <w:contextualSpacing/>
              <w:jc w:val="center"/>
              <w:rPr>
                <w:sz w:val="18"/>
                <w:szCs w:val="18"/>
              </w:rPr>
            </w:pPr>
            <w:r w:rsidRPr="00591DF4">
              <w:rPr>
                <w:sz w:val="18"/>
                <w:szCs w:val="18"/>
              </w:rPr>
              <w:t>68.25%</w:t>
            </w:r>
          </w:p>
          <w:p w14:paraId="4A1A0EEA" w14:textId="77777777" w:rsidR="001D06D5" w:rsidRPr="00591DF4" w:rsidRDefault="001D06D5" w:rsidP="00C365DC">
            <w:pPr>
              <w:spacing w:line="240" w:lineRule="auto"/>
              <w:contextualSpacing/>
              <w:rPr>
                <w:rFonts w:cstheme="minorHAnsi"/>
                <w:iCs/>
                <w:sz w:val="18"/>
                <w:szCs w:val="18"/>
                <w:highlight w:val="yellow"/>
              </w:rPr>
            </w:pPr>
            <w:r w:rsidRPr="00591DF4">
              <w:rPr>
                <w:rFonts w:cs="Calibri"/>
                <w:i/>
                <w:sz w:val="18"/>
                <w:szCs w:val="18"/>
              </w:rPr>
              <w:t>Keratella lenzi</w:t>
            </w:r>
            <w:r w:rsidRPr="00591DF4">
              <w:rPr>
                <w:rFonts w:cs="Calibri"/>
                <w:sz w:val="18"/>
                <w:szCs w:val="18"/>
              </w:rPr>
              <w:t xml:space="preserve">, </w:t>
            </w:r>
            <w:r w:rsidRPr="00591DF4">
              <w:rPr>
                <w:rFonts w:cs="Calibri"/>
                <w:i/>
                <w:sz w:val="18"/>
                <w:szCs w:val="18"/>
              </w:rPr>
              <w:t>Polyarthra</w:t>
            </w:r>
            <w:r w:rsidRPr="00591DF4">
              <w:rPr>
                <w:rFonts w:cs="Calibri"/>
                <w:sz w:val="18"/>
                <w:szCs w:val="18"/>
              </w:rPr>
              <w:t xml:space="preserve"> sp. a [sm], </w:t>
            </w:r>
            <w:r w:rsidRPr="00591DF4">
              <w:rPr>
                <w:rFonts w:cs="Calibri"/>
                <w:i/>
                <w:sz w:val="18"/>
                <w:szCs w:val="18"/>
              </w:rPr>
              <w:t>Filinia terminalis</w:t>
            </w:r>
            <w:r w:rsidRPr="00591DF4">
              <w:rPr>
                <w:rFonts w:cs="Calibri"/>
                <w:sz w:val="18"/>
                <w:szCs w:val="18"/>
              </w:rPr>
              <w:t xml:space="preserve">, </w:t>
            </w:r>
            <w:r w:rsidRPr="00591DF4">
              <w:rPr>
                <w:rFonts w:cs="Calibri"/>
                <w:i/>
                <w:sz w:val="18"/>
                <w:szCs w:val="18"/>
              </w:rPr>
              <w:t>Trichocerca</w:t>
            </w:r>
            <w:r w:rsidRPr="00591DF4">
              <w:rPr>
                <w:rFonts w:cs="Calibri"/>
                <w:sz w:val="18"/>
                <w:szCs w:val="18"/>
              </w:rPr>
              <w:t xml:space="preserve"> sp. c [long toe, med], </w:t>
            </w:r>
            <w:r w:rsidRPr="00591DF4">
              <w:rPr>
                <w:rFonts w:cs="Calibri"/>
                <w:i/>
                <w:sz w:val="18"/>
                <w:szCs w:val="18"/>
              </w:rPr>
              <w:t xml:space="preserve">Keratella tropica </w:t>
            </w:r>
            <w:r w:rsidRPr="00591DF4">
              <w:rPr>
                <w:rFonts w:cs="Calibri"/>
                <w:sz w:val="18"/>
                <w:szCs w:val="18"/>
              </w:rPr>
              <w:t xml:space="preserve">and </w:t>
            </w:r>
            <w:r w:rsidRPr="00591DF4">
              <w:rPr>
                <w:rFonts w:cs="Calibri"/>
                <w:i/>
                <w:sz w:val="18"/>
                <w:szCs w:val="18"/>
              </w:rPr>
              <w:t>Trichocerca</w:t>
            </w:r>
            <w:r w:rsidRPr="00591DF4">
              <w:rPr>
                <w:rFonts w:cs="Calibri"/>
                <w:sz w:val="18"/>
                <w:szCs w:val="18"/>
              </w:rPr>
              <w:t xml:space="preserve"> sp. d [gracile, med toe(s)].</w:t>
            </w:r>
          </w:p>
        </w:tc>
        <w:tc>
          <w:tcPr>
            <w:tcW w:w="714" w:type="pct"/>
          </w:tcPr>
          <w:p w14:paraId="64BAF24F" w14:textId="77777777" w:rsidR="001D06D5" w:rsidRPr="00591DF4" w:rsidRDefault="001D06D5" w:rsidP="00C365DC">
            <w:pPr>
              <w:spacing w:line="240" w:lineRule="auto"/>
              <w:contextualSpacing/>
              <w:jc w:val="center"/>
              <w:rPr>
                <w:sz w:val="18"/>
                <w:szCs w:val="18"/>
              </w:rPr>
            </w:pPr>
            <w:r w:rsidRPr="00591DF4">
              <w:rPr>
                <w:sz w:val="18"/>
                <w:szCs w:val="18"/>
              </w:rPr>
              <w:t>55.80%</w:t>
            </w:r>
          </w:p>
          <w:p w14:paraId="72EEAF97" w14:textId="77777777" w:rsidR="001D06D5" w:rsidRPr="00591DF4" w:rsidRDefault="001D06D5" w:rsidP="00C365DC">
            <w:pPr>
              <w:spacing w:line="240" w:lineRule="auto"/>
              <w:contextualSpacing/>
              <w:rPr>
                <w:rFonts w:cstheme="minorHAnsi"/>
                <w:iCs/>
                <w:sz w:val="18"/>
                <w:szCs w:val="18"/>
                <w:highlight w:val="yellow"/>
              </w:rPr>
            </w:pPr>
            <w:r w:rsidRPr="00591DF4">
              <w:rPr>
                <w:rFonts w:cs="Calibri"/>
                <w:i/>
                <w:sz w:val="18"/>
                <w:szCs w:val="18"/>
              </w:rPr>
              <w:t>Keratella lenzi</w:t>
            </w:r>
            <w:r w:rsidRPr="00591DF4">
              <w:rPr>
                <w:rFonts w:cs="Calibri"/>
                <w:sz w:val="18"/>
                <w:szCs w:val="18"/>
              </w:rPr>
              <w:t xml:space="preserve">, </w:t>
            </w:r>
            <w:r w:rsidRPr="00591DF4">
              <w:rPr>
                <w:rFonts w:cs="Calibri"/>
                <w:i/>
                <w:sz w:val="18"/>
                <w:szCs w:val="18"/>
              </w:rPr>
              <w:t>Filinia terminalis</w:t>
            </w:r>
            <w:r w:rsidRPr="00591DF4">
              <w:rPr>
                <w:rFonts w:cs="Calibri"/>
                <w:sz w:val="18"/>
                <w:szCs w:val="18"/>
              </w:rPr>
              <w:t xml:space="preserve">, </w:t>
            </w:r>
            <w:r w:rsidRPr="00591DF4">
              <w:rPr>
                <w:rFonts w:cs="Calibri"/>
                <w:i/>
                <w:sz w:val="18"/>
                <w:szCs w:val="18"/>
              </w:rPr>
              <w:t>Polyarthra</w:t>
            </w:r>
            <w:r w:rsidRPr="00591DF4">
              <w:rPr>
                <w:rFonts w:cs="Calibri"/>
                <w:sz w:val="18"/>
                <w:szCs w:val="18"/>
              </w:rPr>
              <w:t xml:space="preserve"> sp. a [sm], </w:t>
            </w:r>
            <w:r w:rsidRPr="00591DF4">
              <w:rPr>
                <w:rFonts w:cs="Calibri"/>
                <w:i/>
                <w:sz w:val="18"/>
                <w:szCs w:val="18"/>
              </w:rPr>
              <w:t>Keratella tropica</w:t>
            </w:r>
            <w:r w:rsidRPr="00591DF4">
              <w:rPr>
                <w:rFonts w:cs="Calibri"/>
                <w:sz w:val="18"/>
                <w:szCs w:val="18"/>
              </w:rPr>
              <w:t xml:space="preserve">, </w:t>
            </w:r>
            <w:r w:rsidRPr="00591DF4">
              <w:rPr>
                <w:rFonts w:cs="Calibri"/>
                <w:b/>
                <w:i/>
                <w:sz w:val="18"/>
                <w:szCs w:val="18"/>
              </w:rPr>
              <w:t>Synchaeta</w:t>
            </w:r>
            <w:r w:rsidRPr="00591DF4">
              <w:rPr>
                <w:rFonts w:cs="Calibri"/>
                <w:b/>
                <w:sz w:val="18"/>
                <w:szCs w:val="18"/>
              </w:rPr>
              <w:t xml:space="preserve"> sp. b [sm., cf. oblonga]</w:t>
            </w:r>
            <w:r w:rsidRPr="00591DF4">
              <w:rPr>
                <w:rFonts w:cs="Calibri"/>
                <w:sz w:val="18"/>
                <w:szCs w:val="18"/>
              </w:rPr>
              <w:t xml:space="preserve">, </w:t>
            </w:r>
            <w:r w:rsidRPr="00591DF4">
              <w:rPr>
                <w:rFonts w:cs="Calibri"/>
                <w:b/>
                <w:i/>
                <w:sz w:val="18"/>
                <w:szCs w:val="18"/>
              </w:rPr>
              <w:t>Brachionus calyciflorus amphiceros</w:t>
            </w:r>
            <w:r w:rsidRPr="00591DF4">
              <w:rPr>
                <w:rFonts w:cs="Calibri"/>
                <w:b/>
                <w:sz w:val="18"/>
                <w:szCs w:val="18"/>
              </w:rPr>
              <w:t xml:space="preserve"> </w:t>
            </w:r>
            <w:r w:rsidRPr="00591DF4">
              <w:rPr>
                <w:rFonts w:cs="Calibri"/>
                <w:sz w:val="18"/>
                <w:szCs w:val="18"/>
              </w:rPr>
              <w:t xml:space="preserve">and </w:t>
            </w:r>
            <w:r w:rsidRPr="00591DF4">
              <w:rPr>
                <w:rFonts w:cs="Calibri"/>
                <w:i/>
                <w:sz w:val="18"/>
                <w:szCs w:val="18"/>
              </w:rPr>
              <w:t>Difflugia gramen</w:t>
            </w:r>
            <w:r w:rsidRPr="00591DF4">
              <w:rPr>
                <w:rFonts w:cs="Calibri"/>
                <w:sz w:val="18"/>
                <w:szCs w:val="18"/>
              </w:rPr>
              <w:t>.</w:t>
            </w:r>
          </w:p>
        </w:tc>
        <w:tc>
          <w:tcPr>
            <w:tcW w:w="765" w:type="pct"/>
          </w:tcPr>
          <w:p w14:paraId="49D32D77" w14:textId="77777777" w:rsidR="001D06D5" w:rsidRPr="00591DF4" w:rsidRDefault="001D06D5" w:rsidP="00C365DC">
            <w:pPr>
              <w:spacing w:line="240" w:lineRule="auto"/>
              <w:contextualSpacing/>
              <w:jc w:val="center"/>
              <w:rPr>
                <w:sz w:val="18"/>
                <w:szCs w:val="18"/>
              </w:rPr>
            </w:pPr>
            <w:r w:rsidRPr="00591DF4">
              <w:rPr>
                <w:sz w:val="18"/>
                <w:szCs w:val="18"/>
              </w:rPr>
              <w:t>48.24%</w:t>
            </w:r>
          </w:p>
          <w:p w14:paraId="45840094" w14:textId="77777777" w:rsidR="001D06D5" w:rsidRPr="00591DF4" w:rsidRDefault="001D06D5" w:rsidP="00C365DC">
            <w:pPr>
              <w:spacing w:line="240" w:lineRule="auto"/>
              <w:contextualSpacing/>
              <w:rPr>
                <w:rFonts w:cstheme="minorHAnsi"/>
                <w:iCs/>
                <w:sz w:val="18"/>
                <w:szCs w:val="18"/>
                <w:highlight w:val="yellow"/>
              </w:rPr>
            </w:pPr>
            <w:r w:rsidRPr="00591DF4">
              <w:rPr>
                <w:rFonts w:cs="Calibri"/>
                <w:i/>
                <w:sz w:val="18"/>
                <w:szCs w:val="18"/>
              </w:rPr>
              <w:t>Keratella lenzi</w:t>
            </w:r>
            <w:r w:rsidRPr="00591DF4">
              <w:rPr>
                <w:rFonts w:cs="Calibri"/>
                <w:sz w:val="18"/>
                <w:szCs w:val="18"/>
              </w:rPr>
              <w:t xml:space="preserve">, </w:t>
            </w:r>
            <w:r w:rsidRPr="00591DF4">
              <w:rPr>
                <w:rFonts w:cs="Calibri"/>
                <w:i/>
                <w:sz w:val="18"/>
                <w:szCs w:val="18"/>
              </w:rPr>
              <w:t>Filinia terminalis</w:t>
            </w:r>
            <w:r w:rsidRPr="00591DF4">
              <w:rPr>
                <w:rFonts w:cs="Calibri"/>
                <w:sz w:val="18"/>
                <w:szCs w:val="18"/>
              </w:rPr>
              <w:t xml:space="preserve">, </w:t>
            </w:r>
            <w:r w:rsidRPr="00591DF4">
              <w:rPr>
                <w:rFonts w:cs="Calibri"/>
                <w:i/>
                <w:sz w:val="18"/>
                <w:szCs w:val="18"/>
              </w:rPr>
              <w:t>Brachionus</w:t>
            </w:r>
            <w:r w:rsidRPr="00591DF4">
              <w:rPr>
                <w:rFonts w:cs="Calibri"/>
                <w:sz w:val="18"/>
                <w:szCs w:val="18"/>
              </w:rPr>
              <w:t xml:space="preserve"> [</w:t>
            </w:r>
            <w:r w:rsidRPr="00591DF4">
              <w:rPr>
                <w:rFonts w:cs="Calibri"/>
                <w:i/>
                <w:sz w:val="18"/>
                <w:szCs w:val="18"/>
              </w:rPr>
              <w:t>angularis</w:t>
            </w:r>
            <w:r w:rsidRPr="00591DF4">
              <w:rPr>
                <w:rFonts w:cs="Calibri"/>
                <w:sz w:val="18"/>
                <w:szCs w:val="18"/>
              </w:rPr>
              <w:t xml:space="preserve">] </w:t>
            </w:r>
            <w:r w:rsidRPr="00591DF4">
              <w:rPr>
                <w:rFonts w:cs="Calibri"/>
                <w:i/>
                <w:sz w:val="18"/>
                <w:szCs w:val="18"/>
              </w:rPr>
              <w:t>bidens</w:t>
            </w:r>
            <w:r w:rsidRPr="00591DF4">
              <w:rPr>
                <w:rFonts w:cs="Calibri"/>
                <w:sz w:val="18"/>
                <w:szCs w:val="18"/>
              </w:rPr>
              <w:t xml:space="preserve">, </w:t>
            </w:r>
            <w:r w:rsidRPr="00591DF4">
              <w:rPr>
                <w:rFonts w:cs="Calibri"/>
                <w:i/>
                <w:sz w:val="18"/>
                <w:szCs w:val="18"/>
              </w:rPr>
              <w:t>Synchaeta</w:t>
            </w:r>
            <w:r w:rsidRPr="00591DF4">
              <w:rPr>
                <w:rFonts w:cs="Calibri"/>
                <w:sz w:val="18"/>
                <w:szCs w:val="18"/>
              </w:rPr>
              <w:t xml:space="preserve"> sp. c [tiny], </w:t>
            </w:r>
            <w:r w:rsidRPr="00591DF4">
              <w:rPr>
                <w:rFonts w:cs="Calibri"/>
                <w:i/>
                <w:sz w:val="18"/>
                <w:szCs w:val="18"/>
              </w:rPr>
              <w:t>Anuraeopsis coelata</w:t>
            </w:r>
            <w:r w:rsidRPr="00591DF4">
              <w:rPr>
                <w:rFonts w:cs="Calibri"/>
                <w:sz w:val="18"/>
                <w:szCs w:val="18"/>
              </w:rPr>
              <w:t xml:space="preserve">, </w:t>
            </w:r>
            <w:r w:rsidRPr="00591DF4">
              <w:rPr>
                <w:rFonts w:cs="Calibri"/>
                <w:i/>
                <w:sz w:val="18"/>
                <w:szCs w:val="18"/>
              </w:rPr>
              <w:t>Hexarthra braziliensis</w:t>
            </w:r>
            <w:r w:rsidRPr="00591DF4">
              <w:rPr>
                <w:rFonts w:cs="Calibri"/>
                <w:sz w:val="18"/>
                <w:szCs w:val="18"/>
              </w:rPr>
              <w:t xml:space="preserve">, indet. glob. ciliate [sm] and </w:t>
            </w:r>
            <w:r w:rsidRPr="00591DF4">
              <w:rPr>
                <w:rFonts w:cs="Calibri"/>
                <w:i/>
                <w:sz w:val="18"/>
                <w:szCs w:val="18"/>
              </w:rPr>
              <w:t>Codonaria</w:t>
            </w:r>
            <w:r w:rsidRPr="00591DF4">
              <w:rPr>
                <w:rFonts w:cs="Calibri"/>
                <w:sz w:val="18"/>
                <w:szCs w:val="18"/>
              </w:rPr>
              <w:t xml:space="preserve"> sp.</w:t>
            </w:r>
          </w:p>
        </w:tc>
        <w:tc>
          <w:tcPr>
            <w:tcW w:w="662" w:type="pct"/>
          </w:tcPr>
          <w:p w14:paraId="7416F924" w14:textId="77777777" w:rsidR="001D06D5" w:rsidRPr="00591DF4" w:rsidRDefault="001D06D5" w:rsidP="00C365DC">
            <w:pPr>
              <w:spacing w:line="240" w:lineRule="auto"/>
              <w:contextualSpacing/>
              <w:jc w:val="center"/>
              <w:rPr>
                <w:sz w:val="18"/>
                <w:szCs w:val="18"/>
              </w:rPr>
            </w:pPr>
            <w:r w:rsidRPr="00591DF4">
              <w:rPr>
                <w:sz w:val="18"/>
                <w:szCs w:val="18"/>
              </w:rPr>
              <w:t>48.39%</w:t>
            </w:r>
          </w:p>
          <w:p w14:paraId="3060CFF1" w14:textId="77777777" w:rsidR="001D06D5" w:rsidRPr="00591DF4" w:rsidRDefault="001D06D5" w:rsidP="00C365DC">
            <w:pPr>
              <w:spacing w:line="240" w:lineRule="auto"/>
              <w:contextualSpacing/>
              <w:rPr>
                <w:rFonts w:cstheme="minorHAnsi"/>
                <w:iCs/>
                <w:sz w:val="18"/>
                <w:szCs w:val="18"/>
                <w:highlight w:val="yellow"/>
              </w:rPr>
            </w:pPr>
            <w:r w:rsidRPr="00591DF4">
              <w:rPr>
                <w:rFonts w:cs="Calibri"/>
                <w:i/>
                <w:sz w:val="18"/>
                <w:szCs w:val="18"/>
              </w:rPr>
              <w:t>Keratella lenzi</w:t>
            </w:r>
            <w:r w:rsidRPr="00591DF4">
              <w:rPr>
                <w:rFonts w:cs="Calibri"/>
                <w:sz w:val="18"/>
                <w:szCs w:val="18"/>
              </w:rPr>
              <w:t xml:space="preserve">, </w:t>
            </w:r>
            <w:r w:rsidRPr="00591DF4">
              <w:rPr>
                <w:rFonts w:cs="Calibri"/>
                <w:i/>
                <w:sz w:val="18"/>
                <w:szCs w:val="18"/>
              </w:rPr>
              <w:t>Trichocerca</w:t>
            </w:r>
            <w:r w:rsidRPr="00591DF4">
              <w:rPr>
                <w:rFonts w:cs="Calibri"/>
                <w:sz w:val="18"/>
                <w:szCs w:val="18"/>
              </w:rPr>
              <w:t xml:space="preserve"> sp. d [gracile, med toe(s)], </w:t>
            </w:r>
            <w:r w:rsidRPr="00591DF4">
              <w:rPr>
                <w:rFonts w:cs="Calibri"/>
                <w:b/>
                <w:i/>
                <w:sz w:val="18"/>
                <w:szCs w:val="18"/>
              </w:rPr>
              <w:t>Brachionus</w:t>
            </w:r>
            <w:r w:rsidRPr="00591DF4">
              <w:rPr>
                <w:rFonts w:cs="Calibri"/>
                <w:b/>
                <w:sz w:val="18"/>
                <w:szCs w:val="18"/>
              </w:rPr>
              <w:t xml:space="preserve"> [</w:t>
            </w:r>
            <w:r w:rsidRPr="00591DF4">
              <w:rPr>
                <w:rFonts w:cs="Calibri"/>
                <w:b/>
                <w:i/>
                <w:sz w:val="18"/>
                <w:szCs w:val="18"/>
              </w:rPr>
              <w:t>angularis</w:t>
            </w:r>
            <w:r w:rsidRPr="00591DF4">
              <w:rPr>
                <w:rFonts w:cs="Calibri"/>
                <w:b/>
                <w:sz w:val="18"/>
                <w:szCs w:val="18"/>
              </w:rPr>
              <w:t xml:space="preserve">] </w:t>
            </w:r>
            <w:r w:rsidRPr="00591DF4">
              <w:rPr>
                <w:rFonts w:cs="Calibri"/>
                <w:b/>
                <w:i/>
                <w:sz w:val="18"/>
                <w:szCs w:val="18"/>
              </w:rPr>
              <w:t>bidens</w:t>
            </w:r>
            <w:r w:rsidRPr="00591DF4">
              <w:rPr>
                <w:rFonts w:cs="Calibri"/>
                <w:sz w:val="18"/>
                <w:szCs w:val="18"/>
              </w:rPr>
              <w:t xml:space="preserve">, </w:t>
            </w:r>
            <w:r w:rsidRPr="00591DF4">
              <w:rPr>
                <w:rFonts w:cs="Calibri"/>
                <w:b/>
                <w:i/>
                <w:sz w:val="18"/>
                <w:szCs w:val="18"/>
              </w:rPr>
              <w:t>Filinia terminalis</w:t>
            </w:r>
            <w:r w:rsidRPr="00591DF4">
              <w:rPr>
                <w:rFonts w:cs="Calibri"/>
                <w:sz w:val="18"/>
                <w:szCs w:val="18"/>
              </w:rPr>
              <w:t xml:space="preserve">, </w:t>
            </w:r>
            <w:r w:rsidRPr="00591DF4">
              <w:rPr>
                <w:rFonts w:cs="Calibri"/>
                <w:i/>
                <w:sz w:val="18"/>
                <w:szCs w:val="18"/>
              </w:rPr>
              <w:t>Anuraeopsis coelata</w:t>
            </w:r>
            <w:r w:rsidRPr="00591DF4">
              <w:rPr>
                <w:rFonts w:cs="Calibri"/>
                <w:sz w:val="18"/>
                <w:szCs w:val="18"/>
              </w:rPr>
              <w:t xml:space="preserve">, </w:t>
            </w:r>
            <w:r w:rsidRPr="00591DF4">
              <w:rPr>
                <w:rFonts w:cs="Calibri"/>
                <w:i/>
                <w:sz w:val="18"/>
                <w:szCs w:val="18"/>
              </w:rPr>
              <w:t>Hexarthra braziliensis</w:t>
            </w:r>
            <w:r w:rsidRPr="00591DF4">
              <w:rPr>
                <w:rFonts w:cs="Calibri"/>
                <w:sz w:val="18"/>
                <w:szCs w:val="18"/>
              </w:rPr>
              <w:t xml:space="preserve">, </w:t>
            </w:r>
            <w:r w:rsidRPr="00591DF4">
              <w:rPr>
                <w:rFonts w:cs="Calibri"/>
                <w:i/>
                <w:sz w:val="18"/>
                <w:szCs w:val="18"/>
              </w:rPr>
              <w:t>Trichocerca similis</w:t>
            </w:r>
            <w:r w:rsidRPr="00591DF4">
              <w:rPr>
                <w:rFonts w:cs="Calibri"/>
                <w:sz w:val="18"/>
                <w:szCs w:val="18"/>
              </w:rPr>
              <w:t xml:space="preserve"> and </w:t>
            </w:r>
            <w:r w:rsidRPr="00591DF4">
              <w:rPr>
                <w:rFonts w:cs="Calibri"/>
                <w:i/>
                <w:sz w:val="18"/>
                <w:szCs w:val="18"/>
              </w:rPr>
              <w:t>Asplanchna priodonta</w:t>
            </w:r>
            <w:r w:rsidRPr="00591DF4">
              <w:rPr>
                <w:rFonts w:cs="Calibri"/>
                <w:sz w:val="18"/>
                <w:szCs w:val="18"/>
              </w:rPr>
              <w:t xml:space="preserve">. </w:t>
            </w:r>
          </w:p>
        </w:tc>
        <w:tc>
          <w:tcPr>
            <w:tcW w:w="612" w:type="pct"/>
            <w:shd w:val="clear" w:color="auto" w:fill="auto"/>
          </w:tcPr>
          <w:p w14:paraId="0D161FC1" w14:textId="77777777" w:rsidR="001D06D5" w:rsidRPr="00591DF4" w:rsidRDefault="001D06D5" w:rsidP="00C365DC">
            <w:pPr>
              <w:spacing w:line="240" w:lineRule="auto"/>
              <w:contextualSpacing/>
              <w:jc w:val="center"/>
              <w:rPr>
                <w:sz w:val="18"/>
                <w:szCs w:val="18"/>
              </w:rPr>
            </w:pPr>
            <w:r w:rsidRPr="00591DF4">
              <w:rPr>
                <w:sz w:val="18"/>
                <w:szCs w:val="18"/>
              </w:rPr>
              <w:t>38.77%</w:t>
            </w:r>
          </w:p>
          <w:p w14:paraId="24CCE25E" w14:textId="77777777" w:rsidR="001D06D5" w:rsidRPr="00591DF4" w:rsidRDefault="001D06D5" w:rsidP="00C365DC">
            <w:pPr>
              <w:spacing w:line="240" w:lineRule="auto"/>
              <w:contextualSpacing/>
              <w:rPr>
                <w:sz w:val="18"/>
                <w:szCs w:val="18"/>
                <w:highlight w:val="yellow"/>
              </w:rPr>
            </w:pPr>
            <w:r w:rsidRPr="00591DF4">
              <w:rPr>
                <w:rFonts w:cs="Calibri"/>
                <w:i/>
                <w:sz w:val="18"/>
                <w:szCs w:val="18"/>
              </w:rPr>
              <w:t>Keratella lenzi</w:t>
            </w:r>
            <w:r w:rsidRPr="00591DF4">
              <w:rPr>
                <w:rFonts w:cs="Calibri"/>
                <w:sz w:val="18"/>
                <w:szCs w:val="18"/>
              </w:rPr>
              <w:t xml:space="preserve">, </w:t>
            </w:r>
            <w:r w:rsidRPr="00591DF4">
              <w:rPr>
                <w:rFonts w:cs="Calibri"/>
                <w:i/>
                <w:sz w:val="18"/>
                <w:szCs w:val="18"/>
              </w:rPr>
              <w:t>Asplanchna priodonta</w:t>
            </w:r>
            <w:r w:rsidRPr="00591DF4">
              <w:rPr>
                <w:rFonts w:cs="Calibri"/>
                <w:sz w:val="18"/>
                <w:szCs w:val="18"/>
              </w:rPr>
              <w:t xml:space="preserve">, </w:t>
            </w:r>
            <w:r w:rsidRPr="00591DF4">
              <w:rPr>
                <w:rFonts w:cs="Calibri"/>
                <w:i/>
                <w:sz w:val="18"/>
                <w:szCs w:val="18"/>
              </w:rPr>
              <w:t>Trichocerca similis</w:t>
            </w:r>
            <w:r w:rsidRPr="00591DF4">
              <w:rPr>
                <w:rFonts w:cs="Calibri"/>
                <w:sz w:val="18"/>
                <w:szCs w:val="18"/>
              </w:rPr>
              <w:t xml:space="preserve">, </w:t>
            </w:r>
            <w:r w:rsidRPr="00591DF4">
              <w:rPr>
                <w:rFonts w:cs="Calibri"/>
                <w:i/>
                <w:sz w:val="18"/>
                <w:szCs w:val="18"/>
              </w:rPr>
              <w:t>Anuraeopsis coelata</w:t>
            </w:r>
            <w:r w:rsidRPr="00591DF4">
              <w:rPr>
                <w:rFonts w:cs="Calibri"/>
                <w:sz w:val="18"/>
                <w:szCs w:val="18"/>
              </w:rPr>
              <w:t xml:space="preserve">, </w:t>
            </w:r>
            <w:r w:rsidRPr="00591DF4">
              <w:rPr>
                <w:rFonts w:cs="Calibri"/>
                <w:i/>
                <w:sz w:val="18"/>
                <w:szCs w:val="18"/>
              </w:rPr>
              <w:t>Hexarthra braziliensis</w:t>
            </w:r>
            <w:r w:rsidRPr="00591DF4">
              <w:rPr>
                <w:rFonts w:cs="Calibri"/>
                <w:sz w:val="18"/>
                <w:szCs w:val="18"/>
              </w:rPr>
              <w:t xml:space="preserve">, </w:t>
            </w:r>
            <w:r w:rsidRPr="00591DF4">
              <w:rPr>
                <w:rFonts w:cs="Calibri"/>
                <w:b/>
                <w:i/>
                <w:sz w:val="18"/>
                <w:szCs w:val="18"/>
              </w:rPr>
              <w:t>Hexarthra</w:t>
            </w:r>
            <w:r w:rsidRPr="00591DF4">
              <w:rPr>
                <w:rFonts w:cs="Calibri"/>
                <w:b/>
                <w:sz w:val="18"/>
                <w:szCs w:val="18"/>
              </w:rPr>
              <w:t xml:space="preserve"> sp. [?spp.]</w:t>
            </w:r>
            <w:r w:rsidRPr="00591DF4">
              <w:rPr>
                <w:rFonts w:cs="Calibri"/>
                <w:sz w:val="18"/>
                <w:szCs w:val="18"/>
              </w:rPr>
              <w:t xml:space="preserve">, </w:t>
            </w:r>
            <w:r w:rsidRPr="00591DF4">
              <w:rPr>
                <w:rFonts w:cs="Calibri"/>
                <w:i/>
                <w:sz w:val="18"/>
                <w:szCs w:val="18"/>
              </w:rPr>
              <w:t>Keratella</w:t>
            </w:r>
            <w:r w:rsidRPr="00591DF4">
              <w:rPr>
                <w:rFonts w:cs="Calibri"/>
                <w:sz w:val="18"/>
                <w:szCs w:val="18"/>
              </w:rPr>
              <w:t xml:space="preserve"> cf. </w:t>
            </w:r>
            <w:r w:rsidRPr="00591DF4">
              <w:rPr>
                <w:rFonts w:cs="Calibri"/>
                <w:i/>
                <w:sz w:val="18"/>
                <w:szCs w:val="18"/>
              </w:rPr>
              <w:t>americana</w:t>
            </w:r>
            <w:r w:rsidRPr="00591DF4">
              <w:rPr>
                <w:rFonts w:cs="Calibri"/>
                <w:sz w:val="18"/>
                <w:szCs w:val="18"/>
              </w:rPr>
              <w:t xml:space="preserve">, </w:t>
            </w:r>
            <w:r w:rsidRPr="00591DF4">
              <w:rPr>
                <w:rFonts w:cs="Calibri"/>
                <w:b/>
                <w:i/>
                <w:sz w:val="18"/>
                <w:szCs w:val="18"/>
              </w:rPr>
              <w:t>Brachionus</w:t>
            </w:r>
            <w:r w:rsidRPr="00591DF4">
              <w:rPr>
                <w:rFonts w:cs="Calibri"/>
                <w:b/>
                <w:sz w:val="18"/>
                <w:szCs w:val="18"/>
              </w:rPr>
              <w:t xml:space="preserve"> [</w:t>
            </w:r>
            <w:r w:rsidRPr="00591DF4">
              <w:rPr>
                <w:rFonts w:cs="Calibri"/>
                <w:b/>
                <w:i/>
                <w:sz w:val="18"/>
                <w:szCs w:val="18"/>
              </w:rPr>
              <w:t>angularis</w:t>
            </w:r>
            <w:r w:rsidRPr="00591DF4">
              <w:rPr>
                <w:rFonts w:cs="Calibri"/>
                <w:b/>
                <w:sz w:val="18"/>
                <w:szCs w:val="18"/>
              </w:rPr>
              <w:t xml:space="preserve">] </w:t>
            </w:r>
            <w:r w:rsidRPr="00591DF4">
              <w:rPr>
                <w:rFonts w:cs="Calibri"/>
                <w:b/>
                <w:i/>
                <w:sz w:val="18"/>
                <w:szCs w:val="18"/>
              </w:rPr>
              <w:t>bidens</w:t>
            </w:r>
            <w:r w:rsidRPr="00591DF4">
              <w:rPr>
                <w:rFonts w:cs="Calibri"/>
                <w:sz w:val="18"/>
                <w:szCs w:val="18"/>
              </w:rPr>
              <w:t xml:space="preserve">, </w:t>
            </w:r>
            <w:r w:rsidRPr="00591DF4">
              <w:rPr>
                <w:rFonts w:cs="Calibri"/>
                <w:i/>
                <w:sz w:val="18"/>
                <w:szCs w:val="18"/>
              </w:rPr>
              <w:t>Synchaeta pectinata</w:t>
            </w:r>
            <w:r w:rsidRPr="00591DF4">
              <w:rPr>
                <w:rFonts w:cs="Calibri"/>
                <w:sz w:val="18"/>
                <w:szCs w:val="18"/>
              </w:rPr>
              <w:t xml:space="preserve"> [med-lg] and </w:t>
            </w:r>
            <w:r w:rsidRPr="00591DF4">
              <w:rPr>
                <w:rFonts w:cs="Calibri"/>
                <w:b/>
                <w:i/>
                <w:sz w:val="18"/>
                <w:szCs w:val="18"/>
              </w:rPr>
              <w:t>Keratella javana</w:t>
            </w:r>
            <w:r w:rsidRPr="00591DF4">
              <w:rPr>
                <w:rFonts w:cs="Calibri"/>
                <w:sz w:val="18"/>
                <w:szCs w:val="18"/>
              </w:rPr>
              <w:t>.</w:t>
            </w:r>
          </w:p>
        </w:tc>
        <w:tc>
          <w:tcPr>
            <w:tcW w:w="511" w:type="pct"/>
            <w:shd w:val="clear" w:color="auto" w:fill="auto"/>
          </w:tcPr>
          <w:p w14:paraId="6314ECEA" w14:textId="77777777" w:rsidR="001D06D5" w:rsidRPr="00591DF4" w:rsidRDefault="001D06D5" w:rsidP="00C365DC">
            <w:pPr>
              <w:spacing w:line="240" w:lineRule="auto"/>
              <w:contextualSpacing/>
              <w:jc w:val="center"/>
              <w:rPr>
                <w:sz w:val="18"/>
                <w:szCs w:val="18"/>
              </w:rPr>
            </w:pPr>
            <w:r w:rsidRPr="00591DF4">
              <w:rPr>
                <w:sz w:val="18"/>
                <w:szCs w:val="18"/>
              </w:rPr>
              <w:t>41.31%</w:t>
            </w:r>
          </w:p>
          <w:p w14:paraId="34D1B2C3" w14:textId="77777777" w:rsidR="001D06D5" w:rsidRPr="00591DF4" w:rsidRDefault="001D06D5" w:rsidP="00C365DC">
            <w:pPr>
              <w:spacing w:line="240" w:lineRule="auto"/>
              <w:contextualSpacing/>
              <w:rPr>
                <w:sz w:val="18"/>
                <w:szCs w:val="18"/>
                <w:highlight w:val="yellow"/>
              </w:rPr>
            </w:pPr>
            <w:r w:rsidRPr="00591DF4">
              <w:rPr>
                <w:rFonts w:cs="Calibri"/>
                <w:i/>
                <w:sz w:val="18"/>
                <w:szCs w:val="18"/>
              </w:rPr>
              <w:t>Trichocerca similis</w:t>
            </w:r>
            <w:r w:rsidRPr="00591DF4">
              <w:rPr>
                <w:rFonts w:cs="Calibri"/>
                <w:sz w:val="18"/>
                <w:szCs w:val="18"/>
              </w:rPr>
              <w:t xml:space="preserve">, </w:t>
            </w:r>
            <w:r w:rsidRPr="00591DF4">
              <w:rPr>
                <w:rFonts w:cs="Calibri"/>
                <w:i/>
                <w:sz w:val="18"/>
                <w:szCs w:val="18"/>
              </w:rPr>
              <w:t>Asplanchna priodonta</w:t>
            </w:r>
            <w:r w:rsidRPr="00591DF4">
              <w:rPr>
                <w:rFonts w:cs="Calibri"/>
                <w:sz w:val="18"/>
                <w:szCs w:val="18"/>
              </w:rPr>
              <w:t xml:space="preserve">, </w:t>
            </w:r>
            <w:r w:rsidRPr="00591DF4">
              <w:rPr>
                <w:rFonts w:cs="Calibri"/>
                <w:i/>
                <w:sz w:val="18"/>
                <w:szCs w:val="18"/>
              </w:rPr>
              <w:t>Hexarthra braziliensis</w:t>
            </w:r>
            <w:r w:rsidRPr="00591DF4">
              <w:rPr>
                <w:rFonts w:cs="Calibri"/>
                <w:sz w:val="18"/>
                <w:szCs w:val="18"/>
              </w:rPr>
              <w:t xml:space="preserve">, </w:t>
            </w:r>
            <w:r w:rsidRPr="00591DF4">
              <w:rPr>
                <w:rFonts w:cs="Calibri"/>
                <w:b/>
                <w:i/>
                <w:sz w:val="18"/>
                <w:szCs w:val="18"/>
              </w:rPr>
              <w:t>Keratella javana</w:t>
            </w:r>
            <w:r w:rsidRPr="00591DF4">
              <w:rPr>
                <w:rFonts w:cs="Calibri"/>
                <w:sz w:val="18"/>
                <w:szCs w:val="18"/>
              </w:rPr>
              <w:t xml:space="preserve">, </w:t>
            </w:r>
            <w:r w:rsidRPr="00591DF4">
              <w:rPr>
                <w:rFonts w:cs="Calibri"/>
                <w:b/>
                <w:i/>
                <w:sz w:val="18"/>
                <w:szCs w:val="18"/>
              </w:rPr>
              <w:t>Brachionus</w:t>
            </w:r>
            <w:r w:rsidRPr="00591DF4">
              <w:rPr>
                <w:rFonts w:cs="Calibri"/>
                <w:b/>
                <w:sz w:val="18"/>
                <w:szCs w:val="18"/>
              </w:rPr>
              <w:t xml:space="preserve"> [</w:t>
            </w:r>
            <w:r w:rsidRPr="00591DF4">
              <w:rPr>
                <w:rFonts w:cs="Calibri"/>
                <w:b/>
                <w:i/>
                <w:sz w:val="18"/>
                <w:szCs w:val="18"/>
              </w:rPr>
              <w:t>angularis</w:t>
            </w:r>
            <w:r w:rsidRPr="00591DF4">
              <w:rPr>
                <w:rFonts w:cs="Calibri"/>
                <w:b/>
                <w:sz w:val="18"/>
                <w:szCs w:val="18"/>
              </w:rPr>
              <w:t xml:space="preserve">] </w:t>
            </w:r>
            <w:r w:rsidRPr="00591DF4">
              <w:rPr>
                <w:rFonts w:cs="Calibri"/>
                <w:b/>
                <w:i/>
                <w:sz w:val="18"/>
                <w:szCs w:val="18"/>
              </w:rPr>
              <w:t>bidens</w:t>
            </w:r>
            <w:r w:rsidRPr="00591DF4">
              <w:rPr>
                <w:rFonts w:cs="Calibri"/>
                <w:sz w:val="18"/>
                <w:szCs w:val="18"/>
              </w:rPr>
              <w:t xml:space="preserve">, </w:t>
            </w:r>
            <w:r w:rsidRPr="00591DF4">
              <w:rPr>
                <w:rFonts w:cs="Calibri"/>
                <w:b/>
                <w:i/>
                <w:sz w:val="18"/>
                <w:szCs w:val="18"/>
              </w:rPr>
              <w:t>Hexarthra</w:t>
            </w:r>
            <w:r w:rsidRPr="00591DF4">
              <w:rPr>
                <w:rFonts w:cs="Calibri"/>
                <w:b/>
                <w:sz w:val="18"/>
                <w:szCs w:val="18"/>
              </w:rPr>
              <w:t xml:space="preserve"> sp. [?spp.]</w:t>
            </w:r>
            <w:r w:rsidRPr="00591DF4">
              <w:rPr>
                <w:rFonts w:cs="Calibri"/>
                <w:sz w:val="18"/>
                <w:szCs w:val="18"/>
              </w:rPr>
              <w:t xml:space="preserve">, </w:t>
            </w:r>
            <w:r w:rsidRPr="00591DF4">
              <w:rPr>
                <w:rFonts w:cs="Calibri"/>
                <w:i/>
                <w:sz w:val="18"/>
                <w:szCs w:val="18"/>
              </w:rPr>
              <w:t>Difflugia</w:t>
            </w:r>
            <w:r w:rsidRPr="00591DF4">
              <w:rPr>
                <w:rFonts w:cs="Calibri"/>
                <w:sz w:val="18"/>
                <w:szCs w:val="18"/>
              </w:rPr>
              <w:t xml:space="preserve"> cf. </w:t>
            </w:r>
            <w:r w:rsidRPr="00591DF4">
              <w:rPr>
                <w:rFonts w:cs="Calibri"/>
                <w:i/>
                <w:sz w:val="18"/>
                <w:szCs w:val="18"/>
              </w:rPr>
              <w:t>fallax</w:t>
            </w:r>
            <w:r w:rsidRPr="00591DF4">
              <w:rPr>
                <w:rFonts w:cs="Calibri"/>
                <w:sz w:val="18"/>
                <w:szCs w:val="18"/>
              </w:rPr>
              <w:t xml:space="preserve">, </w:t>
            </w:r>
            <w:r w:rsidRPr="00591DF4">
              <w:rPr>
                <w:rFonts w:cs="Calibri"/>
                <w:i/>
                <w:sz w:val="18"/>
                <w:szCs w:val="18"/>
              </w:rPr>
              <w:t>Filinia australiensis</w:t>
            </w:r>
            <w:r w:rsidRPr="00591DF4">
              <w:rPr>
                <w:rFonts w:cs="Calibri"/>
                <w:sz w:val="18"/>
                <w:szCs w:val="18"/>
              </w:rPr>
              <w:t xml:space="preserve">, </w:t>
            </w:r>
            <w:r w:rsidRPr="00591DF4">
              <w:rPr>
                <w:rFonts w:cs="Calibri"/>
                <w:i/>
                <w:sz w:val="18"/>
                <w:szCs w:val="18"/>
              </w:rPr>
              <w:t>Anuraeopsis coelata</w:t>
            </w:r>
            <w:r w:rsidRPr="00591DF4">
              <w:rPr>
                <w:rFonts w:cs="Calibri"/>
                <w:sz w:val="18"/>
                <w:szCs w:val="18"/>
              </w:rPr>
              <w:t xml:space="preserve">, </w:t>
            </w:r>
            <w:r w:rsidRPr="00591DF4">
              <w:rPr>
                <w:rFonts w:cs="Calibri"/>
                <w:i/>
                <w:sz w:val="18"/>
                <w:szCs w:val="18"/>
              </w:rPr>
              <w:t xml:space="preserve">Filinia longiseta </w:t>
            </w:r>
            <w:r w:rsidRPr="00591DF4">
              <w:rPr>
                <w:rFonts w:cs="Calibri"/>
                <w:sz w:val="18"/>
                <w:szCs w:val="18"/>
              </w:rPr>
              <w:t xml:space="preserve">and </w:t>
            </w:r>
            <w:r w:rsidRPr="00591DF4">
              <w:rPr>
                <w:rFonts w:cs="Calibri"/>
                <w:i/>
                <w:sz w:val="18"/>
                <w:szCs w:val="18"/>
              </w:rPr>
              <w:t xml:space="preserve">Keratella </w:t>
            </w:r>
            <w:r w:rsidRPr="00591DF4">
              <w:rPr>
                <w:rFonts w:cs="Calibri"/>
                <w:sz w:val="18"/>
                <w:szCs w:val="18"/>
              </w:rPr>
              <w:t xml:space="preserve">cf. </w:t>
            </w:r>
            <w:r w:rsidRPr="00591DF4">
              <w:rPr>
                <w:rFonts w:cs="Calibri"/>
                <w:i/>
                <w:sz w:val="18"/>
                <w:szCs w:val="18"/>
              </w:rPr>
              <w:t>americana</w:t>
            </w:r>
            <w:r w:rsidRPr="00591DF4">
              <w:rPr>
                <w:rFonts w:cs="Calibri"/>
                <w:sz w:val="18"/>
                <w:szCs w:val="18"/>
              </w:rPr>
              <w:t>.</w:t>
            </w:r>
          </w:p>
        </w:tc>
      </w:tr>
    </w:tbl>
    <w:p w14:paraId="784757FE" w14:textId="77777777" w:rsidR="001D06D5" w:rsidRDefault="001D06D5" w:rsidP="007C0F7B">
      <w:pPr>
        <w:sectPr w:rsidR="001D06D5" w:rsidSect="00CC6640">
          <w:pgSz w:w="16840" w:h="11900" w:orient="landscape" w:code="9"/>
          <w:pgMar w:top="1440" w:right="1440" w:bottom="1440" w:left="1440" w:header="709" w:footer="709" w:gutter="0"/>
          <w:cols w:space="708"/>
          <w:docGrid w:linePitch="360"/>
        </w:sectPr>
      </w:pPr>
    </w:p>
    <w:p w14:paraId="495701DF" w14:textId="45A246A3" w:rsidR="001D06D5" w:rsidRDefault="001D06D5" w:rsidP="001D06D5">
      <w:pPr>
        <w:rPr>
          <w:rFonts w:cstheme="minorHAnsi"/>
        </w:rPr>
      </w:pPr>
      <w:r w:rsidRPr="009B139E">
        <w:lastRenderedPageBreak/>
        <w:t>All environmental predictor variables for the microinvertebrate assemblage structure below Lock 6 were significant</w:t>
      </w:r>
      <w:r>
        <w:t xml:space="preserve"> (Table G4)</w:t>
      </w:r>
      <w:r w:rsidRPr="009B139E">
        <w:t>. However, the best combination of environmental predictor variables was pH, water temperature and river flow</w:t>
      </w:r>
      <w:r>
        <w:t>, which</w:t>
      </w:r>
      <w:r w:rsidRPr="009B139E">
        <w:t xml:space="preserve"> </w:t>
      </w:r>
      <w:r>
        <w:t xml:space="preserve">collectively </w:t>
      </w:r>
      <w:r w:rsidRPr="009B139E">
        <w:t>explained 35.4% of the variation</w:t>
      </w:r>
      <w:r>
        <w:t xml:space="preserve"> (Table G4)</w:t>
      </w:r>
      <w:r w:rsidRPr="009B139E">
        <w:t>. River flow was the best environmental variable to explain the horizontal separation of the data cloud, while pH and water temperature best explained the vertical separation (Figure G</w:t>
      </w:r>
      <w:r w:rsidR="00603C34">
        <w:t>7</w:t>
      </w:r>
      <w:r w:rsidRPr="009B139E">
        <w:t>).</w:t>
      </w:r>
      <w:r w:rsidRPr="003B594F">
        <w:rPr>
          <w:rFonts w:cstheme="minorHAnsi"/>
        </w:rPr>
        <w:t xml:space="preserve"> </w:t>
      </w:r>
    </w:p>
    <w:p w14:paraId="29EF93B1" w14:textId="77777777" w:rsidR="001D06D5" w:rsidRDefault="001D06D5" w:rsidP="00B46038">
      <w:pPr>
        <w:pStyle w:val="Captions"/>
      </w:pPr>
      <w:r>
        <w:t xml:space="preserve">Table G4. DistLM sequential results indicating which physico-chemical variable significantly contributed most the </w:t>
      </w:r>
      <w:r w:rsidRPr="009B139E">
        <w:t>relationship with the microinvertebrate data cloud for below Lock 6. * = groups significantly different.</w:t>
      </w:r>
    </w:p>
    <w:tbl>
      <w:tblPr>
        <w:tblStyle w:val="TableGrid"/>
        <w:tblW w:w="0" w:type="auto"/>
        <w:tblLook w:val="04A0" w:firstRow="1" w:lastRow="0" w:firstColumn="1" w:lastColumn="0" w:noHBand="0" w:noVBand="1"/>
      </w:tblPr>
      <w:tblGrid>
        <w:gridCol w:w="1802"/>
        <w:gridCol w:w="1802"/>
        <w:gridCol w:w="1802"/>
        <w:gridCol w:w="1802"/>
        <w:gridCol w:w="1802"/>
      </w:tblGrid>
      <w:tr w:rsidR="001D06D5" w:rsidRPr="00555A65" w14:paraId="67AB196A" w14:textId="77777777" w:rsidTr="00C365DC">
        <w:trPr>
          <w:trHeight w:val="283"/>
        </w:trPr>
        <w:tc>
          <w:tcPr>
            <w:tcW w:w="1802" w:type="dxa"/>
          </w:tcPr>
          <w:p w14:paraId="6701B24F" w14:textId="77777777" w:rsidR="001D06D5" w:rsidRPr="00555A65" w:rsidRDefault="001D06D5" w:rsidP="00C365DC">
            <w:pPr>
              <w:spacing w:line="240" w:lineRule="auto"/>
              <w:contextualSpacing/>
              <w:rPr>
                <w:rFonts w:cstheme="minorHAnsi"/>
                <w:b/>
                <w:sz w:val="19"/>
                <w:szCs w:val="19"/>
              </w:rPr>
            </w:pPr>
            <w:r w:rsidRPr="00555A65">
              <w:rPr>
                <w:rFonts w:cstheme="minorHAnsi"/>
                <w:b/>
                <w:sz w:val="19"/>
                <w:szCs w:val="19"/>
              </w:rPr>
              <w:t>Variable</w:t>
            </w:r>
          </w:p>
        </w:tc>
        <w:tc>
          <w:tcPr>
            <w:tcW w:w="1802" w:type="dxa"/>
          </w:tcPr>
          <w:p w14:paraId="472265B4" w14:textId="77777777" w:rsidR="001D06D5" w:rsidRPr="00555A65" w:rsidRDefault="001D06D5" w:rsidP="00C365DC">
            <w:pPr>
              <w:spacing w:line="240" w:lineRule="auto"/>
              <w:contextualSpacing/>
              <w:rPr>
                <w:rFonts w:cstheme="minorHAnsi"/>
                <w:b/>
                <w:sz w:val="19"/>
                <w:szCs w:val="19"/>
              </w:rPr>
            </w:pPr>
            <w:r w:rsidRPr="00555A65">
              <w:rPr>
                <w:rFonts w:cstheme="minorHAnsi"/>
                <w:b/>
                <w:sz w:val="19"/>
                <w:szCs w:val="19"/>
              </w:rPr>
              <w:t>Pseudo-F</w:t>
            </w:r>
          </w:p>
        </w:tc>
        <w:tc>
          <w:tcPr>
            <w:tcW w:w="1802" w:type="dxa"/>
          </w:tcPr>
          <w:p w14:paraId="0DA47E8A" w14:textId="77777777" w:rsidR="001D06D5" w:rsidRPr="00555A65" w:rsidRDefault="001D06D5" w:rsidP="00C365DC">
            <w:pPr>
              <w:spacing w:line="240" w:lineRule="auto"/>
              <w:contextualSpacing/>
              <w:rPr>
                <w:rFonts w:cstheme="minorHAnsi"/>
                <w:b/>
                <w:sz w:val="19"/>
                <w:szCs w:val="19"/>
              </w:rPr>
            </w:pPr>
            <w:r w:rsidRPr="00555A65">
              <w:rPr>
                <w:rFonts w:cstheme="minorHAnsi"/>
                <w:b/>
                <w:sz w:val="19"/>
                <w:szCs w:val="19"/>
              </w:rPr>
              <w:t>P</w:t>
            </w:r>
          </w:p>
        </w:tc>
        <w:tc>
          <w:tcPr>
            <w:tcW w:w="1802" w:type="dxa"/>
          </w:tcPr>
          <w:p w14:paraId="7A9726EE" w14:textId="77777777" w:rsidR="001D06D5" w:rsidRPr="00555A65" w:rsidRDefault="001D06D5" w:rsidP="00C365DC">
            <w:pPr>
              <w:spacing w:line="240" w:lineRule="auto"/>
              <w:contextualSpacing/>
              <w:rPr>
                <w:rFonts w:cstheme="minorHAnsi"/>
                <w:b/>
                <w:sz w:val="19"/>
                <w:szCs w:val="19"/>
              </w:rPr>
            </w:pPr>
            <w:r w:rsidRPr="00555A65">
              <w:rPr>
                <w:rFonts w:cstheme="minorHAnsi"/>
                <w:b/>
                <w:sz w:val="19"/>
                <w:szCs w:val="19"/>
              </w:rPr>
              <w:t>Prop.</w:t>
            </w:r>
          </w:p>
        </w:tc>
        <w:tc>
          <w:tcPr>
            <w:tcW w:w="1802" w:type="dxa"/>
          </w:tcPr>
          <w:p w14:paraId="13BD7E83" w14:textId="77777777" w:rsidR="001D06D5" w:rsidRPr="00555A65" w:rsidRDefault="001D06D5" w:rsidP="00C365DC">
            <w:pPr>
              <w:spacing w:line="240" w:lineRule="auto"/>
              <w:contextualSpacing/>
              <w:rPr>
                <w:rFonts w:cstheme="minorHAnsi"/>
                <w:b/>
                <w:sz w:val="19"/>
                <w:szCs w:val="19"/>
              </w:rPr>
            </w:pPr>
            <w:r w:rsidRPr="00555A65">
              <w:rPr>
                <w:rFonts w:cstheme="minorHAnsi"/>
                <w:b/>
                <w:sz w:val="19"/>
                <w:szCs w:val="19"/>
              </w:rPr>
              <w:t>Cumul.</w:t>
            </w:r>
          </w:p>
        </w:tc>
      </w:tr>
      <w:tr w:rsidR="001D06D5" w:rsidRPr="00555A65" w14:paraId="5992F982" w14:textId="77777777" w:rsidTr="00C365DC">
        <w:trPr>
          <w:trHeight w:val="283"/>
        </w:trPr>
        <w:tc>
          <w:tcPr>
            <w:tcW w:w="1802" w:type="dxa"/>
          </w:tcPr>
          <w:p w14:paraId="29FAEFB2"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pH</w:t>
            </w:r>
          </w:p>
        </w:tc>
        <w:tc>
          <w:tcPr>
            <w:tcW w:w="1802" w:type="dxa"/>
          </w:tcPr>
          <w:p w14:paraId="1ACA40A1"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6.3253</w:t>
            </w:r>
          </w:p>
        </w:tc>
        <w:tc>
          <w:tcPr>
            <w:tcW w:w="1802" w:type="dxa"/>
          </w:tcPr>
          <w:p w14:paraId="5C1E2678"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0.0001*</w:t>
            </w:r>
          </w:p>
        </w:tc>
        <w:tc>
          <w:tcPr>
            <w:tcW w:w="1802" w:type="dxa"/>
          </w:tcPr>
          <w:p w14:paraId="0BB6BC76"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0.15197</w:t>
            </w:r>
          </w:p>
        </w:tc>
        <w:tc>
          <w:tcPr>
            <w:tcW w:w="1802" w:type="dxa"/>
          </w:tcPr>
          <w:p w14:paraId="7C68BFCC"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0.15197</w:t>
            </w:r>
          </w:p>
        </w:tc>
      </w:tr>
      <w:tr w:rsidR="001D06D5" w:rsidRPr="00555A65" w14:paraId="409CA8C3" w14:textId="77777777" w:rsidTr="00C365DC">
        <w:trPr>
          <w:trHeight w:val="283"/>
        </w:trPr>
        <w:tc>
          <w:tcPr>
            <w:tcW w:w="1802" w:type="dxa"/>
          </w:tcPr>
          <w:p w14:paraId="767AC890"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Water temperature</w:t>
            </w:r>
          </w:p>
        </w:tc>
        <w:tc>
          <w:tcPr>
            <w:tcW w:w="1802" w:type="dxa"/>
          </w:tcPr>
          <w:p w14:paraId="5F6D426F"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4.8226</w:t>
            </w:r>
          </w:p>
        </w:tc>
        <w:tc>
          <w:tcPr>
            <w:tcW w:w="1802" w:type="dxa"/>
          </w:tcPr>
          <w:p w14:paraId="7D9A7B8E"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0.0001*</w:t>
            </w:r>
          </w:p>
        </w:tc>
        <w:tc>
          <w:tcPr>
            <w:tcW w:w="1802" w:type="dxa"/>
          </w:tcPr>
          <w:p w14:paraId="2A82F19F"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0.10195</w:t>
            </w:r>
          </w:p>
        </w:tc>
        <w:tc>
          <w:tcPr>
            <w:tcW w:w="1802" w:type="dxa"/>
          </w:tcPr>
          <w:p w14:paraId="7C7C1E20"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0.25392</w:t>
            </w:r>
          </w:p>
        </w:tc>
      </w:tr>
      <w:tr w:rsidR="001D06D5" w:rsidRPr="00555A65" w14:paraId="7104C2F6" w14:textId="77777777" w:rsidTr="00C365DC">
        <w:trPr>
          <w:trHeight w:val="283"/>
        </w:trPr>
        <w:tc>
          <w:tcPr>
            <w:tcW w:w="1802" w:type="dxa"/>
          </w:tcPr>
          <w:p w14:paraId="5503137C"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Mean QSA flow</w:t>
            </w:r>
          </w:p>
        </w:tc>
        <w:tc>
          <w:tcPr>
            <w:tcW w:w="1802" w:type="dxa"/>
          </w:tcPr>
          <w:p w14:paraId="720F634C"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5.8548</w:t>
            </w:r>
          </w:p>
        </w:tc>
        <w:tc>
          <w:tcPr>
            <w:tcW w:w="1802" w:type="dxa"/>
          </w:tcPr>
          <w:p w14:paraId="53613FFD"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0.0001*</w:t>
            </w:r>
          </w:p>
        </w:tc>
        <w:tc>
          <w:tcPr>
            <w:tcW w:w="1802" w:type="dxa"/>
          </w:tcPr>
          <w:p w14:paraId="54E09D9B"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0.10051</w:t>
            </w:r>
          </w:p>
        </w:tc>
        <w:tc>
          <w:tcPr>
            <w:tcW w:w="1802" w:type="dxa"/>
          </w:tcPr>
          <w:p w14:paraId="480B3533"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0.35443</w:t>
            </w:r>
          </w:p>
        </w:tc>
      </w:tr>
      <w:tr w:rsidR="001D06D5" w:rsidRPr="00555A65" w14:paraId="05C1DA0C" w14:textId="77777777" w:rsidTr="00C365DC">
        <w:trPr>
          <w:trHeight w:val="283"/>
        </w:trPr>
        <w:tc>
          <w:tcPr>
            <w:tcW w:w="1802" w:type="dxa"/>
          </w:tcPr>
          <w:p w14:paraId="5EB8449C"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Dissolved oxygen</w:t>
            </w:r>
          </w:p>
        </w:tc>
        <w:tc>
          <w:tcPr>
            <w:tcW w:w="1802" w:type="dxa"/>
          </w:tcPr>
          <w:p w14:paraId="5E2D0E94"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3.2231</w:t>
            </w:r>
          </w:p>
        </w:tc>
        <w:tc>
          <w:tcPr>
            <w:tcW w:w="1802" w:type="dxa"/>
          </w:tcPr>
          <w:p w14:paraId="019531EA"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0.0029*</w:t>
            </w:r>
          </w:p>
        </w:tc>
        <w:tc>
          <w:tcPr>
            <w:tcW w:w="1802" w:type="dxa"/>
          </w:tcPr>
          <w:p w14:paraId="53A891EF"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0.097014</w:t>
            </w:r>
          </w:p>
        </w:tc>
        <w:tc>
          <w:tcPr>
            <w:tcW w:w="1802" w:type="dxa"/>
          </w:tcPr>
          <w:p w14:paraId="04F352F3"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0.45144</w:t>
            </w:r>
          </w:p>
        </w:tc>
      </w:tr>
      <w:tr w:rsidR="001D06D5" w:rsidRPr="00555A65" w14:paraId="0617BE3D" w14:textId="77777777" w:rsidTr="00C365DC">
        <w:trPr>
          <w:trHeight w:val="283"/>
        </w:trPr>
        <w:tc>
          <w:tcPr>
            <w:tcW w:w="1802" w:type="dxa"/>
          </w:tcPr>
          <w:p w14:paraId="78D6A073"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Electrical conductivity</w:t>
            </w:r>
          </w:p>
        </w:tc>
        <w:tc>
          <w:tcPr>
            <w:tcW w:w="1802" w:type="dxa"/>
          </w:tcPr>
          <w:p w14:paraId="5CD64E6B"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2.7532</w:t>
            </w:r>
          </w:p>
        </w:tc>
        <w:tc>
          <w:tcPr>
            <w:tcW w:w="1802" w:type="dxa"/>
          </w:tcPr>
          <w:p w14:paraId="248B356A"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0.0095*</w:t>
            </w:r>
          </w:p>
        </w:tc>
        <w:tc>
          <w:tcPr>
            <w:tcW w:w="1802" w:type="dxa"/>
          </w:tcPr>
          <w:p w14:paraId="0B8CF57C" w14:textId="77777777" w:rsidR="001D06D5" w:rsidRPr="00555A65" w:rsidRDefault="001D06D5" w:rsidP="00C365DC">
            <w:pPr>
              <w:spacing w:line="240" w:lineRule="auto"/>
              <w:contextualSpacing/>
              <w:jc w:val="left"/>
              <w:rPr>
                <w:rFonts w:cstheme="minorHAnsi"/>
                <w:sz w:val="19"/>
                <w:szCs w:val="19"/>
              </w:rPr>
            </w:pPr>
            <w:r w:rsidRPr="00555A65">
              <w:rPr>
                <w:rFonts w:cstheme="minorHAnsi"/>
                <w:sz w:val="19"/>
                <w:szCs w:val="19"/>
              </w:rPr>
              <w:t>0.078294</w:t>
            </w:r>
          </w:p>
        </w:tc>
        <w:tc>
          <w:tcPr>
            <w:tcW w:w="1802" w:type="dxa"/>
          </w:tcPr>
          <w:p w14:paraId="39B23E95"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0.52974</w:t>
            </w:r>
          </w:p>
        </w:tc>
      </w:tr>
      <w:tr w:rsidR="001D06D5" w:rsidRPr="00555A65" w14:paraId="044FF0A1" w14:textId="77777777" w:rsidTr="00C365DC">
        <w:trPr>
          <w:trHeight w:val="283"/>
        </w:trPr>
        <w:tc>
          <w:tcPr>
            <w:tcW w:w="1802" w:type="dxa"/>
          </w:tcPr>
          <w:p w14:paraId="57E9D10C"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Turbidity</w:t>
            </w:r>
          </w:p>
        </w:tc>
        <w:tc>
          <w:tcPr>
            <w:tcW w:w="1802" w:type="dxa"/>
          </w:tcPr>
          <w:p w14:paraId="40059D9D"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2.0159</w:t>
            </w:r>
          </w:p>
        </w:tc>
        <w:tc>
          <w:tcPr>
            <w:tcW w:w="1802" w:type="dxa"/>
          </w:tcPr>
          <w:p w14:paraId="327C6B39"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0.0218*</w:t>
            </w:r>
          </w:p>
        </w:tc>
        <w:tc>
          <w:tcPr>
            <w:tcW w:w="1802" w:type="dxa"/>
          </w:tcPr>
          <w:p w14:paraId="6A2A45B7"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0.04107</w:t>
            </w:r>
          </w:p>
        </w:tc>
        <w:tc>
          <w:tcPr>
            <w:tcW w:w="1802" w:type="dxa"/>
          </w:tcPr>
          <w:p w14:paraId="72C17FC7"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0.57081</w:t>
            </w:r>
          </w:p>
        </w:tc>
      </w:tr>
    </w:tbl>
    <w:p w14:paraId="2C30B794" w14:textId="77777777" w:rsidR="00C04BD6" w:rsidRDefault="00C04BD6">
      <w:pPr>
        <w:spacing w:before="0" w:after="200" w:line="276" w:lineRule="auto"/>
        <w:jc w:val="left"/>
      </w:pPr>
      <w:r>
        <w:br w:type="page"/>
      </w:r>
    </w:p>
    <w:p w14:paraId="40BBD3DC" w14:textId="2E0906A3" w:rsidR="001D06D5" w:rsidRDefault="00D31BF6" w:rsidP="0071797A">
      <w:pPr>
        <w:jc w:val="center"/>
        <w:rPr>
          <w:highlight w:val="yellow"/>
        </w:rPr>
      </w:pPr>
      <w:r w:rsidRPr="00D31BF6">
        <w:rPr>
          <w:noProof/>
          <w:lang w:eastAsia="en-AU"/>
        </w:rPr>
        <w:lastRenderedPageBreak/>
        <w:drawing>
          <wp:inline distT="0" distB="0" distL="0" distR="0" wp14:anchorId="23FDA7CF" wp14:editId="7D9A9312">
            <wp:extent cx="4820400" cy="3835997"/>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820400" cy="3835997"/>
                    </a:xfrm>
                    <a:prstGeom prst="rect">
                      <a:avLst/>
                    </a:prstGeom>
                    <a:noFill/>
                    <a:ln>
                      <a:noFill/>
                    </a:ln>
                  </pic:spPr>
                </pic:pic>
              </a:graphicData>
            </a:graphic>
          </wp:inline>
        </w:drawing>
      </w:r>
      <w:r w:rsidRPr="00D31BF6">
        <w:rPr>
          <w:highlight w:val="yellow"/>
        </w:rPr>
        <w:t xml:space="preserve"> </w:t>
      </w:r>
    </w:p>
    <w:p w14:paraId="00BB6C2D" w14:textId="183F7B7A" w:rsidR="001D06D5" w:rsidRPr="00907D3C" w:rsidRDefault="001D06D5" w:rsidP="00B46038">
      <w:pPr>
        <w:pStyle w:val="Captions"/>
      </w:pPr>
      <w:r w:rsidRPr="009B139E">
        <w:t>Figure G</w:t>
      </w:r>
      <w:r w:rsidR="00603C34">
        <w:t>7</w:t>
      </w:r>
      <w:r w:rsidRPr="009B139E">
        <w:t>.  dbRDA ordination of the fitted model of microinvertebrate assemblage data from below Lock 6 (based on Bray-Curtis measure of log transformed data) versus the predictor variables. The vector overlay indicates multiple partial correlations</w:t>
      </w:r>
      <w:r>
        <w:t xml:space="preserve"> (correlation coefficient &gt; 0.2)</w:t>
      </w:r>
      <w:r w:rsidR="00E03F39">
        <w:t xml:space="preserve"> between the predictor </w:t>
      </w:r>
      <w:r w:rsidRPr="009B139E">
        <w:t xml:space="preserve">variables and dbRDA axes 1 and 2. </w:t>
      </w:r>
    </w:p>
    <w:p w14:paraId="3131B83D" w14:textId="77777777" w:rsidR="001D06D5" w:rsidRPr="00F878B2" w:rsidRDefault="001D06D5" w:rsidP="001D06D5">
      <w:pPr>
        <w:rPr>
          <w:i/>
          <w:color w:val="auto"/>
          <w:szCs w:val="24"/>
        </w:rPr>
      </w:pPr>
      <w:r w:rsidRPr="00F878B2">
        <w:rPr>
          <w:i/>
          <w:color w:val="auto"/>
          <w:szCs w:val="24"/>
        </w:rPr>
        <w:t>Lock 1</w:t>
      </w:r>
    </w:p>
    <w:p w14:paraId="5B75D759" w14:textId="482FE957" w:rsidR="001D06D5" w:rsidRDefault="001D06D5" w:rsidP="001D06D5">
      <w:pPr>
        <w:rPr>
          <w:rFonts w:eastAsia="MS Mincho" w:cs="Arial"/>
          <w:b/>
          <w:bCs/>
          <w:color w:val="auto"/>
          <w:kern w:val="0"/>
          <w:sz w:val="20"/>
          <w:lang w:val="en-US"/>
        </w:rPr>
      </w:pPr>
      <w:r>
        <w:t>For sites below</w:t>
      </w:r>
      <w:r w:rsidRPr="00F01413">
        <w:t xml:space="preserve"> Lock 1, all sampling events were significantly different from one another (Tabl</w:t>
      </w:r>
      <w:r>
        <w:t>e G5</w:t>
      </w:r>
      <w:r w:rsidRPr="00F01413">
        <w:t xml:space="preserve"> and Figure </w:t>
      </w:r>
      <w:r>
        <w:t>G</w:t>
      </w:r>
      <w:r w:rsidR="00603C34">
        <w:t>8</w:t>
      </w:r>
      <w:r w:rsidRPr="00F01413">
        <w:t xml:space="preserve">). </w:t>
      </w:r>
      <w:r w:rsidRPr="00EE09FC">
        <w:t>Generally</w:t>
      </w:r>
      <w:r>
        <w:t>,</w:t>
      </w:r>
      <w:r w:rsidRPr="00EE09FC">
        <w:t xml:space="preserve"> separation between groups was high, with the exception of the </w:t>
      </w:r>
      <w:r>
        <w:t>late October</w:t>
      </w:r>
      <w:r w:rsidRPr="00EE09FC">
        <w:t xml:space="preserve"> and early </w:t>
      </w:r>
      <w:r>
        <w:t>November</w:t>
      </w:r>
      <w:r w:rsidRPr="00EE09FC">
        <w:t xml:space="preserve"> events,</w:t>
      </w:r>
      <w:r>
        <w:t xml:space="preserve"> and the January events,</w:t>
      </w:r>
      <w:r w:rsidRPr="00EE09FC">
        <w:t xml:space="preserve"> which were not as well separated although still significant (</w:t>
      </w:r>
      <w:r>
        <w:t>Table G5 and Figure G</w:t>
      </w:r>
      <w:r w:rsidR="00603C34">
        <w:t>8</w:t>
      </w:r>
      <w:r w:rsidRPr="00EE09FC">
        <w:t xml:space="preserve">). </w:t>
      </w:r>
      <w:r w:rsidR="004005F4">
        <w:t>The microinvertebrat</w:t>
      </w:r>
      <w:r>
        <w:t>e assemblage during mid-November 2015 was very distinct from other sampling events and had high within-sample variability (Figure G</w:t>
      </w:r>
      <w:r w:rsidR="00603C34">
        <w:t>8</w:t>
      </w:r>
      <w:r>
        <w:t xml:space="preserve">).  </w:t>
      </w:r>
    </w:p>
    <w:p w14:paraId="6D56F93A" w14:textId="77777777" w:rsidR="00C04BD6" w:rsidRDefault="00C04BD6" w:rsidP="00B46038">
      <w:pPr>
        <w:pStyle w:val="Captions"/>
      </w:pPr>
    </w:p>
    <w:p w14:paraId="7C74CA2E" w14:textId="77777777" w:rsidR="00C04BD6" w:rsidRDefault="00C04BD6">
      <w:pPr>
        <w:spacing w:before="0" w:after="200" w:line="276" w:lineRule="auto"/>
        <w:jc w:val="left"/>
        <w:rPr>
          <w:rFonts w:eastAsia="MS Mincho" w:cs="Arial"/>
          <w:b/>
          <w:bCs/>
          <w:color w:val="auto"/>
          <w:kern w:val="0"/>
          <w:sz w:val="20"/>
          <w:lang w:val="en-US"/>
        </w:rPr>
      </w:pPr>
      <w:r>
        <w:br w:type="page"/>
      </w:r>
    </w:p>
    <w:p w14:paraId="52D358D8" w14:textId="177BB78B" w:rsidR="001D06D5" w:rsidRPr="00F01413" w:rsidRDefault="00C04BD6" w:rsidP="00B46038">
      <w:pPr>
        <w:pStyle w:val="Captions"/>
        <w:rPr>
          <w:rFonts w:cs="Garamond"/>
          <w:szCs w:val="24"/>
        </w:rPr>
      </w:pPr>
      <w:r>
        <w:lastRenderedPageBreak/>
        <w:t>T</w:t>
      </w:r>
      <w:r w:rsidR="001D06D5" w:rsidRPr="00F01413">
        <w:t>abl</w:t>
      </w:r>
      <w:r w:rsidR="001D06D5">
        <w:t>e G5.</w:t>
      </w:r>
      <w:r w:rsidR="001D06D5" w:rsidRPr="00F01413">
        <w:t xml:space="preserve">  Within </w:t>
      </w:r>
      <w:r w:rsidR="001D06D5">
        <w:t xml:space="preserve">sites below </w:t>
      </w:r>
      <w:r w:rsidR="001D06D5" w:rsidRPr="00F01413">
        <w:t xml:space="preserve">Lock 1 pair-wise results of </w:t>
      </w:r>
      <w:r w:rsidR="001D06D5" w:rsidRPr="004C5AFF">
        <w:t>microinvertebrate</w:t>
      </w:r>
      <w:r w:rsidR="001D06D5" w:rsidRPr="00F01413">
        <w:t xml:space="preserve"> log(x+1) abundance data amongst sampling events, showing </w:t>
      </w:r>
      <w:r w:rsidR="001D06D5">
        <w:t>p</w:t>
      </w:r>
      <w:r w:rsidR="001D06D5" w:rsidRPr="00F01413">
        <w:t>-</w:t>
      </w:r>
      <w:r w:rsidR="001D06D5" w:rsidRPr="0032329B">
        <w:t>values. * = groups significantly different.</w:t>
      </w:r>
    </w:p>
    <w:tbl>
      <w:tblPr>
        <w:tblStyle w:val="TableGrid"/>
        <w:tblW w:w="4953" w:type="pct"/>
        <w:tblLook w:val="04A0" w:firstRow="1" w:lastRow="0" w:firstColumn="1" w:lastColumn="0" w:noHBand="0" w:noVBand="1"/>
      </w:tblPr>
      <w:tblGrid>
        <w:gridCol w:w="1075"/>
        <w:gridCol w:w="1127"/>
        <w:gridCol w:w="1130"/>
        <w:gridCol w:w="1139"/>
        <w:gridCol w:w="1139"/>
        <w:gridCol w:w="1139"/>
        <w:gridCol w:w="1135"/>
        <w:gridCol w:w="1041"/>
      </w:tblGrid>
      <w:tr w:rsidR="001D06D5" w:rsidRPr="00555A65" w14:paraId="4673D265" w14:textId="77777777" w:rsidTr="00555A65">
        <w:trPr>
          <w:trHeight w:val="340"/>
        </w:trPr>
        <w:tc>
          <w:tcPr>
            <w:tcW w:w="602" w:type="pct"/>
          </w:tcPr>
          <w:p w14:paraId="11044105" w14:textId="77777777" w:rsidR="001D06D5" w:rsidRPr="00555A65" w:rsidRDefault="001D06D5" w:rsidP="00C365DC">
            <w:pPr>
              <w:spacing w:line="240" w:lineRule="auto"/>
              <w:contextualSpacing/>
              <w:rPr>
                <w:b/>
                <w:sz w:val="19"/>
                <w:szCs w:val="19"/>
                <w:lang w:eastAsia="en-AU"/>
              </w:rPr>
            </w:pPr>
            <w:r w:rsidRPr="00555A65">
              <w:rPr>
                <w:b/>
                <w:sz w:val="19"/>
                <w:szCs w:val="19"/>
                <w:lang w:eastAsia="en-AU"/>
              </w:rPr>
              <w:t>Sampling Event</w:t>
            </w:r>
          </w:p>
        </w:tc>
        <w:tc>
          <w:tcPr>
            <w:tcW w:w="632" w:type="pct"/>
          </w:tcPr>
          <w:p w14:paraId="6B3F1B87" w14:textId="77777777" w:rsidR="001D06D5" w:rsidRPr="00555A65" w:rsidRDefault="001D06D5" w:rsidP="00C365DC">
            <w:pPr>
              <w:contextualSpacing/>
              <w:rPr>
                <w:sz w:val="19"/>
                <w:szCs w:val="19"/>
                <w:lang w:eastAsia="en-AU"/>
              </w:rPr>
            </w:pPr>
            <w:r w:rsidRPr="00555A65">
              <w:rPr>
                <w:sz w:val="19"/>
                <w:szCs w:val="19"/>
                <w:lang w:eastAsia="en-AU"/>
              </w:rPr>
              <w:t>6-Oct</w:t>
            </w:r>
          </w:p>
        </w:tc>
        <w:tc>
          <w:tcPr>
            <w:tcW w:w="633" w:type="pct"/>
          </w:tcPr>
          <w:p w14:paraId="6F100B84" w14:textId="77777777" w:rsidR="001D06D5" w:rsidRPr="00555A65" w:rsidRDefault="001D06D5" w:rsidP="00C365DC">
            <w:pPr>
              <w:contextualSpacing/>
              <w:rPr>
                <w:sz w:val="19"/>
                <w:szCs w:val="19"/>
                <w:lang w:eastAsia="en-AU"/>
              </w:rPr>
            </w:pPr>
            <w:r w:rsidRPr="00555A65">
              <w:rPr>
                <w:sz w:val="19"/>
                <w:szCs w:val="19"/>
                <w:lang w:eastAsia="en-AU"/>
              </w:rPr>
              <w:t>20-Oct</w:t>
            </w:r>
          </w:p>
        </w:tc>
        <w:tc>
          <w:tcPr>
            <w:tcW w:w="638" w:type="pct"/>
          </w:tcPr>
          <w:p w14:paraId="5596C25C" w14:textId="77777777" w:rsidR="001D06D5" w:rsidRPr="00555A65" w:rsidRDefault="001D06D5" w:rsidP="00C365DC">
            <w:pPr>
              <w:contextualSpacing/>
              <w:rPr>
                <w:sz w:val="19"/>
                <w:szCs w:val="19"/>
                <w:lang w:eastAsia="en-AU"/>
              </w:rPr>
            </w:pPr>
            <w:r w:rsidRPr="00555A65">
              <w:rPr>
                <w:sz w:val="19"/>
                <w:szCs w:val="19"/>
                <w:lang w:eastAsia="en-AU"/>
              </w:rPr>
              <w:t>2-Nov</w:t>
            </w:r>
          </w:p>
        </w:tc>
        <w:tc>
          <w:tcPr>
            <w:tcW w:w="638" w:type="pct"/>
          </w:tcPr>
          <w:p w14:paraId="13AB238F" w14:textId="77777777" w:rsidR="001D06D5" w:rsidRPr="00555A65" w:rsidRDefault="001D06D5" w:rsidP="00C365DC">
            <w:pPr>
              <w:contextualSpacing/>
              <w:rPr>
                <w:sz w:val="19"/>
                <w:szCs w:val="19"/>
                <w:lang w:eastAsia="en-AU"/>
              </w:rPr>
            </w:pPr>
            <w:r w:rsidRPr="00555A65">
              <w:rPr>
                <w:sz w:val="19"/>
                <w:szCs w:val="19"/>
                <w:lang w:eastAsia="en-AU"/>
              </w:rPr>
              <w:t>17-Nov</w:t>
            </w:r>
          </w:p>
        </w:tc>
        <w:tc>
          <w:tcPr>
            <w:tcW w:w="638" w:type="pct"/>
          </w:tcPr>
          <w:p w14:paraId="277FDA26" w14:textId="77777777" w:rsidR="001D06D5" w:rsidRPr="00555A65" w:rsidRDefault="001D06D5" w:rsidP="00C365DC">
            <w:pPr>
              <w:contextualSpacing/>
              <w:rPr>
                <w:sz w:val="19"/>
                <w:szCs w:val="19"/>
                <w:lang w:eastAsia="en-AU"/>
              </w:rPr>
            </w:pPr>
            <w:r w:rsidRPr="00555A65">
              <w:rPr>
                <w:sz w:val="19"/>
                <w:szCs w:val="19"/>
                <w:lang w:eastAsia="en-AU"/>
              </w:rPr>
              <w:t>30-Nov</w:t>
            </w:r>
          </w:p>
        </w:tc>
        <w:tc>
          <w:tcPr>
            <w:tcW w:w="636" w:type="pct"/>
          </w:tcPr>
          <w:p w14:paraId="6EE0BC4B" w14:textId="77777777" w:rsidR="001D06D5" w:rsidRPr="00555A65" w:rsidRDefault="001D06D5" w:rsidP="00C365DC">
            <w:pPr>
              <w:contextualSpacing/>
              <w:rPr>
                <w:sz w:val="19"/>
                <w:szCs w:val="19"/>
                <w:lang w:eastAsia="en-AU"/>
              </w:rPr>
            </w:pPr>
            <w:r w:rsidRPr="00555A65">
              <w:rPr>
                <w:sz w:val="19"/>
                <w:szCs w:val="19"/>
                <w:lang w:eastAsia="en-AU"/>
              </w:rPr>
              <w:t>15-Dec</w:t>
            </w:r>
          </w:p>
        </w:tc>
        <w:tc>
          <w:tcPr>
            <w:tcW w:w="583" w:type="pct"/>
          </w:tcPr>
          <w:p w14:paraId="3EA476F1" w14:textId="77777777" w:rsidR="001D06D5" w:rsidRPr="00555A65" w:rsidRDefault="001D06D5" w:rsidP="00C365DC">
            <w:pPr>
              <w:contextualSpacing/>
              <w:rPr>
                <w:sz w:val="19"/>
                <w:szCs w:val="19"/>
                <w:lang w:eastAsia="en-AU"/>
              </w:rPr>
            </w:pPr>
            <w:r w:rsidRPr="00555A65">
              <w:rPr>
                <w:sz w:val="19"/>
                <w:szCs w:val="19"/>
                <w:lang w:eastAsia="en-AU"/>
              </w:rPr>
              <w:t>5-Jan</w:t>
            </w:r>
          </w:p>
        </w:tc>
      </w:tr>
      <w:tr w:rsidR="001D06D5" w:rsidRPr="00555A65" w14:paraId="41F353A2" w14:textId="77777777" w:rsidTr="00555A65">
        <w:trPr>
          <w:trHeight w:val="340"/>
        </w:trPr>
        <w:tc>
          <w:tcPr>
            <w:tcW w:w="602" w:type="pct"/>
          </w:tcPr>
          <w:p w14:paraId="645B342C" w14:textId="77777777" w:rsidR="001D06D5" w:rsidRPr="00555A65" w:rsidRDefault="001D06D5" w:rsidP="00C365DC">
            <w:pPr>
              <w:contextualSpacing/>
              <w:rPr>
                <w:sz w:val="19"/>
                <w:szCs w:val="19"/>
                <w:lang w:eastAsia="en-AU"/>
              </w:rPr>
            </w:pPr>
            <w:r w:rsidRPr="00555A65">
              <w:rPr>
                <w:sz w:val="19"/>
                <w:szCs w:val="19"/>
                <w:lang w:eastAsia="en-AU"/>
              </w:rPr>
              <w:t>6-Oct</w:t>
            </w:r>
          </w:p>
        </w:tc>
        <w:tc>
          <w:tcPr>
            <w:tcW w:w="632" w:type="pct"/>
          </w:tcPr>
          <w:p w14:paraId="19ED60C4" w14:textId="77777777" w:rsidR="001D06D5" w:rsidRPr="00555A65" w:rsidRDefault="001D06D5" w:rsidP="00C365DC">
            <w:pPr>
              <w:contextualSpacing/>
              <w:rPr>
                <w:sz w:val="19"/>
                <w:szCs w:val="19"/>
                <w:lang w:eastAsia="en-AU"/>
              </w:rPr>
            </w:pPr>
          </w:p>
        </w:tc>
        <w:tc>
          <w:tcPr>
            <w:tcW w:w="633" w:type="pct"/>
          </w:tcPr>
          <w:p w14:paraId="42A5FE71" w14:textId="77777777" w:rsidR="001D06D5" w:rsidRPr="00555A65" w:rsidRDefault="001D06D5" w:rsidP="00C365DC">
            <w:pPr>
              <w:contextualSpacing/>
              <w:rPr>
                <w:sz w:val="19"/>
                <w:szCs w:val="19"/>
                <w:lang w:eastAsia="en-AU"/>
              </w:rPr>
            </w:pPr>
          </w:p>
        </w:tc>
        <w:tc>
          <w:tcPr>
            <w:tcW w:w="638" w:type="pct"/>
          </w:tcPr>
          <w:p w14:paraId="751F1A93" w14:textId="77777777" w:rsidR="001D06D5" w:rsidRPr="00555A65" w:rsidRDefault="001D06D5" w:rsidP="00C365DC">
            <w:pPr>
              <w:contextualSpacing/>
              <w:rPr>
                <w:sz w:val="19"/>
                <w:szCs w:val="19"/>
                <w:lang w:eastAsia="en-AU"/>
              </w:rPr>
            </w:pPr>
          </w:p>
        </w:tc>
        <w:tc>
          <w:tcPr>
            <w:tcW w:w="638" w:type="pct"/>
          </w:tcPr>
          <w:p w14:paraId="454B7E53" w14:textId="77777777" w:rsidR="001D06D5" w:rsidRPr="00555A65" w:rsidRDefault="001D06D5" w:rsidP="00C365DC">
            <w:pPr>
              <w:contextualSpacing/>
              <w:rPr>
                <w:sz w:val="19"/>
                <w:szCs w:val="19"/>
                <w:lang w:eastAsia="en-AU"/>
              </w:rPr>
            </w:pPr>
          </w:p>
        </w:tc>
        <w:tc>
          <w:tcPr>
            <w:tcW w:w="638" w:type="pct"/>
          </w:tcPr>
          <w:p w14:paraId="7C3A18FB" w14:textId="77777777" w:rsidR="001D06D5" w:rsidRPr="00555A65" w:rsidRDefault="001D06D5" w:rsidP="00C365DC">
            <w:pPr>
              <w:contextualSpacing/>
              <w:rPr>
                <w:sz w:val="19"/>
                <w:szCs w:val="19"/>
                <w:lang w:eastAsia="en-AU"/>
              </w:rPr>
            </w:pPr>
          </w:p>
        </w:tc>
        <w:tc>
          <w:tcPr>
            <w:tcW w:w="636" w:type="pct"/>
          </w:tcPr>
          <w:p w14:paraId="5BDD456D" w14:textId="77777777" w:rsidR="001D06D5" w:rsidRPr="00555A65" w:rsidRDefault="001D06D5" w:rsidP="00C365DC">
            <w:pPr>
              <w:contextualSpacing/>
              <w:rPr>
                <w:sz w:val="19"/>
                <w:szCs w:val="19"/>
                <w:lang w:eastAsia="en-AU"/>
              </w:rPr>
            </w:pPr>
          </w:p>
        </w:tc>
        <w:tc>
          <w:tcPr>
            <w:tcW w:w="583" w:type="pct"/>
          </w:tcPr>
          <w:p w14:paraId="52BD4455" w14:textId="77777777" w:rsidR="001D06D5" w:rsidRPr="00555A65" w:rsidRDefault="001D06D5" w:rsidP="00C365DC">
            <w:pPr>
              <w:contextualSpacing/>
              <w:rPr>
                <w:sz w:val="19"/>
                <w:szCs w:val="19"/>
                <w:lang w:eastAsia="en-AU"/>
              </w:rPr>
            </w:pPr>
          </w:p>
        </w:tc>
      </w:tr>
      <w:tr w:rsidR="001D06D5" w:rsidRPr="00555A65" w14:paraId="469FABC7" w14:textId="77777777" w:rsidTr="00555A65">
        <w:trPr>
          <w:trHeight w:val="340"/>
        </w:trPr>
        <w:tc>
          <w:tcPr>
            <w:tcW w:w="602" w:type="pct"/>
          </w:tcPr>
          <w:p w14:paraId="2EDC5721" w14:textId="77777777" w:rsidR="001D06D5" w:rsidRPr="00555A65" w:rsidRDefault="001D06D5" w:rsidP="00C365DC">
            <w:pPr>
              <w:contextualSpacing/>
              <w:rPr>
                <w:sz w:val="19"/>
                <w:szCs w:val="19"/>
                <w:lang w:eastAsia="en-AU"/>
              </w:rPr>
            </w:pPr>
            <w:r w:rsidRPr="00555A65">
              <w:rPr>
                <w:sz w:val="19"/>
                <w:szCs w:val="19"/>
                <w:lang w:eastAsia="en-AU"/>
              </w:rPr>
              <w:t>20-Oct</w:t>
            </w:r>
          </w:p>
        </w:tc>
        <w:tc>
          <w:tcPr>
            <w:tcW w:w="632" w:type="pct"/>
          </w:tcPr>
          <w:p w14:paraId="56074855" w14:textId="77777777" w:rsidR="001D06D5" w:rsidRPr="00555A65" w:rsidRDefault="001D06D5" w:rsidP="00C365DC">
            <w:pPr>
              <w:contextualSpacing/>
              <w:rPr>
                <w:sz w:val="19"/>
                <w:szCs w:val="19"/>
                <w:lang w:eastAsia="en-AU"/>
              </w:rPr>
            </w:pPr>
            <w:r w:rsidRPr="00555A65">
              <w:rPr>
                <w:sz w:val="19"/>
                <w:szCs w:val="19"/>
                <w:lang w:eastAsia="en-AU"/>
              </w:rPr>
              <w:t>0.0294*</w:t>
            </w:r>
          </w:p>
        </w:tc>
        <w:tc>
          <w:tcPr>
            <w:tcW w:w="633" w:type="pct"/>
          </w:tcPr>
          <w:p w14:paraId="706EB952" w14:textId="77777777" w:rsidR="001D06D5" w:rsidRPr="00555A65" w:rsidRDefault="001D06D5" w:rsidP="00C365DC">
            <w:pPr>
              <w:contextualSpacing/>
              <w:rPr>
                <w:sz w:val="19"/>
                <w:szCs w:val="19"/>
                <w:lang w:eastAsia="en-AU"/>
              </w:rPr>
            </w:pPr>
          </w:p>
        </w:tc>
        <w:tc>
          <w:tcPr>
            <w:tcW w:w="638" w:type="pct"/>
          </w:tcPr>
          <w:p w14:paraId="62C873D3" w14:textId="77777777" w:rsidR="001D06D5" w:rsidRPr="00555A65" w:rsidRDefault="001D06D5" w:rsidP="00C365DC">
            <w:pPr>
              <w:contextualSpacing/>
              <w:rPr>
                <w:sz w:val="19"/>
                <w:szCs w:val="19"/>
                <w:lang w:eastAsia="en-AU"/>
              </w:rPr>
            </w:pPr>
          </w:p>
        </w:tc>
        <w:tc>
          <w:tcPr>
            <w:tcW w:w="638" w:type="pct"/>
          </w:tcPr>
          <w:p w14:paraId="3F105B5D" w14:textId="77777777" w:rsidR="001D06D5" w:rsidRPr="00555A65" w:rsidRDefault="001D06D5" w:rsidP="00C365DC">
            <w:pPr>
              <w:contextualSpacing/>
              <w:rPr>
                <w:sz w:val="19"/>
                <w:szCs w:val="19"/>
                <w:lang w:eastAsia="en-AU"/>
              </w:rPr>
            </w:pPr>
          </w:p>
        </w:tc>
        <w:tc>
          <w:tcPr>
            <w:tcW w:w="638" w:type="pct"/>
          </w:tcPr>
          <w:p w14:paraId="718DE655" w14:textId="77777777" w:rsidR="001D06D5" w:rsidRPr="00555A65" w:rsidRDefault="001D06D5" w:rsidP="00C365DC">
            <w:pPr>
              <w:contextualSpacing/>
              <w:rPr>
                <w:sz w:val="19"/>
                <w:szCs w:val="19"/>
                <w:lang w:eastAsia="en-AU"/>
              </w:rPr>
            </w:pPr>
          </w:p>
        </w:tc>
        <w:tc>
          <w:tcPr>
            <w:tcW w:w="636" w:type="pct"/>
          </w:tcPr>
          <w:p w14:paraId="6BCA4C21" w14:textId="77777777" w:rsidR="001D06D5" w:rsidRPr="00555A65" w:rsidRDefault="001D06D5" w:rsidP="00C365DC">
            <w:pPr>
              <w:contextualSpacing/>
              <w:rPr>
                <w:sz w:val="19"/>
                <w:szCs w:val="19"/>
                <w:lang w:eastAsia="en-AU"/>
              </w:rPr>
            </w:pPr>
          </w:p>
        </w:tc>
        <w:tc>
          <w:tcPr>
            <w:tcW w:w="583" w:type="pct"/>
          </w:tcPr>
          <w:p w14:paraId="4AD77491" w14:textId="77777777" w:rsidR="001D06D5" w:rsidRPr="00555A65" w:rsidRDefault="001D06D5" w:rsidP="00C365DC">
            <w:pPr>
              <w:contextualSpacing/>
              <w:rPr>
                <w:sz w:val="19"/>
                <w:szCs w:val="19"/>
                <w:lang w:eastAsia="en-AU"/>
              </w:rPr>
            </w:pPr>
          </w:p>
        </w:tc>
      </w:tr>
      <w:tr w:rsidR="001D06D5" w:rsidRPr="00555A65" w14:paraId="5F74C477" w14:textId="77777777" w:rsidTr="00555A65">
        <w:trPr>
          <w:trHeight w:val="340"/>
        </w:trPr>
        <w:tc>
          <w:tcPr>
            <w:tcW w:w="602" w:type="pct"/>
          </w:tcPr>
          <w:p w14:paraId="768DC79B" w14:textId="77777777" w:rsidR="001D06D5" w:rsidRPr="00555A65" w:rsidRDefault="001D06D5" w:rsidP="00C365DC">
            <w:pPr>
              <w:contextualSpacing/>
              <w:rPr>
                <w:sz w:val="19"/>
                <w:szCs w:val="19"/>
                <w:lang w:eastAsia="en-AU"/>
              </w:rPr>
            </w:pPr>
            <w:r w:rsidRPr="00555A65">
              <w:rPr>
                <w:sz w:val="19"/>
                <w:szCs w:val="19"/>
                <w:lang w:eastAsia="en-AU"/>
              </w:rPr>
              <w:t>2-Nov</w:t>
            </w:r>
          </w:p>
        </w:tc>
        <w:tc>
          <w:tcPr>
            <w:tcW w:w="632" w:type="pct"/>
          </w:tcPr>
          <w:p w14:paraId="382F8F1A" w14:textId="77777777" w:rsidR="001D06D5" w:rsidRPr="00555A65" w:rsidRDefault="001D06D5" w:rsidP="00C365DC">
            <w:pPr>
              <w:contextualSpacing/>
              <w:rPr>
                <w:sz w:val="19"/>
                <w:szCs w:val="19"/>
                <w:lang w:eastAsia="en-AU"/>
              </w:rPr>
            </w:pPr>
            <w:r w:rsidRPr="00555A65">
              <w:rPr>
                <w:sz w:val="19"/>
                <w:szCs w:val="19"/>
                <w:lang w:eastAsia="en-AU"/>
              </w:rPr>
              <w:t>0.0267*</w:t>
            </w:r>
          </w:p>
        </w:tc>
        <w:tc>
          <w:tcPr>
            <w:tcW w:w="633" w:type="pct"/>
          </w:tcPr>
          <w:p w14:paraId="1391B3C9" w14:textId="77777777" w:rsidR="001D06D5" w:rsidRPr="00555A65" w:rsidRDefault="001D06D5" w:rsidP="00C365DC">
            <w:pPr>
              <w:contextualSpacing/>
              <w:rPr>
                <w:sz w:val="19"/>
                <w:szCs w:val="19"/>
                <w:lang w:eastAsia="en-AU"/>
              </w:rPr>
            </w:pPr>
            <w:r w:rsidRPr="00555A65">
              <w:rPr>
                <w:sz w:val="19"/>
                <w:szCs w:val="19"/>
                <w:lang w:eastAsia="en-AU"/>
              </w:rPr>
              <w:t>0.0321*</w:t>
            </w:r>
          </w:p>
        </w:tc>
        <w:tc>
          <w:tcPr>
            <w:tcW w:w="638" w:type="pct"/>
          </w:tcPr>
          <w:p w14:paraId="57AAE99B" w14:textId="77777777" w:rsidR="001D06D5" w:rsidRPr="00555A65" w:rsidRDefault="001D06D5" w:rsidP="00C365DC">
            <w:pPr>
              <w:contextualSpacing/>
              <w:rPr>
                <w:sz w:val="19"/>
                <w:szCs w:val="19"/>
                <w:lang w:eastAsia="en-AU"/>
              </w:rPr>
            </w:pPr>
          </w:p>
        </w:tc>
        <w:tc>
          <w:tcPr>
            <w:tcW w:w="638" w:type="pct"/>
          </w:tcPr>
          <w:p w14:paraId="52D0B301" w14:textId="77777777" w:rsidR="001D06D5" w:rsidRPr="00555A65" w:rsidRDefault="001D06D5" w:rsidP="00C365DC">
            <w:pPr>
              <w:contextualSpacing/>
              <w:rPr>
                <w:sz w:val="19"/>
                <w:szCs w:val="19"/>
                <w:lang w:eastAsia="en-AU"/>
              </w:rPr>
            </w:pPr>
          </w:p>
        </w:tc>
        <w:tc>
          <w:tcPr>
            <w:tcW w:w="638" w:type="pct"/>
          </w:tcPr>
          <w:p w14:paraId="2B700315" w14:textId="77777777" w:rsidR="001D06D5" w:rsidRPr="00555A65" w:rsidRDefault="001D06D5" w:rsidP="00C365DC">
            <w:pPr>
              <w:contextualSpacing/>
              <w:rPr>
                <w:sz w:val="19"/>
                <w:szCs w:val="19"/>
                <w:lang w:eastAsia="en-AU"/>
              </w:rPr>
            </w:pPr>
          </w:p>
        </w:tc>
        <w:tc>
          <w:tcPr>
            <w:tcW w:w="636" w:type="pct"/>
          </w:tcPr>
          <w:p w14:paraId="03330EAE" w14:textId="77777777" w:rsidR="001D06D5" w:rsidRPr="00555A65" w:rsidRDefault="001D06D5" w:rsidP="00C365DC">
            <w:pPr>
              <w:contextualSpacing/>
              <w:rPr>
                <w:sz w:val="19"/>
                <w:szCs w:val="19"/>
                <w:lang w:eastAsia="en-AU"/>
              </w:rPr>
            </w:pPr>
          </w:p>
        </w:tc>
        <w:tc>
          <w:tcPr>
            <w:tcW w:w="583" w:type="pct"/>
          </w:tcPr>
          <w:p w14:paraId="58C6D8B7" w14:textId="77777777" w:rsidR="001D06D5" w:rsidRPr="00555A65" w:rsidRDefault="001D06D5" w:rsidP="00C365DC">
            <w:pPr>
              <w:contextualSpacing/>
              <w:rPr>
                <w:sz w:val="19"/>
                <w:szCs w:val="19"/>
                <w:lang w:eastAsia="en-AU"/>
              </w:rPr>
            </w:pPr>
          </w:p>
        </w:tc>
      </w:tr>
      <w:tr w:rsidR="001D06D5" w:rsidRPr="00555A65" w14:paraId="7BF505A1" w14:textId="77777777" w:rsidTr="00555A65">
        <w:trPr>
          <w:trHeight w:val="340"/>
        </w:trPr>
        <w:tc>
          <w:tcPr>
            <w:tcW w:w="602" w:type="pct"/>
          </w:tcPr>
          <w:p w14:paraId="1DA1EDDD" w14:textId="77777777" w:rsidR="001D06D5" w:rsidRPr="00555A65" w:rsidRDefault="001D06D5" w:rsidP="00C365DC">
            <w:pPr>
              <w:contextualSpacing/>
              <w:rPr>
                <w:sz w:val="19"/>
                <w:szCs w:val="19"/>
                <w:lang w:eastAsia="en-AU"/>
              </w:rPr>
            </w:pPr>
            <w:r w:rsidRPr="00555A65">
              <w:rPr>
                <w:sz w:val="19"/>
                <w:szCs w:val="19"/>
                <w:lang w:eastAsia="en-AU"/>
              </w:rPr>
              <w:t>17-Nov</w:t>
            </w:r>
          </w:p>
        </w:tc>
        <w:tc>
          <w:tcPr>
            <w:tcW w:w="632" w:type="pct"/>
          </w:tcPr>
          <w:p w14:paraId="682EE896" w14:textId="77777777" w:rsidR="001D06D5" w:rsidRPr="00555A65" w:rsidRDefault="001D06D5" w:rsidP="00C365DC">
            <w:pPr>
              <w:contextualSpacing/>
              <w:rPr>
                <w:sz w:val="19"/>
                <w:szCs w:val="19"/>
                <w:lang w:eastAsia="en-AU"/>
              </w:rPr>
            </w:pPr>
            <w:r w:rsidRPr="00555A65">
              <w:rPr>
                <w:sz w:val="19"/>
                <w:szCs w:val="19"/>
                <w:lang w:eastAsia="en-AU"/>
              </w:rPr>
              <w:t>0.0280*</w:t>
            </w:r>
          </w:p>
        </w:tc>
        <w:tc>
          <w:tcPr>
            <w:tcW w:w="633" w:type="pct"/>
          </w:tcPr>
          <w:p w14:paraId="6A9DB043" w14:textId="77777777" w:rsidR="001D06D5" w:rsidRPr="00555A65" w:rsidRDefault="001D06D5" w:rsidP="00C365DC">
            <w:pPr>
              <w:contextualSpacing/>
              <w:rPr>
                <w:sz w:val="19"/>
                <w:szCs w:val="19"/>
                <w:lang w:eastAsia="en-AU"/>
              </w:rPr>
            </w:pPr>
            <w:r w:rsidRPr="00555A65">
              <w:rPr>
                <w:sz w:val="19"/>
                <w:szCs w:val="19"/>
                <w:lang w:eastAsia="en-AU"/>
              </w:rPr>
              <w:t>0.0282*</w:t>
            </w:r>
          </w:p>
        </w:tc>
        <w:tc>
          <w:tcPr>
            <w:tcW w:w="638" w:type="pct"/>
          </w:tcPr>
          <w:p w14:paraId="3E7FD827" w14:textId="77777777" w:rsidR="001D06D5" w:rsidRPr="00555A65" w:rsidRDefault="001D06D5" w:rsidP="00C365DC">
            <w:pPr>
              <w:contextualSpacing/>
              <w:rPr>
                <w:sz w:val="19"/>
                <w:szCs w:val="19"/>
                <w:lang w:eastAsia="en-AU"/>
              </w:rPr>
            </w:pPr>
            <w:r w:rsidRPr="00555A65">
              <w:rPr>
                <w:sz w:val="19"/>
                <w:szCs w:val="19"/>
                <w:lang w:eastAsia="en-AU"/>
              </w:rPr>
              <w:t>0.0275*</w:t>
            </w:r>
          </w:p>
        </w:tc>
        <w:tc>
          <w:tcPr>
            <w:tcW w:w="638" w:type="pct"/>
          </w:tcPr>
          <w:p w14:paraId="49941387" w14:textId="77777777" w:rsidR="001D06D5" w:rsidRPr="00555A65" w:rsidRDefault="001D06D5" w:rsidP="00C365DC">
            <w:pPr>
              <w:contextualSpacing/>
              <w:rPr>
                <w:sz w:val="19"/>
                <w:szCs w:val="19"/>
                <w:lang w:eastAsia="en-AU"/>
              </w:rPr>
            </w:pPr>
          </w:p>
        </w:tc>
        <w:tc>
          <w:tcPr>
            <w:tcW w:w="638" w:type="pct"/>
          </w:tcPr>
          <w:p w14:paraId="50BE0732" w14:textId="77777777" w:rsidR="001D06D5" w:rsidRPr="00555A65" w:rsidRDefault="001D06D5" w:rsidP="00C365DC">
            <w:pPr>
              <w:contextualSpacing/>
              <w:rPr>
                <w:sz w:val="19"/>
                <w:szCs w:val="19"/>
                <w:lang w:eastAsia="en-AU"/>
              </w:rPr>
            </w:pPr>
          </w:p>
        </w:tc>
        <w:tc>
          <w:tcPr>
            <w:tcW w:w="636" w:type="pct"/>
          </w:tcPr>
          <w:p w14:paraId="2526EB3F" w14:textId="77777777" w:rsidR="001D06D5" w:rsidRPr="00555A65" w:rsidRDefault="001D06D5" w:rsidP="00C365DC">
            <w:pPr>
              <w:contextualSpacing/>
              <w:rPr>
                <w:sz w:val="19"/>
                <w:szCs w:val="19"/>
                <w:lang w:eastAsia="en-AU"/>
              </w:rPr>
            </w:pPr>
          </w:p>
        </w:tc>
        <w:tc>
          <w:tcPr>
            <w:tcW w:w="583" w:type="pct"/>
          </w:tcPr>
          <w:p w14:paraId="611BA0CF" w14:textId="77777777" w:rsidR="001D06D5" w:rsidRPr="00555A65" w:rsidRDefault="001D06D5" w:rsidP="00C365DC">
            <w:pPr>
              <w:contextualSpacing/>
              <w:rPr>
                <w:sz w:val="19"/>
                <w:szCs w:val="19"/>
                <w:lang w:eastAsia="en-AU"/>
              </w:rPr>
            </w:pPr>
          </w:p>
        </w:tc>
      </w:tr>
      <w:tr w:rsidR="001D06D5" w:rsidRPr="00555A65" w14:paraId="2E71C6CC" w14:textId="77777777" w:rsidTr="00555A65">
        <w:trPr>
          <w:trHeight w:val="340"/>
        </w:trPr>
        <w:tc>
          <w:tcPr>
            <w:tcW w:w="602" w:type="pct"/>
          </w:tcPr>
          <w:p w14:paraId="01E5E8EE" w14:textId="77777777" w:rsidR="001D06D5" w:rsidRPr="00555A65" w:rsidRDefault="001D06D5" w:rsidP="00C365DC">
            <w:pPr>
              <w:contextualSpacing/>
              <w:rPr>
                <w:sz w:val="19"/>
                <w:szCs w:val="19"/>
                <w:lang w:eastAsia="en-AU"/>
              </w:rPr>
            </w:pPr>
            <w:r w:rsidRPr="00555A65">
              <w:rPr>
                <w:sz w:val="19"/>
                <w:szCs w:val="19"/>
                <w:lang w:eastAsia="en-AU"/>
              </w:rPr>
              <w:t>30-Nov</w:t>
            </w:r>
          </w:p>
        </w:tc>
        <w:tc>
          <w:tcPr>
            <w:tcW w:w="632" w:type="pct"/>
          </w:tcPr>
          <w:p w14:paraId="6C259440" w14:textId="77777777" w:rsidR="001D06D5" w:rsidRPr="00555A65" w:rsidRDefault="001D06D5" w:rsidP="00C365DC">
            <w:pPr>
              <w:contextualSpacing/>
              <w:rPr>
                <w:sz w:val="19"/>
                <w:szCs w:val="19"/>
                <w:lang w:eastAsia="en-AU"/>
              </w:rPr>
            </w:pPr>
            <w:r w:rsidRPr="00555A65">
              <w:rPr>
                <w:sz w:val="19"/>
                <w:szCs w:val="19"/>
                <w:lang w:eastAsia="en-AU"/>
              </w:rPr>
              <w:t>0.0294*</w:t>
            </w:r>
          </w:p>
        </w:tc>
        <w:tc>
          <w:tcPr>
            <w:tcW w:w="633" w:type="pct"/>
          </w:tcPr>
          <w:p w14:paraId="78B55861" w14:textId="77777777" w:rsidR="001D06D5" w:rsidRPr="00555A65" w:rsidRDefault="001D06D5" w:rsidP="00C365DC">
            <w:pPr>
              <w:contextualSpacing/>
              <w:rPr>
                <w:sz w:val="19"/>
                <w:szCs w:val="19"/>
                <w:lang w:eastAsia="en-AU"/>
              </w:rPr>
            </w:pPr>
            <w:r w:rsidRPr="00555A65">
              <w:rPr>
                <w:sz w:val="19"/>
                <w:szCs w:val="19"/>
                <w:lang w:eastAsia="en-AU"/>
              </w:rPr>
              <w:t>0.0277*</w:t>
            </w:r>
          </w:p>
        </w:tc>
        <w:tc>
          <w:tcPr>
            <w:tcW w:w="638" w:type="pct"/>
          </w:tcPr>
          <w:p w14:paraId="600C7F31" w14:textId="77777777" w:rsidR="001D06D5" w:rsidRPr="00555A65" w:rsidRDefault="001D06D5" w:rsidP="00C365DC">
            <w:pPr>
              <w:contextualSpacing/>
              <w:rPr>
                <w:sz w:val="19"/>
                <w:szCs w:val="19"/>
                <w:lang w:eastAsia="en-AU"/>
              </w:rPr>
            </w:pPr>
            <w:r w:rsidRPr="00555A65">
              <w:rPr>
                <w:sz w:val="19"/>
                <w:szCs w:val="19"/>
                <w:lang w:eastAsia="en-AU"/>
              </w:rPr>
              <w:t>0.0281*</w:t>
            </w:r>
          </w:p>
        </w:tc>
        <w:tc>
          <w:tcPr>
            <w:tcW w:w="638" w:type="pct"/>
          </w:tcPr>
          <w:p w14:paraId="5A7861AD" w14:textId="77777777" w:rsidR="001D06D5" w:rsidRPr="00555A65" w:rsidRDefault="001D06D5" w:rsidP="00C365DC">
            <w:pPr>
              <w:contextualSpacing/>
              <w:rPr>
                <w:sz w:val="19"/>
                <w:szCs w:val="19"/>
                <w:lang w:eastAsia="en-AU"/>
              </w:rPr>
            </w:pPr>
            <w:r w:rsidRPr="00555A65">
              <w:rPr>
                <w:sz w:val="19"/>
                <w:szCs w:val="19"/>
                <w:lang w:eastAsia="en-AU"/>
              </w:rPr>
              <w:t>0.0278*</w:t>
            </w:r>
          </w:p>
        </w:tc>
        <w:tc>
          <w:tcPr>
            <w:tcW w:w="638" w:type="pct"/>
          </w:tcPr>
          <w:p w14:paraId="574812BF" w14:textId="77777777" w:rsidR="001D06D5" w:rsidRPr="00555A65" w:rsidRDefault="001D06D5" w:rsidP="00C365DC">
            <w:pPr>
              <w:contextualSpacing/>
              <w:rPr>
                <w:sz w:val="19"/>
                <w:szCs w:val="19"/>
                <w:lang w:eastAsia="en-AU"/>
              </w:rPr>
            </w:pPr>
          </w:p>
        </w:tc>
        <w:tc>
          <w:tcPr>
            <w:tcW w:w="636" w:type="pct"/>
          </w:tcPr>
          <w:p w14:paraId="03040E9E" w14:textId="77777777" w:rsidR="001D06D5" w:rsidRPr="00555A65" w:rsidRDefault="001D06D5" w:rsidP="00C365DC">
            <w:pPr>
              <w:contextualSpacing/>
              <w:rPr>
                <w:sz w:val="19"/>
                <w:szCs w:val="19"/>
                <w:lang w:eastAsia="en-AU"/>
              </w:rPr>
            </w:pPr>
          </w:p>
        </w:tc>
        <w:tc>
          <w:tcPr>
            <w:tcW w:w="583" w:type="pct"/>
          </w:tcPr>
          <w:p w14:paraId="4DB18616" w14:textId="77777777" w:rsidR="001D06D5" w:rsidRPr="00555A65" w:rsidRDefault="001D06D5" w:rsidP="00C365DC">
            <w:pPr>
              <w:contextualSpacing/>
              <w:rPr>
                <w:sz w:val="19"/>
                <w:szCs w:val="19"/>
                <w:lang w:eastAsia="en-AU"/>
              </w:rPr>
            </w:pPr>
          </w:p>
        </w:tc>
      </w:tr>
      <w:tr w:rsidR="001D06D5" w:rsidRPr="00555A65" w14:paraId="3062D4E5" w14:textId="77777777" w:rsidTr="00555A65">
        <w:trPr>
          <w:trHeight w:val="340"/>
        </w:trPr>
        <w:tc>
          <w:tcPr>
            <w:tcW w:w="602" w:type="pct"/>
          </w:tcPr>
          <w:p w14:paraId="5DE4518E" w14:textId="77777777" w:rsidR="001D06D5" w:rsidRPr="00555A65" w:rsidRDefault="001D06D5" w:rsidP="00C365DC">
            <w:pPr>
              <w:contextualSpacing/>
              <w:rPr>
                <w:sz w:val="19"/>
                <w:szCs w:val="19"/>
                <w:lang w:eastAsia="en-AU"/>
              </w:rPr>
            </w:pPr>
            <w:r w:rsidRPr="00555A65">
              <w:rPr>
                <w:sz w:val="19"/>
                <w:szCs w:val="19"/>
                <w:lang w:eastAsia="en-AU"/>
              </w:rPr>
              <w:t>15-Dec</w:t>
            </w:r>
          </w:p>
        </w:tc>
        <w:tc>
          <w:tcPr>
            <w:tcW w:w="632" w:type="pct"/>
          </w:tcPr>
          <w:p w14:paraId="1B199F70" w14:textId="77777777" w:rsidR="001D06D5" w:rsidRPr="00555A65" w:rsidRDefault="001D06D5" w:rsidP="00C365DC">
            <w:pPr>
              <w:contextualSpacing/>
              <w:rPr>
                <w:sz w:val="19"/>
                <w:szCs w:val="19"/>
                <w:lang w:eastAsia="en-AU"/>
              </w:rPr>
            </w:pPr>
            <w:r w:rsidRPr="00555A65">
              <w:rPr>
                <w:sz w:val="19"/>
                <w:szCs w:val="19"/>
                <w:lang w:eastAsia="en-AU"/>
              </w:rPr>
              <w:t>0.0274*</w:t>
            </w:r>
          </w:p>
        </w:tc>
        <w:tc>
          <w:tcPr>
            <w:tcW w:w="633" w:type="pct"/>
          </w:tcPr>
          <w:p w14:paraId="41063FEA" w14:textId="77777777" w:rsidR="001D06D5" w:rsidRPr="00555A65" w:rsidRDefault="001D06D5" w:rsidP="00C365DC">
            <w:pPr>
              <w:contextualSpacing/>
              <w:rPr>
                <w:sz w:val="19"/>
                <w:szCs w:val="19"/>
                <w:lang w:eastAsia="en-AU"/>
              </w:rPr>
            </w:pPr>
            <w:r w:rsidRPr="00555A65">
              <w:rPr>
                <w:sz w:val="19"/>
                <w:szCs w:val="19"/>
                <w:lang w:eastAsia="en-AU"/>
              </w:rPr>
              <w:t>0.0263*</w:t>
            </w:r>
          </w:p>
        </w:tc>
        <w:tc>
          <w:tcPr>
            <w:tcW w:w="638" w:type="pct"/>
          </w:tcPr>
          <w:p w14:paraId="27CEBEA3" w14:textId="77777777" w:rsidR="001D06D5" w:rsidRPr="00555A65" w:rsidRDefault="001D06D5" w:rsidP="00C365DC">
            <w:pPr>
              <w:contextualSpacing/>
              <w:rPr>
                <w:sz w:val="19"/>
                <w:szCs w:val="19"/>
                <w:lang w:eastAsia="en-AU"/>
              </w:rPr>
            </w:pPr>
            <w:r w:rsidRPr="00555A65">
              <w:rPr>
                <w:sz w:val="19"/>
                <w:szCs w:val="19"/>
                <w:lang w:eastAsia="en-AU"/>
              </w:rPr>
              <w:t>0.0304*</w:t>
            </w:r>
          </w:p>
        </w:tc>
        <w:tc>
          <w:tcPr>
            <w:tcW w:w="638" w:type="pct"/>
          </w:tcPr>
          <w:p w14:paraId="417449C2" w14:textId="77777777" w:rsidR="001D06D5" w:rsidRPr="00555A65" w:rsidRDefault="001D06D5" w:rsidP="00C365DC">
            <w:pPr>
              <w:contextualSpacing/>
              <w:rPr>
                <w:sz w:val="19"/>
                <w:szCs w:val="19"/>
                <w:lang w:eastAsia="en-AU"/>
              </w:rPr>
            </w:pPr>
            <w:r w:rsidRPr="00555A65">
              <w:rPr>
                <w:sz w:val="19"/>
                <w:szCs w:val="19"/>
                <w:lang w:eastAsia="en-AU"/>
              </w:rPr>
              <w:t>0.0286*</w:t>
            </w:r>
          </w:p>
        </w:tc>
        <w:tc>
          <w:tcPr>
            <w:tcW w:w="638" w:type="pct"/>
          </w:tcPr>
          <w:p w14:paraId="253E6973" w14:textId="77777777" w:rsidR="001D06D5" w:rsidRPr="00555A65" w:rsidRDefault="001D06D5" w:rsidP="00C365DC">
            <w:pPr>
              <w:contextualSpacing/>
              <w:rPr>
                <w:sz w:val="19"/>
                <w:szCs w:val="19"/>
                <w:lang w:eastAsia="en-AU"/>
              </w:rPr>
            </w:pPr>
            <w:r w:rsidRPr="00555A65">
              <w:rPr>
                <w:sz w:val="19"/>
                <w:szCs w:val="19"/>
                <w:lang w:eastAsia="en-AU"/>
              </w:rPr>
              <w:t>0.0273*</w:t>
            </w:r>
          </w:p>
        </w:tc>
        <w:tc>
          <w:tcPr>
            <w:tcW w:w="636" w:type="pct"/>
          </w:tcPr>
          <w:p w14:paraId="66602FAD" w14:textId="77777777" w:rsidR="001D06D5" w:rsidRPr="00555A65" w:rsidRDefault="001D06D5" w:rsidP="00C365DC">
            <w:pPr>
              <w:contextualSpacing/>
              <w:rPr>
                <w:sz w:val="19"/>
                <w:szCs w:val="19"/>
                <w:lang w:eastAsia="en-AU"/>
              </w:rPr>
            </w:pPr>
          </w:p>
        </w:tc>
        <w:tc>
          <w:tcPr>
            <w:tcW w:w="583" w:type="pct"/>
          </w:tcPr>
          <w:p w14:paraId="1311E3F4" w14:textId="77777777" w:rsidR="001D06D5" w:rsidRPr="00555A65" w:rsidRDefault="001D06D5" w:rsidP="00C365DC">
            <w:pPr>
              <w:contextualSpacing/>
              <w:rPr>
                <w:sz w:val="19"/>
                <w:szCs w:val="19"/>
                <w:lang w:eastAsia="en-AU"/>
              </w:rPr>
            </w:pPr>
          </w:p>
        </w:tc>
      </w:tr>
      <w:tr w:rsidR="001D06D5" w:rsidRPr="00555A65" w14:paraId="32331D3C" w14:textId="77777777" w:rsidTr="00555A65">
        <w:trPr>
          <w:trHeight w:val="340"/>
        </w:trPr>
        <w:tc>
          <w:tcPr>
            <w:tcW w:w="602" w:type="pct"/>
          </w:tcPr>
          <w:p w14:paraId="5A8E1315" w14:textId="77777777" w:rsidR="001D06D5" w:rsidRPr="00555A65" w:rsidRDefault="001D06D5" w:rsidP="00C365DC">
            <w:pPr>
              <w:contextualSpacing/>
              <w:rPr>
                <w:sz w:val="19"/>
                <w:szCs w:val="19"/>
                <w:lang w:eastAsia="en-AU"/>
              </w:rPr>
            </w:pPr>
            <w:r w:rsidRPr="00555A65">
              <w:rPr>
                <w:sz w:val="19"/>
                <w:szCs w:val="19"/>
                <w:lang w:eastAsia="en-AU"/>
              </w:rPr>
              <w:t>5-Jan</w:t>
            </w:r>
          </w:p>
        </w:tc>
        <w:tc>
          <w:tcPr>
            <w:tcW w:w="632" w:type="pct"/>
          </w:tcPr>
          <w:p w14:paraId="177EE7D2" w14:textId="77777777" w:rsidR="001D06D5" w:rsidRPr="00555A65" w:rsidRDefault="001D06D5" w:rsidP="00C365DC">
            <w:pPr>
              <w:contextualSpacing/>
              <w:rPr>
                <w:sz w:val="19"/>
                <w:szCs w:val="19"/>
                <w:lang w:eastAsia="en-AU"/>
              </w:rPr>
            </w:pPr>
            <w:r w:rsidRPr="00555A65">
              <w:rPr>
                <w:sz w:val="19"/>
                <w:szCs w:val="19"/>
                <w:lang w:eastAsia="en-AU"/>
              </w:rPr>
              <w:t>0.0303*</w:t>
            </w:r>
          </w:p>
        </w:tc>
        <w:tc>
          <w:tcPr>
            <w:tcW w:w="633" w:type="pct"/>
          </w:tcPr>
          <w:p w14:paraId="7A9018EF" w14:textId="77777777" w:rsidR="001D06D5" w:rsidRPr="00555A65" w:rsidRDefault="001D06D5" w:rsidP="00C365DC">
            <w:pPr>
              <w:contextualSpacing/>
              <w:rPr>
                <w:sz w:val="19"/>
                <w:szCs w:val="19"/>
                <w:lang w:eastAsia="en-AU"/>
              </w:rPr>
            </w:pPr>
            <w:r w:rsidRPr="00555A65">
              <w:rPr>
                <w:sz w:val="19"/>
                <w:szCs w:val="19"/>
                <w:lang w:eastAsia="en-AU"/>
              </w:rPr>
              <w:t>0.0297*</w:t>
            </w:r>
          </w:p>
        </w:tc>
        <w:tc>
          <w:tcPr>
            <w:tcW w:w="638" w:type="pct"/>
          </w:tcPr>
          <w:p w14:paraId="05198B21" w14:textId="77777777" w:rsidR="001D06D5" w:rsidRPr="00555A65" w:rsidRDefault="001D06D5" w:rsidP="00C365DC">
            <w:pPr>
              <w:contextualSpacing/>
              <w:rPr>
                <w:sz w:val="19"/>
                <w:szCs w:val="19"/>
                <w:lang w:eastAsia="en-AU"/>
              </w:rPr>
            </w:pPr>
            <w:r w:rsidRPr="00555A65">
              <w:rPr>
                <w:sz w:val="19"/>
                <w:szCs w:val="19"/>
                <w:lang w:eastAsia="en-AU"/>
              </w:rPr>
              <w:t>0.0277*</w:t>
            </w:r>
          </w:p>
        </w:tc>
        <w:tc>
          <w:tcPr>
            <w:tcW w:w="638" w:type="pct"/>
          </w:tcPr>
          <w:p w14:paraId="3FFB1FAB" w14:textId="77777777" w:rsidR="001D06D5" w:rsidRPr="00555A65" w:rsidRDefault="001D06D5" w:rsidP="00C365DC">
            <w:pPr>
              <w:contextualSpacing/>
              <w:rPr>
                <w:sz w:val="19"/>
                <w:szCs w:val="19"/>
                <w:lang w:eastAsia="en-AU"/>
              </w:rPr>
            </w:pPr>
            <w:r w:rsidRPr="00555A65">
              <w:rPr>
                <w:sz w:val="19"/>
                <w:szCs w:val="19"/>
                <w:lang w:eastAsia="en-AU"/>
              </w:rPr>
              <w:t>0.0281*</w:t>
            </w:r>
          </w:p>
        </w:tc>
        <w:tc>
          <w:tcPr>
            <w:tcW w:w="638" w:type="pct"/>
          </w:tcPr>
          <w:p w14:paraId="1FFAC32E" w14:textId="77777777" w:rsidR="001D06D5" w:rsidRPr="00555A65" w:rsidRDefault="001D06D5" w:rsidP="00C365DC">
            <w:pPr>
              <w:contextualSpacing/>
              <w:rPr>
                <w:sz w:val="19"/>
                <w:szCs w:val="19"/>
                <w:lang w:eastAsia="en-AU"/>
              </w:rPr>
            </w:pPr>
            <w:r w:rsidRPr="00555A65">
              <w:rPr>
                <w:sz w:val="19"/>
                <w:szCs w:val="19"/>
                <w:lang w:eastAsia="en-AU"/>
              </w:rPr>
              <w:t>0.0304*</w:t>
            </w:r>
          </w:p>
        </w:tc>
        <w:tc>
          <w:tcPr>
            <w:tcW w:w="636" w:type="pct"/>
          </w:tcPr>
          <w:p w14:paraId="721E904D" w14:textId="77777777" w:rsidR="001D06D5" w:rsidRPr="00555A65" w:rsidRDefault="001D06D5" w:rsidP="00C365DC">
            <w:pPr>
              <w:contextualSpacing/>
              <w:rPr>
                <w:sz w:val="19"/>
                <w:szCs w:val="19"/>
                <w:lang w:eastAsia="en-AU"/>
              </w:rPr>
            </w:pPr>
            <w:r w:rsidRPr="00555A65">
              <w:rPr>
                <w:sz w:val="19"/>
                <w:szCs w:val="19"/>
                <w:lang w:eastAsia="en-AU"/>
              </w:rPr>
              <w:t>0.0302*</w:t>
            </w:r>
          </w:p>
        </w:tc>
        <w:tc>
          <w:tcPr>
            <w:tcW w:w="583" w:type="pct"/>
          </w:tcPr>
          <w:p w14:paraId="1992DCF3" w14:textId="77777777" w:rsidR="001D06D5" w:rsidRPr="00555A65" w:rsidRDefault="001D06D5" w:rsidP="00C365DC">
            <w:pPr>
              <w:contextualSpacing/>
              <w:rPr>
                <w:sz w:val="19"/>
                <w:szCs w:val="19"/>
                <w:lang w:eastAsia="en-AU"/>
              </w:rPr>
            </w:pPr>
          </w:p>
        </w:tc>
      </w:tr>
      <w:tr w:rsidR="001D06D5" w:rsidRPr="00555A65" w14:paraId="62965E94" w14:textId="77777777" w:rsidTr="00555A65">
        <w:trPr>
          <w:trHeight w:val="340"/>
        </w:trPr>
        <w:tc>
          <w:tcPr>
            <w:tcW w:w="602" w:type="pct"/>
          </w:tcPr>
          <w:p w14:paraId="6DF56128" w14:textId="77777777" w:rsidR="001D06D5" w:rsidRPr="00555A65" w:rsidRDefault="001D06D5" w:rsidP="00C365DC">
            <w:pPr>
              <w:contextualSpacing/>
              <w:rPr>
                <w:sz w:val="19"/>
                <w:szCs w:val="19"/>
                <w:lang w:eastAsia="en-AU"/>
              </w:rPr>
            </w:pPr>
            <w:r w:rsidRPr="00555A65">
              <w:rPr>
                <w:sz w:val="19"/>
                <w:szCs w:val="19"/>
                <w:lang w:eastAsia="en-AU"/>
              </w:rPr>
              <w:t>20-Jan</w:t>
            </w:r>
          </w:p>
        </w:tc>
        <w:tc>
          <w:tcPr>
            <w:tcW w:w="632" w:type="pct"/>
          </w:tcPr>
          <w:p w14:paraId="799D3DFA" w14:textId="77777777" w:rsidR="001D06D5" w:rsidRPr="00555A65" w:rsidRDefault="001D06D5" w:rsidP="00C365DC">
            <w:pPr>
              <w:contextualSpacing/>
              <w:rPr>
                <w:sz w:val="19"/>
                <w:szCs w:val="19"/>
                <w:lang w:eastAsia="en-AU"/>
              </w:rPr>
            </w:pPr>
            <w:r w:rsidRPr="00555A65">
              <w:rPr>
                <w:sz w:val="19"/>
                <w:szCs w:val="19"/>
                <w:lang w:eastAsia="en-AU"/>
              </w:rPr>
              <w:t>0.0287*</w:t>
            </w:r>
          </w:p>
        </w:tc>
        <w:tc>
          <w:tcPr>
            <w:tcW w:w="633" w:type="pct"/>
          </w:tcPr>
          <w:p w14:paraId="205FA92B" w14:textId="77777777" w:rsidR="001D06D5" w:rsidRPr="00555A65" w:rsidRDefault="001D06D5" w:rsidP="00C365DC">
            <w:pPr>
              <w:contextualSpacing/>
              <w:rPr>
                <w:sz w:val="19"/>
                <w:szCs w:val="19"/>
                <w:lang w:eastAsia="en-AU"/>
              </w:rPr>
            </w:pPr>
            <w:r w:rsidRPr="00555A65">
              <w:rPr>
                <w:sz w:val="19"/>
                <w:szCs w:val="19"/>
                <w:lang w:eastAsia="en-AU"/>
              </w:rPr>
              <w:t>0.0315*</w:t>
            </w:r>
          </w:p>
        </w:tc>
        <w:tc>
          <w:tcPr>
            <w:tcW w:w="638" w:type="pct"/>
          </w:tcPr>
          <w:p w14:paraId="10E98827" w14:textId="77777777" w:rsidR="001D06D5" w:rsidRPr="00555A65" w:rsidRDefault="001D06D5" w:rsidP="00C365DC">
            <w:pPr>
              <w:contextualSpacing/>
              <w:rPr>
                <w:sz w:val="19"/>
                <w:szCs w:val="19"/>
                <w:lang w:eastAsia="en-AU"/>
              </w:rPr>
            </w:pPr>
            <w:r w:rsidRPr="00555A65">
              <w:rPr>
                <w:sz w:val="19"/>
                <w:szCs w:val="19"/>
                <w:lang w:eastAsia="en-AU"/>
              </w:rPr>
              <w:t>0.0310*</w:t>
            </w:r>
          </w:p>
        </w:tc>
        <w:tc>
          <w:tcPr>
            <w:tcW w:w="638" w:type="pct"/>
          </w:tcPr>
          <w:p w14:paraId="6A18F61D" w14:textId="77777777" w:rsidR="001D06D5" w:rsidRPr="00555A65" w:rsidRDefault="001D06D5" w:rsidP="00C365DC">
            <w:pPr>
              <w:contextualSpacing/>
              <w:rPr>
                <w:sz w:val="19"/>
                <w:szCs w:val="19"/>
                <w:lang w:eastAsia="en-AU"/>
              </w:rPr>
            </w:pPr>
            <w:r w:rsidRPr="00555A65">
              <w:rPr>
                <w:sz w:val="19"/>
                <w:szCs w:val="19"/>
                <w:lang w:eastAsia="en-AU"/>
              </w:rPr>
              <w:t>0.0304*</w:t>
            </w:r>
          </w:p>
        </w:tc>
        <w:tc>
          <w:tcPr>
            <w:tcW w:w="638" w:type="pct"/>
          </w:tcPr>
          <w:p w14:paraId="5AA6AE58" w14:textId="77777777" w:rsidR="001D06D5" w:rsidRPr="00555A65" w:rsidRDefault="001D06D5" w:rsidP="00C365DC">
            <w:pPr>
              <w:contextualSpacing/>
              <w:rPr>
                <w:sz w:val="19"/>
                <w:szCs w:val="19"/>
                <w:lang w:eastAsia="en-AU"/>
              </w:rPr>
            </w:pPr>
            <w:r w:rsidRPr="00555A65">
              <w:rPr>
                <w:sz w:val="19"/>
                <w:szCs w:val="19"/>
                <w:lang w:eastAsia="en-AU"/>
              </w:rPr>
              <w:t>0.0243*</w:t>
            </w:r>
          </w:p>
        </w:tc>
        <w:tc>
          <w:tcPr>
            <w:tcW w:w="636" w:type="pct"/>
          </w:tcPr>
          <w:p w14:paraId="477B50D1" w14:textId="77777777" w:rsidR="001D06D5" w:rsidRPr="00555A65" w:rsidRDefault="001D06D5" w:rsidP="00C365DC">
            <w:pPr>
              <w:contextualSpacing/>
              <w:rPr>
                <w:sz w:val="19"/>
                <w:szCs w:val="19"/>
                <w:lang w:eastAsia="en-AU"/>
              </w:rPr>
            </w:pPr>
            <w:r w:rsidRPr="00555A65">
              <w:rPr>
                <w:sz w:val="19"/>
                <w:szCs w:val="19"/>
                <w:lang w:eastAsia="en-AU"/>
              </w:rPr>
              <w:t>0.0306*</w:t>
            </w:r>
          </w:p>
        </w:tc>
        <w:tc>
          <w:tcPr>
            <w:tcW w:w="583" w:type="pct"/>
          </w:tcPr>
          <w:p w14:paraId="60D83C83" w14:textId="77777777" w:rsidR="001D06D5" w:rsidRPr="00555A65" w:rsidRDefault="001D06D5" w:rsidP="00C365DC">
            <w:pPr>
              <w:contextualSpacing/>
              <w:rPr>
                <w:sz w:val="19"/>
                <w:szCs w:val="19"/>
                <w:lang w:eastAsia="en-AU"/>
              </w:rPr>
            </w:pPr>
            <w:r w:rsidRPr="00555A65">
              <w:rPr>
                <w:sz w:val="19"/>
                <w:szCs w:val="19"/>
                <w:lang w:eastAsia="en-AU"/>
              </w:rPr>
              <w:t>0.0307*</w:t>
            </w:r>
          </w:p>
        </w:tc>
      </w:tr>
    </w:tbl>
    <w:p w14:paraId="3C9EA875" w14:textId="5718DC82" w:rsidR="001D06D5" w:rsidRDefault="001D06D5" w:rsidP="001D06D5">
      <w:pPr>
        <w:rPr>
          <w:b/>
          <w:sz w:val="20"/>
        </w:rPr>
      </w:pPr>
      <w:r w:rsidRPr="009E7330">
        <w:rPr>
          <w:b/>
          <w:sz w:val="20"/>
        </w:rPr>
        <w:t xml:space="preserve"> </w:t>
      </w:r>
      <w:r w:rsidR="00D31BF6" w:rsidRPr="00D31BF6">
        <w:rPr>
          <w:noProof/>
          <w:lang w:eastAsia="en-AU"/>
        </w:rPr>
        <w:drawing>
          <wp:inline distT="0" distB="0" distL="0" distR="0" wp14:anchorId="4AED0F40" wp14:editId="635119AC">
            <wp:extent cx="5450774" cy="3193866"/>
            <wp:effectExtent l="0" t="0" r="0" b="698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467379" cy="3203595"/>
                    </a:xfrm>
                    <a:prstGeom prst="rect">
                      <a:avLst/>
                    </a:prstGeom>
                    <a:noFill/>
                    <a:ln>
                      <a:noFill/>
                    </a:ln>
                  </pic:spPr>
                </pic:pic>
              </a:graphicData>
            </a:graphic>
          </wp:inline>
        </w:drawing>
      </w:r>
      <w:r w:rsidR="00D31BF6" w:rsidRPr="00D31BF6">
        <w:t xml:space="preserve"> </w:t>
      </w:r>
    </w:p>
    <w:p w14:paraId="2DB15F68" w14:textId="0D38343B" w:rsidR="001D06D5" w:rsidRDefault="001D06D5" w:rsidP="00B46038">
      <w:pPr>
        <w:pStyle w:val="Captions"/>
      </w:pPr>
      <w:r w:rsidRPr="00907D3C">
        <w:t>Figure</w:t>
      </w:r>
      <w:r>
        <w:t xml:space="preserve"> G</w:t>
      </w:r>
      <w:r w:rsidR="00603C34">
        <w:t>8</w:t>
      </w:r>
      <w:r>
        <w:t>.</w:t>
      </w:r>
      <w:r w:rsidRPr="00907D3C">
        <w:t xml:space="preserve">  MDS ordination of </w:t>
      </w:r>
      <w:r w:rsidRPr="004C5AFF">
        <w:t>microinvertebrate</w:t>
      </w:r>
      <w:r w:rsidRPr="00907D3C">
        <w:t xml:space="preserve"> assemblage d</w:t>
      </w:r>
      <w:r w:rsidR="005D6B6A">
        <w:t>ata (log transformed) from Lock </w:t>
      </w:r>
      <w:r w:rsidRPr="00907D3C">
        <w:t>1, with samples identified by sampling event.  nMDS was based on Bray-Curtis Similarities.  Samples are grouped at a Bray-Curtis similarity of 40%</w:t>
      </w:r>
      <w:r>
        <w:t xml:space="preserve"> (green circles) and 60% (blue circles)</w:t>
      </w:r>
      <w:r w:rsidRPr="00907D3C">
        <w:t xml:space="preserve"> (SIMPROF).</w:t>
      </w:r>
    </w:p>
    <w:p w14:paraId="4C1D15BB" w14:textId="4D56A3FA" w:rsidR="00BE5565" w:rsidRDefault="001D06D5" w:rsidP="007C0F7B">
      <w:r w:rsidRPr="00F01413">
        <w:t xml:space="preserve">Results from the SIMPER analysis comparing </w:t>
      </w:r>
      <w:r>
        <w:t xml:space="preserve">below </w:t>
      </w:r>
      <w:r w:rsidRPr="00F01413">
        <w:t>Lock 1</w:t>
      </w:r>
      <w:r w:rsidRPr="004C5AFF">
        <w:t>microinvertebrate</w:t>
      </w:r>
      <w:r w:rsidRPr="00F01413">
        <w:t xml:space="preserve"> assemblages between sampling events </w:t>
      </w:r>
      <w:r>
        <w:t xml:space="preserve">(all significant) </w:t>
      </w:r>
      <w:r w:rsidRPr="00F01413">
        <w:t>is provided below</w:t>
      </w:r>
      <w:r>
        <w:t xml:space="preserve"> </w:t>
      </w:r>
      <w:r w:rsidRPr="00D66553">
        <w:t>in Table G</w:t>
      </w:r>
      <w:r>
        <w:t>6</w:t>
      </w:r>
      <w:r w:rsidRPr="00D66553">
        <w:t>.</w:t>
      </w:r>
      <w:r>
        <w:t xml:space="preserve"> Dissimilarly between groups was primarily driven by higher abundance of the cladoceran </w:t>
      </w:r>
      <w:r w:rsidRPr="00C9746A">
        <w:rPr>
          <w:i/>
        </w:rPr>
        <w:t>Bosmina meridionalis</w:t>
      </w:r>
      <w:r>
        <w:t xml:space="preserve"> during early October, higher abundance of the rotifer </w:t>
      </w:r>
      <w:r w:rsidRPr="00C9746A">
        <w:rPr>
          <w:i/>
        </w:rPr>
        <w:t>Brachionus</w:t>
      </w:r>
      <w:r w:rsidRPr="003974FB">
        <w:t xml:space="preserve"> [</w:t>
      </w:r>
      <w:r w:rsidRPr="00C9746A">
        <w:rPr>
          <w:i/>
        </w:rPr>
        <w:t>angularis</w:t>
      </w:r>
      <w:r w:rsidRPr="003974FB">
        <w:t xml:space="preserve">] </w:t>
      </w:r>
      <w:r w:rsidRPr="00C9746A">
        <w:rPr>
          <w:i/>
        </w:rPr>
        <w:t>bidens</w:t>
      </w:r>
      <w:r>
        <w:t xml:space="preserve"> during early November, lower abundances of rotifers </w:t>
      </w:r>
      <w:r w:rsidRPr="00AF7AFC">
        <w:rPr>
          <w:i/>
        </w:rPr>
        <w:t xml:space="preserve">Polyarthra </w:t>
      </w:r>
      <w:r>
        <w:t xml:space="preserve">sp. a and sp. b during mid-November, and higher abundances of the rotifers </w:t>
      </w:r>
      <w:r w:rsidRPr="00C9746A">
        <w:rPr>
          <w:i/>
        </w:rPr>
        <w:t>Keratella lenzi</w:t>
      </w:r>
      <w:r>
        <w:t xml:space="preserve"> and </w:t>
      </w:r>
      <w:r w:rsidRPr="00C9746A">
        <w:rPr>
          <w:i/>
        </w:rPr>
        <w:t>K.</w:t>
      </w:r>
      <w:r>
        <w:t xml:space="preserve"> cf. </w:t>
      </w:r>
      <w:r w:rsidRPr="00C9746A">
        <w:rPr>
          <w:i/>
        </w:rPr>
        <w:t>americana</w:t>
      </w:r>
      <w:r>
        <w:t xml:space="preserve"> during late January (Table G6).</w:t>
      </w:r>
    </w:p>
    <w:p w14:paraId="7BF2508F" w14:textId="77777777" w:rsidR="00BE5565" w:rsidRDefault="00BE5565" w:rsidP="007C0F7B">
      <w:pPr>
        <w:sectPr w:rsidR="00BE5565" w:rsidSect="00F020E5">
          <w:pgSz w:w="11900" w:h="16840" w:code="9"/>
          <w:pgMar w:top="1440" w:right="1440" w:bottom="1440" w:left="1440" w:header="709" w:footer="709" w:gutter="0"/>
          <w:cols w:space="708"/>
          <w:docGrid w:linePitch="360"/>
        </w:sectPr>
      </w:pPr>
    </w:p>
    <w:p w14:paraId="0C201A7E" w14:textId="428E9218" w:rsidR="00BE5565" w:rsidRDefault="001D06D5" w:rsidP="00B46038">
      <w:pPr>
        <w:pStyle w:val="Captions"/>
      </w:pPr>
      <w:r>
        <w:lastRenderedPageBreak/>
        <w:t>Table G6. Microinvertebrate t</w:t>
      </w:r>
      <w:r w:rsidRPr="00240A70">
        <w:t xml:space="preserve">axa responsible </w:t>
      </w:r>
      <w:r>
        <w:t>for the dissimilarity between sampling events for sites below Lock 1 (SIMPER)</w:t>
      </w:r>
      <w:r w:rsidRPr="00240A70">
        <w:t>. Bold taxa were more abundant during the sampling event</w:t>
      </w:r>
      <w:r>
        <w:t xml:space="preserve"> in the respective column</w:t>
      </w:r>
      <w:r w:rsidRPr="00240A70">
        <w:t>, while unbolded taxa were those more abundant during the sampling event</w:t>
      </w:r>
      <w:r>
        <w:t xml:space="preserve"> in the respective row</w:t>
      </w:r>
      <w:r w:rsidRPr="00240A70">
        <w:t>.</w:t>
      </w:r>
      <w:r>
        <w:t xml:space="preserve"> Average dissimilarity (%) between sampling events is provided for each comparison.</w:t>
      </w:r>
    </w:p>
    <w:tbl>
      <w:tblPr>
        <w:tblStyle w:val="TableGrid"/>
        <w:tblW w:w="5130" w:type="pct"/>
        <w:tblLayout w:type="fixed"/>
        <w:tblLook w:val="04A0" w:firstRow="1" w:lastRow="0" w:firstColumn="1" w:lastColumn="0" w:noHBand="0" w:noVBand="1"/>
      </w:tblPr>
      <w:tblGrid>
        <w:gridCol w:w="1132"/>
        <w:gridCol w:w="1985"/>
        <w:gridCol w:w="2267"/>
        <w:gridCol w:w="2127"/>
        <w:gridCol w:w="1841"/>
        <w:gridCol w:w="1984"/>
        <w:gridCol w:w="1560"/>
        <w:gridCol w:w="1417"/>
      </w:tblGrid>
      <w:tr w:rsidR="00202B00" w:rsidRPr="00591DF4" w14:paraId="46BF20C2" w14:textId="77777777" w:rsidTr="00202B00">
        <w:trPr>
          <w:cantSplit/>
          <w:trHeight w:val="340"/>
          <w:tblHeader/>
        </w:trPr>
        <w:tc>
          <w:tcPr>
            <w:tcW w:w="395" w:type="pct"/>
          </w:tcPr>
          <w:p w14:paraId="65336633" w14:textId="77777777" w:rsidR="001D06D5" w:rsidRPr="00591DF4" w:rsidRDefault="001D06D5" w:rsidP="00C365DC">
            <w:pPr>
              <w:spacing w:before="0" w:after="0" w:line="240" w:lineRule="auto"/>
              <w:contextualSpacing/>
              <w:rPr>
                <w:b/>
                <w:sz w:val="19"/>
                <w:szCs w:val="19"/>
                <w:highlight w:val="yellow"/>
              </w:rPr>
            </w:pPr>
            <w:r w:rsidRPr="00591DF4">
              <w:rPr>
                <w:b/>
                <w:sz w:val="19"/>
                <w:szCs w:val="19"/>
              </w:rPr>
              <w:t>Sampling Event</w:t>
            </w:r>
          </w:p>
        </w:tc>
        <w:tc>
          <w:tcPr>
            <w:tcW w:w="693" w:type="pct"/>
          </w:tcPr>
          <w:p w14:paraId="7FE491E8" w14:textId="77777777" w:rsidR="001D06D5" w:rsidRPr="00591DF4" w:rsidRDefault="001D06D5" w:rsidP="00C365DC">
            <w:pPr>
              <w:spacing w:line="240" w:lineRule="auto"/>
              <w:contextualSpacing/>
              <w:rPr>
                <w:sz w:val="19"/>
                <w:szCs w:val="19"/>
                <w:highlight w:val="yellow"/>
              </w:rPr>
            </w:pPr>
            <w:r w:rsidRPr="00591DF4">
              <w:rPr>
                <w:sz w:val="19"/>
                <w:szCs w:val="19"/>
              </w:rPr>
              <w:t>6-Oct</w:t>
            </w:r>
          </w:p>
        </w:tc>
        <w:tc>
          <w:tcPr>
            <w:tcW w:w="792" w:type="pct"/>
          </w:tcPr>
          <w:p w14:paraId="7EBE7A3F" w14:textId="77777777" w:rsidR="001D06D5" w:rsidRPr="00591DF4" w:rsidRDefault="001D06D5" w:rsidP="00C365DC">
            <w:pPr>
              <w:spacing w:line="240" w:lineRule="auto"/>
              <w:contextualSpacing/>
              <w:rPr>
                <w:sz w:val="19"/>
                <w:szCs w:val="19"/>
                <w:highlight w:val="yellow"/>
              </w:rPr>
            </w:pPr>
            <w:r w:rsidRPr="00591DF4">
              <w:rPr>
                <w:sz w:val="19"/>
                <w:szCs w:val="19"/>
              </w:rPr>
              <w:t>20-Oct</w:t>
            </w:r>
          </w:p>
        </w:tc>
        <w:tc>
          <w:tcPr>
            <w:tcW w:w="743" w:type="pct"/>
          </w:tcPr>
          <w:p w14:paraId="6C64C496" w14:textId="77777777" w:rsidR="001D06D5" w:rsidRPr="00591DF4" w:rsidRDefault="001D06D5" w:rsidP="00C365DC">
            <w:pPr>
              <w:spacing w:line="240" w:lineRule="auto"/>
              <w:contextualSpacing/>
              <w:rPr>
                <w:sz w:val="19"/>
                <w:szCs w:val="19"/>
                <w:highlight w:val="yellow"/>
              </w:rPr>
            </w:pPr>
            <w:r w:rsidRPr="00591DF4">
              <w:rPr>
                <w:sz w:val="19"/>
                <w:szCs w:val="19"/>
              </w:rPr>
              <w:t>2-Nov</w:t>
            </w:r>
          </w:p>
        </w:tc>
        <w:tc>
          <w:tcPr>
            <w:tcW w:w="643" w:type="pct"/>
          </w:tcPr>
          <w:p w14:paraId="70D69883" w14:textId="77777777" w:rsidR="001D06D5" w:rsidRPr="00591DF4" w:rsidRDefault="001D06D5" w:rsidP="00C365DC">
            <w:pPr>
              <w:spacing w:line="240" w:lineRule="auto"/>
              <w:contextualSpacing/>
              <w:rPr>
                <w:sz w:val="19"/>
                <w:szCs w:val="19"/>
                <w:highlight w:val="yellow"/>
              </w:rPr>
            </w:pPr>
            <w:r w:rsidRPr="00591DF4">
              <w:rPr>
                <w:sz w:val="19"/>
                <w:szCs w:val="19"/>
              </w:rPr>
              <w:t>17-Nov</w:t>
            </w:r>
          </w:p>
        </w:tc>
        <w:tc>
          <w:tcPr>
            <w:tcW w:w="693" w:type="pct"/>
          </w:tcPr>
          <w:p w14:paraId="73A5DAB0" w14:textId="77777777" w:rsidR="001D06D5" w:rsidRPr="00591DF4" w:rsidRDefault="001D06D5" w:rsidP="00C365DC">
            <w:pPr>
              <w:spacing w:line="240" w:lineRule="auto"/>
              <w:contextualSpacing/>
              <w:rPr>
                <w:sz w:val="19"/>
                <w:szCs w:val="19"/>
                <w:highlight w:val="yellow"/>
              </w:rPr>
            </w:pPr>
            <w:r w:rsidRPr="00591DF4">
              <w:rPr>
                <w:sz w:val="19"/>
                <w:szCs w:val="19"/>
              </w:rPr>
              <w:t>30-Nov</w:t>
            </w:r>
          </w:p>
        </w:tc>
        <w:tc>
          <w:tcPr>
            <w:tcW w:w="545" w:type="pct"/>
          </w:tcPr>
          <w:p w14:paraId="3CC390F1" w14:textId="77777777" w:rsidR="001D06D5" w:rsidRPr="00591DF4" w:rsidRDefault="001D06D5" w:rsidP="00C365DC">
            <w:pPr>
              <w:spacing w:line="240" w:lineRule="auto"/>
              <w:contextualSpacing/>
              <w:rPr>
                <w:sz w:val="19"/>
                <w:szCs w:val="19"/>
                <w:highlight w:val="yellow"/>
              </w:rPr>
            </w:pPr>
            <w:r w:rsidRPr="00591DF4">
              <w:rPr>
                <w:sz w:val="19"/>
                <w:szCs w:val="19"/>
              </w:rPr>
              <w:t>15-Dec</w:t>
            </w:r>
          </w:p>
        </w:tc>
        <w:tc>
          <w:tcPr>
            <w:tcW w:w="495" w:type="pct"/>
          </w:tcPr>
          <w:p w14:paraId="359C42E5" w14:textId="77777777" w:rsidR="001D06D5" w:rsidRPr="00591DF4" w:rsidRDefault="001D06D5" w:rsidP="00C365DC">
            <w:pPr>
              <w:spacing w:line="240" w:lineRule="auto"/>
              <w:contextualSpacing/>
              <w:rPr>
                <w:sz w:val="19"/>
                <w:szCs w:val="19"/>
                <w:highlight w:val="yellow"/>
              </w:rPr>
            </w:pPr>
            <w:r w:rsidRPr="00591DF4">
              <w:rPr>
                <w:sz w:val="19"/>
                <w:szCs w:val="19"/>
              </w:rPr>
              <w:t>5-Jan</w:t>
            </w:r>
          </w:p>
        </w:tc>
      </w:tr>
      <w:tr w:rsidR="00202B00" w:rsidRPr="00591DF4" w14:paraId="60D7A27B" w14:textId="77777777" w:rsidTr="00202B00">
        <w:trPr>
          <w:cantSplit/>
          <w:trHeight w:val="794"/>
        </w:trPr>
        <w:tc>
          <w:tcPr>
            <w:tcW w:w="395" w:type="pct"/>
          </w:tcPr>
          <w:p w14:paraId="2D589CF3" w14:textId="77777777" w:rsidR="001D06D5" w:rsidRPr="00591DF4" w:rsidRDefault="001D06D5" w:rsidP="00C365DC">
            <w:pPr>
              <w:spacing w:line="240" w:lineRule="auto"/>
              <w:contextualSpacing/>
              <w:rPr>
                <w:sz w:val="19"/>
                <w:szCs w:val="19"/>
                <w:highlight w:val="yellow"/>
              </w:rPr>
            </w:pPr>
            <w:r w:rsidRPr="00591DF4">
              <w:rPr>
                <w:sz w:val="19"/>
                <w:szCs w:val="19"/>
              </w:rPr>
              <w:t>6-Oct</w:t>
            </w:r>
          </w:p>
        </w:tc>
        <w:tc>
          <w:tcPr>
            <w:tcW w:w="693" w:type="pct"/>
            <w:shd w:val="clear" w:color="auto" w:fill="000000" w:themeFill="text1"/>
          </w:tcPr>
          <w:p w14:paraId="3B89F463" w14:textId="77777777" w:rsidR="001D06D5" w:rsidRPr="00591DF4" w:rsidRDefault="001D06D5" w:rsidP="00C365DC">
            <w:pPr>
              <w:spacing w:line="240" w:lineRule="auto"/>
              <w:contextualSpacing/>
              <w:rPr>
                <w:sz w:val="19"/>
                <w:szCs w:val="19"/>
                <w:highlight w:val="yellow"/>
              </w:rPr>
            </w:pPr>
          </w:p>
        </w:tc>
        <w:tc>
          <w:tcPr>
            <w:tcW w:w="792" w:type="pct"/>
          </w:tcPr>
          <w:p w14:paraId="36715933" w14:textId="77777777" w:rsidR="001D06D5" w:rsidRPr="00591DF4" w:rsidRDefault="001D06D5" w:rsidP="00C365DC">
            <w:pPr>
              <w:spacing w:line="240" w:lineRule="auto"/>
              <w:contextualSpacing/>
              <w:rPr>
                <w:sz w:val="19"/>
                <w:szCs w:val="19"/>
                <w:highlight w:val="yellow"/>
              </w:rPr>
            </w:pPr>
          </w:p>
        </w:tc>
        <w:tc>
          <w:tcPr>
            <w:tcW w:w="743" w:type="pct"/>
          </w:tcPr>
          <w:p w14:paraId="3577CE33" w14:textId="77777777" w:rsidR="001D06D5" w:rsidRPr="00591DF4" w:rsidRDefault="001D06D5" w:rsidP="00C365DC">
            <w:pPr>
              <w:spacing w:line="240" w:lineRule="auto"/>
              <w:contextualSpacing/>
              <w:rPr>
                <w:sz w:val="19"/>
                <w:szCs w:val="19"/>
                <w:highlight w:val="yellow"/>
              </w:rPr>
            </w:pPr>
          </w:p>
        </w:tc>
        <w:tc>
          <w:tcPr>
            <w:tcW w:w="643" w:type="pct"/>
          </w:tcPr>
          <w:p w14:paraId="502E37BE" w14:textId="77777777" w:rsidR="001D06D5" w:rsidRPr="00591DF4" w:rsidRDefault="001D06D5" w:rsidP="00C365DC">
            <w:pPr>
              <w:spacing w:line="240" w:lineRule="auto"/>
              <w:contextualSpacing/>
              <w:rPr>
                <w:sz w:val="19"/>
                <w:szCs w:val="19"/>
                <w:highlight w:val="yellow"/>
              </w:rPr>
            </w:pPr>
          </w:p>
        </w:tc>
        <w:tc>
          <w:tcPr>
            <w:tcW w:w="693" w:type="pct"/>
          </w:tcPr>
          <w:p w14:paraId="181D5D3A" w14:textId="77777777" w:rsidR="001D06D5" w:rsidRPr="00591DF4" w:rsidRDefault="001D06D5" w:rsidP="00C365DC">
            <w:pPr>
              <w:spacing w:line="240" w:lineRule="auto"/>
              <w:contextualSpacing/>
              <w:rPr>
                <w:sz w:val="19"/>
                <w:szCs w:val="19"/>
                <w:highlight w:val="yellow"/>
              </w:rPr>
            </w:pPr>
          </w:p>
        </w:tc>
        <w:tc>
          <w:tcPr>
            <w:tcW w:w="545" w:type="pct"/>
          </w:tcPr>
          <w:p w14:paraId="398E2E72" w14:textId="77777777" w:rsidR="001D06D5" w:rsidRPr="00591DF4" w:rsidRDefault="001D06D5" w:rsidP="00C365DC">
            <w:pPr>
              <w:spacing w:line="240" w:lineRule="auto"/>
              <w:contextualSpacing/>
              <w:rPr>
                <w:sz w:val="19"/>
                <w:szCs w:val="19"/>
                <w:highlight w:val="yellow"/>
              </w:rPr>
            </w:pPr>
          </w:p>
        </w:tc>
        <w:tc>
          <w:tcPr>
            <w:tcW w:w="495" w:type="pct"/>
          </w:tcPr>
          <w:p w14:paraId="1E98A3FB" w14:textId="77777777" w:rsidR="001D06D5" w:rsidRPr="00591DF4" w:rsidRDefault="001D06D5" w:rsidP="00C365DC">
            <w:pPr>
              <w:spacing w:line="240" w:lineRule="auto"/>
              <w:contextualSpacing/>
              <w:rPr>
                <w:sz w:val="19"/>
                <w:szCs w:val="19"/>
                <w:highlight w:val="yellow"/>
              </w:rPr>
            </w:pPr>
          </w:p>
        </w:tc>
      </w:tr>
      <w:tr w:rsidR="00202B00" w:rsidRPr="00591DF4" w14:paraId="205C1543" w14:textId="77777777" w:rsidTr="00202B00">
        <w:trPr>
          <w:cantSplit/>
          <w:trHeight w:val="794"/>
        </w:trPr>
        <w:tc>
          <w:tcPr>
            <w:tcW w:w="395" w:type="pct"/>
          </w:tcPr>
          <w:p w14:paraId="4B8141C4" w14:textId="77777777" w:rsidR="001D06D5" w:rsidRPr="00591DF4" w:rsidRDefault="001D06D5" w:rsidP="00C365DC">
            <w:pPr>
              <w:spacing w:line="240" w:lineRule="auto"/>
              <w:contextualSpacing/>
              <w:rPr>
                <w:sz w:val="19"/>
                <w:szCs w:val="19"/>
                <w:highlight w:val="yellow"/>
              </w:rPr>
            </w:pPr>
            <w:r w:rsidRPr="00591DF4">
              <w:rPr>
                <w:sz w:val="19"/>
                <w:szCs w:val="19"/>
              </w:rPr>
              <w:t>20-Oct</w:t>
            </w:r>
          </w:p>
        </w:tc>
        <w:tc>
          <w:tcPr>
            <w:tcW w:w="693" w:type="pct"/>
          </w:tcPr>
          <w:p w14:paraId="38C4EA6C" w14:textId="77777777" w:rsidR="001D06D5" w:rsidRPr="00591DF4" w:rsidRDefault="001D06D5" w:rsidP="00C365DC">
            <w:pPr>
              <w:spacing w:line="240" w:lineRule="auto"/>
              <w:contextualSpacing/>
              <w:jc w:val="center"/>
              <w:rPr>
                <w:sz w:val="19"/>
                <w:szCs w:val="19"/>
              </w:rPr>
            </w:pPr>
            <w:r w:rsidRPr="00591DF4">
              <w:rPr>
                <w:sz w:val="19"/>
                <w:szCs w:val="19"/>
              </w:rPr>
              <w:t>41.47%</w:t>
            </w:r>
          </w:p>
          <w:p w14:paraId="7562127D" w14:textId="77777777" w:rsidR="001D06D5" w:rsidRPr="00591DF4" w:rsidRDefault="001D06D5" w:rsidP="00C365DC">
            <w:pPr>
              <w:spacing w:line="240" w:lineRule="auto"/>
              <w:contextualSpacing/>
              <w:rPr>
                <w:sz w:val="19"/>
                <w:szCs w:val="19"/>
                <w:highlight w:val="yellow"/>
              </w:rPr>
            </w:pPr>
            <w:r w:rsidRPr="00591DF4">
              <w:rPr>
                <w:sz w:val="19"/>
                <w:szCs w:val="19"/>
              </w:rPr>
              <w:t xml:space="preserve">indet. glob. ciliate [sm], indet. glob. ciliate [lg], </w:t>
            </w:r>
            <w:r w:rsidRPr="00591DF4">
              <w:rPr>
                <w:i/>
                <w:sz w:val="19"/>
                <w:szCs w:val="19"/>
              </w:rPr>
              <w:t>Conochilus</w:t>
            </w:r>
            <w:r w:rsidRPr="00591DF4">
              <w:rPr>
                <w:sz w:val="19"/>
                <w:szCs w:val="19"/>
              </w:rPr>
              <w:t xml:space="preserve"> sp. a [sm], </w:t>
            </w:r>
            <w:r w:rsidRPr="00591DF4">
              <w:rPr>
                <w:b/>
                <w:i/>
                <w:sz w:val="19"/>
                <w:szCs w:val="19"/>
              </w:rPr>
              <w:t>Filinia pejleri</w:t>
            </w:r>
            <w:r w:rsidRPr="00591DF4">
              <w:rPr>
                <w:sz w:val="19"/>
                <w:szCs w:val="19"/>
              </w:rPr>
              <w:t xml:space="preserve">, </w:t>
            </w:r>
            <w:r w:rsidRPr="00591DF4">
              <w:rPr>
                <w:i/>
                <w:sz w:val="19"/>
                <w:szCs w:val="19"/>
              </w:rPr>
              <w:t xml:space="preserve">Polyarthra </w:t>
            </w:r>
            <w:r w:rsidRPr="00591DF4">
              <w:rPr>
                <w:sz w:val="19"/>
                <w:szCs w:val="19"/>
              </w:rPr>
              <w:t xml:space="preserve">sp. b [lg], </w:t>
            </w:r>
            <w:r w:rsidRPr="00591DF4">
              <w:rPr>
                <w:i/>
                <w:sz w:val="19"/>
                <w:szCs w:val="19"/>
              </w:rPr>
              <w:t xml:space="preserve">Conochilus </w:t>
            </w:r>
            <w:r w:rsidRPr="00591DF4">
              <w:rPr>
                <w:sz w:val="19"/>
                <w:szCs w:val="19"/>
              </w:rPr>
              <w:t xml:space="preserve">sp. b [lg], </w:t>
            </w:r>
            <w:r w:rsidRPr="00591DF4">
              <w:rPr>
                <w:i/>
                <w:sz w:val="19"/>
                <w:szCs w:val="19"/>
              </w:rPr>
              <w:t>Codonaria</w:t>
            </w:r>
            <w:r w:rsidRPr="00591DF4">
              <w:rPr>
                <w:sz w:val="19"/>
                <w:szCs w:val="19"/>
              </w:rPr>
              <w:t xml:space="preserve"> sp., </w:t>
            </w:r>
            <w:r w:rsidRPr="00591DF4">
              <w:rPr>
                <w:b/>
                <w:i/>
                <w:sz w:val="19"/>
                <w:szCs w:val="19"/>
              </w:rPr>
              <w:t>Keratella cochlearis</w:t>
            </w:r>
            <w:r w:rsidRPr="00591DF4">
              <w:rPr>
                <w:i/>
                <w:sz w:val="19"/>
                <w:szCs w:val="19"/>
              </w:rPr>
              <w:t xml:space="preserve"> </w:t>
            </w:r>
            <w:r w:rsidRPr="00591DF4">
              <w:rPr>
                <w:sz w:val="19"/>
                <w:szCs w:val="19"/>
              </w:rPr>
              <w:t xml:space="preserve">and </w:t>
            </w:r>
            <w:r w:rsidRPr="00591DF4">
              <w:rPr>
                <w:i/>
                <w:sz w:val="19"/>
                <w:szCs w:val="19"/>
              </w:rPr>
              <w:t>Trichocerca pusilla</w:t>
            </w:r>
            <w:r w:rsidRPr="00591DF4">
              <w:rPr>
                <w:sz w:val="19"/>
                <w:szCs w:val="19"/>
              </w:rPr>
              <w:t>.</w:t>
            </w:r>
            <w:r w:rsidRPr="00591DF4" w:rsidDel="008441E5">
              <w:rPr>
                <w:b/>
                <w:sz w:val="19"/>
                <w:szCs w:val="19"/>
              </w:rPr>
              <w:t xml:space="preserve"> </w:t>
            </w:r>
          </w:p>
        </w:tc>
        <w:tc>
          <w:tcPr>
            <w:tcW w:w="792" w:type="pct"/>
            <w:shd w:val="clear" w:color="auto" w:fill="000000" w:themeFill="text1"/>
          </w:tcPr>
          <w:p w14:paraId="4E6C3CC5" w14:textId="77777777" w:rsidR="001D06D5" w:rsidRPr="00591DF4" w:rsidRDefault="001D06D5" w:rsidP="00C365DC">
            <w:pPr>
              <w:spacing w:line="240" w:lineRule="auto"/>
              <w:contextualSpacing/>
              <w:rPr>
                <w:sz w:val="19"/>
                <w:szCs w:val="19"/>
                <w:highlight w:val="yellow"/>
              </w:rPr>
            </w:pPr>
          </w:p>
        </w:tc>
        <w:tc>
          <w:tcPr>
            <w:tcW w:w="743" w:type="pct"/>
          </w:tcPr>
          <w:p w14:paraId="2964390B" w14:textId="77777777" w:rsidR="001D06D5" w:rsidRPr="00591DF4" w:rsidRDefault="001D06D5" w:rsidP="00C365DC">
            <w:pPr>
              <w:spacing w:line="240" w:lineRule="auto"/>
              <w:contextualSpacing/>
              <w:rPr>
                <w:sz w:val="19"/>
                <w:szCs w:val="19"/>
                <w:highlight w:val="yellow"/>
              </w:rPr>
            </w:pPr>
          </w:p>
        </w:tc>
        <w:tc>
          <w:tcPr>
            <w:tcW w:w="643" w:type="pct"/>
          </w:tcPr>
          <w:p w14:paraId="04ED2EEB" w14:textId="77777777" w:rsidR="001D06D5" w:rsidRPr="00591DF4" w:rsidRDefault="001D06D5" w:rsidP="00C365DC">
            <w:pPr>
              <w:spacing w:line="240" w:lineRule="auto"/>
              <w:contextualSpacing/>
              <w:rPr>
                <w:sz w:val="19"/>
                <w:szCs w:val="19"/>
                <w:highlight w:val="yellow"/>
              </w:rPr>
            </w:pPr>
          </w:p>
        </w:tc>
        <w:tc>
          <w:tcPr>
            <w:tcW w:w="693" w:type="pct"/>
          </w:tcPr>
          <w:p w14:paraId="1A2DB1A2" w14:textId="77777777" w:rsidR="001D06D5" w:rsidRPr="00591DF4" w:rsidRDefault="001D06D5" w:rsidP="00C365DC">
            <w:pPr>
              <w:spacing w:line="240" w:lineRule="auto"/>
              <w:contextualSpacing/>
              <w:rPr>
                <w:sz w:val="19"/>
                <w:szCs w:val="19"/>
                <w:highlight w:val="yellow"/>
              </w:rPr>
            </w:pPr>
          </w:p>
        </w:tc>
        <w:tc>
          <w:tcPr>
            <w:tcW w:w="545" w:type="pct"/>
          </w:tcPr>
          <w:p w14:paraId="66045988" w14:textId="77777777" w:rsidR="001D06D5" w:rsidRPr="00591DF4" w:rsidRDefault="001D06D5" w:rsidP="00C365DC">
            <w:pPr>
              <w:spacing w:line="240" w:lineRule="auto"/>
              <w:contextualSpacing/>
              <w:rPr>
                <w:sz w:val="19"/>
                <w:szCs w:val="19"/>
                <w:highlight w:val="yellow"/>
              </w:rPr>
            </w:pPr>
          </w:p>
        </w:tc>
        <w:tc>
          <w:tcPr>
            <w:tcW w:w="495" w:type="pct"/>
          </w:tcPr>
          <w:p w14:paraId="4FEBB3C3" w14:textId="77777777" w:rsidR="001D06D5" w:rsidRPr="00591DF4" w:rsidRDefault="001D06D5" w:rsidP="00C365DC">
            <w:pPr>
              <w:spacing w:line="240" w:lineRule="auto"/>
              <w:contextualSpacing/>
              <w:rPr>
                <w:sz w:val="19"/>
                <w:szCs w:val="19"/>
                <w:highlight w:val="yellow"/>
              </w:rPr>
            </w:pPr>
          </w:p>
        </w:tc>
      </w:tr>
      <w:tr w:rsidR="00202B00" w:rsidRPr="00591DF4" w14:paraId="517C2A22" w14:textId="77777777" w:rsidTr="00202B00">
        <w:trPr>
          <w:cantSplit/>
          <w:trHeight w:val="794"/>
        </w:trPr>
        <w:tc>
          <w:tcPr>
            <w:tcW w:w="395" w:type="pct"/>
          </w:tcPr>
          <w:p w14:paraId="07A86184" w14:textId="77777777" w:rsidR="001D06D5" w:rsidRPr="00591DF4" w:rsidRDefault="001D06D5" w:rsidP="00C365DC">
            <w:pPr>
              <w:spacing w:line="240" w:lineRule="auto"/>
              <w:contextualSpacing/>
              <w:rPr>
                <w:sz w:val="19"/>
                <w:szCs w:val="19"/>
                <w:highlight w:val="yellow"/>
              </w:rPr>
            </w:pPr>
            <w:r w:rsidRPr="00591DF4">
              <w:rPr>
                <w:sz w:val="19"/>
                <w:szCs w:val="19"/>
              </w:rPr>
              <w:t>2-Nov</w:t>
            </w:r>
          </w:p>
        </w:tc>
        <w:tc>
          <w:tcPr>
            <w:tcW w:w="693" w:type="pct"/>
          </w:tcPr>
          <w:p w14:paraId="61B1C4F1" w14:textId="77777777" w:rsidR="001D06D5" w:rsidRPr="00591DF4" w:rsidRDefault="001D06D5" w:rsidP="00C365DC">
            <w:pPr>
              <w:spacing w:line="240" w:lineRule="auto"/>
              <w:contextualSpacing/>
              <w:jc w:val="center"/>
              <w:rPr>
                <w:sz w:val="19"/>
                <w:szCs w:val="19"/>
              </w:rPr>
            </w:pPr>
            <w:r w:rsidRPr="00591DF4">
              <w:rPr>
                <w:sz w:val="19"/>
                <w:szCs w:val="19"/>
              </w:rPr>
              <w:t>45.22%</w:t>
            </w:r>
          </w:p>
          <w:p w14:paraId="7BDD3008" w14:textId="77777777" w:rsidR="001D06D5" w:rsidRPr="00591DF4" w:rsidRDefault="001D06D5" w:rsidP="00C365DC">
            <w:pPr>
              <w:spacing w:line="240" w:lineRule="auto"/>
              <w:contextualSpacing/>
              <w:rPr>
                <w:b/>
                <w:i/>
                <w:sz w:val="19"/>
                <w:szCs w:val="19"/>
                <w:highlight w:val="yellow"/>
              </w:rPr>
            </w:pPr>
            <w:r w:rsidRPr="00591DF4">
              <w:rPr>
                <w:i/>
                <w:sz w:val="19"/>
                <w:szCs w:val="19"/>
              </w:rPr>
              <w:t>Brachionus</w:t>
            </w:r>
            <w:r w:rsidRPr="00591DF4">
              <w:rPr>
                <w:sz w:val="19"/>
                <w:szCs w:val="19"/>
              </w:rPr>
              <w:t xml:space="preserve"> [</w:t>
            </w:r>
            <w:r w:rsidRPr="00591DF4">
              <w:rPr>
                <w:i/>
                <w:sz w:val="19"/>
                <w:szCs w:val="19"/>
              </w:rPr>
              <w:t>angularis</w:t>
            </w:r>
            <w:r w:rsidRPr="00591DF4">
              <w:rPr>
                <w:sz w:val="19"/>
                <w:szCs w:val="19"/>
              </w:rPr>
              <w:t xml:space="preserve">] </w:t>
            </w:r>
            <w:r w:rsidRPr="00591DF4">
              <w:rPr>
                <w:i/>
                <w:sz w:val="19"/>
                <w:szCs w:val="19"/>
              </w:rPr>
              <w:t>bidens</w:t>
            </w:r>
            <w:r w:rsidRPr="00591DF4">
              <w:rPr>
                <w:sz w:val="19"/>
                <w:szCs w:val="19"/>
              </w:rPr>
              <w:t xml:space="preserve">, indet. glob. ciliate [sm], </w:t>
            </w:r>
            <w:r w:rsidRPr="00591DF4">
              <w:rPr>
                <w:i/>
                <w:sz w:val="19"/>
                <w:szCs w:val="19"/>
              </w:rPr>
              <w:t>Keratella tropica</w:t>
            </w:r>
            <w:r w:rsidRPr="00591DF4">
              <w:rPr>
                <w:sz w:val="19"/>
                <w:szCs w:val="19"/>
              </w:rPr>
              <w:t xml:space="preserve">, </w:t>
            </w:r>
            <w:r w:rsidRPr="00591DF4">
              <w:rPr>
                <w:i/>
                <w:sz w:val="19"/>
                <w:szCs w:val="19"/>
              </w:rPr>
              <w:t>Brachionus angularis</w:t>
            </w:r>
            <w:r w:rsidRPr="00591DF4">
              <w:rPr>
                <w:sz w:val="19"/>
                <w:szCs w:val="19"/>
              </w:rPr>
              <w:t xml:space="preserve">, </w:t>
            </w:r>
            <w:r w:rsidRPr="00591DF4">
              <w:rPr>
                <w:i/>
                <w:sz w:val="19"/>
                <w:szCs w:val="19"/>
              </w:rPr>
              <w:t xml:space="preserve">Polyarthra </w:t>
            </w:r>
            <w:r w:rsidRPr="00591DF4">
              <w:rPr>
                <w:sz w:val="19"/>
                <w:szCs w:val="19"/>
              </w:rPr>
              <w:t xml:space="preserve">sp. b [lg], </w:t>
            </w:r>
            <w:r w:rsidRPr="00591DF4">
              <w:rPr>
                <w:i/>
                <w:sz w:val="19"/>
                <w:szCs w:val="19"/>
              </w:rPr>
              <w:t>Brachionus calyciflorus amphiceros</w:t>
            </w:r>
            <w:r w:rsidRPr="00591DF4">
              <w:rPr>
                <w:sz w:val="19"/>
                <w:szCs w:val="19"/>
              </w:rPr>
              <w:t xml:space="preserve">, indet. glob. ciliate [lg] and </w:t>
            </w:r>
            <w:r w:rsidRPr="00591DF4">
              <w:rPr>
                <w:i/>
                <w:sz w:val="19"/>
                <w:szCs w:val="19"/>
              </w:rPr>
              <w:t xml:space="preserve">Conochilus </w:t>
            </w:r>
            <w:r w:rsidRPr="00591DF4">
              <w:rPr>
                <w:sz w:val="19"/>
                <w:szCs w:val="19"/>
              </w:rPr>
              <w:t>sp. a [sm].</w:t>
            </w:r>
          </w:p>
          <w:p w14:paraId="6F88A4FB" w14:textId="77777777" w:rsidR="001D06D5" w:rsidRPr="00591DF4" w:rsidRDefault="001D06D5" w:rsidP="00C365DC">
            <w:pPr>
              <w:spacing w:line="240" w:lineRule="auto"/>
              <w:contextualSpacing/>
              <w:rPr>
                <w:sz w:val="19"/>
                <w:szCs w:val="19"/>
                <w:highlight w:val="yellow"/>
              </w:rPr>
            </w:pPr>
          </w:p>
        </w:tc>
        <w:tc>
          <w:tcPr>
            <w:tcW w:w="792" w:type="pct"/>
          </w:tcPr>
          <w:p w14:paraId="682E179C" w14:textId="77777777" w:rsidR="001D06D5" w:rsidRPr="00591DF4" w:rsidRDefault="001D06D5" w:rsidP="00C365DC">
            <w:pPr>
              <w:spacing w:line="240" w:lineRule="auto"/>
              <w:contextualSpacing/>
              <w:jc w:val="center"/>
              <w:rPr>
                <w:sz w:val="19"/>
                <w:szCs w:val="19"/>
              </w:rPr>
            </w:pPr>
            <w:r w:rsidRPr="00591DF4">
              <w:rPr>
                <w:sz w:val="19"/>
                <w:szCs w:val="19"/>
              </w:rPr>
              <w:t>35.08%</w:t>
            </w:r>
          </w:p>
          <w:p w14:paraId="4B4CA133" w14:textId="77777777" w:rsidR="001D06D5" w:rsidRPr="00591DF4" w:rsidRDefault="001D06D5" w:rsidP="00C365DC">
            <w:pPr>
              <w:spacing w:line="240" w:lineRule="auto"/>
              <w:contextualSpacing/>
              <w:rPr>
                <w:sz w:val="19"/>
                <w:szCs w:val="19"/>
                <w:highlight w:val="yellow"/>
              </w:rPr>
            </w:pPr>
            <w:r w:rsidRPr="00591DF4">
              <w:rPr>
                <w:rFonts w:cstheme="minorHAnsi"/>
                <w:i/>
                <w:iCs/>
                <w:sz w:val="19"/>
                <w:szCs w:val="19"/>
              </w:rPr>
              <w:t>Brachionus</w:t>
            </w:r>
            <w:r w:rsidRPr="00591DF4">
              <w:rPr>
                <w:rFonts w:cstheme="minorHAnsi"/>
                <w:iCs/>
                <w:sz w:val="19"/>
                <w:szCs w:val="19"/>
              </w:rPr>
              <w:t xml:space="preserve"> [</w:t>
            </w:r>
            <w:r w:rsidRPr="00591DF4">
              <w:rPr>
                <w:rFonts w:cstheme="minorHAnsi"/>
                <w:i/>
                <w:iCs/>
                <w:sz w:val="19"/>
                <w:szCs w:val="19"/>
              </w:rPr>
              <w:t>angularis</w:t>
            </w:r>
            <w:r w:rsidRPr="00591DF4">
              <w:rPr>
                <w:rFonts w:cstheme="minorHAnsi"/>
                <w:iCs/>
                <w:sz w:val="19"/>
                <w:szCs w:val="19"/>
              </w:rPr>
              <w:t xml:space="preserve">] </w:t>
            </w:r>
            <w:r w:rsidRPr="00591DF4">
              <w:rPr>
                <w:rFonts w:cstheme="minorHAnsi"/>
                <w:i/>
                <w:iCs/>
                <w:sz w:val="19"/>
                <w:szCs w:val="19"/>
              </w:rPr>
              <w:t>bidens</w:t>
            </w:r>
            <w:r w:rsidRPr="00591DF4">
              <w:rPr>
                <w:rFonts w:cstheme="minorHAnsi"/>
                <w:iCs/>
                <w:sz w:val="19"/>
                <w:szCs w:val="19"/>
              </w:rPr>
              <w:t xml:space="preserve">, </w:t>
            </w:r>
            <w:r w:rsidRPr="00591DF4">
              <w:rPr>
                <w:rFonts w:cstheme="minorHAnsi"/>
                <w:i/>
                <w:iCs/>
                <w:sz w:val="19"/>
                <w:szCs w:val="19"/>
              </w:rPr>
              <w:t>Filinia pejleri</w:t>
            </w:r>
            <w:r w:rsidRPr="00591DF4">
              <w:rPr>
                <w:rFonts w:cstheme="minorHAnsi"/>
                <w:iCs/>
                <w:sz w:val="19"/>
                <w:szCs w:val="19"/>
              </w:rPr>
              <w:t xml:space="preserve">, </w:t>
            </w:r>
            <w:r w:rsidRPr="00591DF4">
              <w:rPr>
                <w:rFonts w:cstheme="minorHAnsi"/>
                <w:i/>
                <w:iCs/>
                <w:sz w:val="19"/>
                <w:szCs w:val="19"/>
              </w:rPr>
              <w:t>Brachionus angularis</w:t>
            </w:r>
            <w:r w:rsidRPr="00591DF4">
              <w:rPr>
                <w:rFonts w:cstheme="minorHAnsi"/>
                <w:iCs/>
                <w:sz w:val="19"/>
                <w:szCs w:val="19"/>
              </w:rPr>
              <w:t xml:space="preserve">, </w:t>
            </w:r>
            <w:r w:rsidRPr="00591DF4">
              <w:rPr>
                <w:rFonts w:cstheme="minorHAnsi"/>
                <w:i/>
                <w:iCs/>
                <w:sz w:val="19"/>
                <w:szCs w:val="19"/>
              </w:rPr>
              <w:t>Brachionus calyciflorus amphiceros</w:t>
            </w:r>
            <w:r w:rsidRPr="00591DF4">
              <w:rPr>
                <w:rFonts w:cstheme="minorHAnsi"/>
                <w:iCs/>
                <w:sz w:val="19"/>
                <w:szCs w:val="19"/>
              </w:rPr>
              <w:t xml:space="preserve">, </w:t>
            </w:r>
            <w:r w:rsidRPr="00591DF4">
              <w:rPr>
                <w:rFonts w:cstheme="minorHAnsi"/>
                <w:i/>
                <w:iCs/>
                <w:sz w:val="19"/>
                <w:szCs w:val="19"/>
              </w:rPr>
              <w:t>Filinia opoliensis</w:t>
            </w:r>
            <w:r w:rsidRPr="00591DF4">
              <w:rPr>
                <w:rFonts w:cstheme="minorHAnsi"/>
                <w:iCs/>
                <w:sz w:val="19"/>
                <w:szCs w:val="19"/>
              </w:rPr>
              <w:t xml:space="preserve">, </w:t>
            </w:r>
            <w:r w:rsidRPr="00591DF4">
              <w:rPr>
                <w:rFonts w:cstheme="minorHAnsi"/>
                <w:b/>
                <w:i/>
                <w:iCs/>
                <w:sz w:val="19"/>
                <w:szCs w:val="19"/>
              </w:rPr>
              <w:t>Synchaeta pectinata</w:t>
            </w:r>
            <w:r w:rsidRPr="00591DF4">
              <w:rPr>
                <w:rFonts w:cstheme="minorHAnsi"/>
                <w:b/>
                <w:iCs/>
                <w:sz w:val="19"/>
                <w:szCs w:val="19"/>
              </w:rPr>
              <w:t xml:space="preserve"> [med-lg]</w:t>
            </w:r>
            <w:r w:rsidRPr="00591DF4">
              <w:rPr>
                <w:rFonts w:cstheme="minorHAnsi"/>
                <w:iCs/>
                <w:sz w:val="19"/>
                <w:szCs w:val="19"/>
              </w:rPr>
              <w:t xml:space="preserve">, </w:t>
            </w:r>
            <w:r w:rsidRPr="00591DF4">
              <w:rPr>
                <w:rFonts w:cstheme="minorHAnsi"/>
                <w:i/>
                <w:iCs/>
                <w:sz w:val="19"/>
                <w:szCs w:val="19"/>
              </w:rPr>
              <w:t>Keratella tropica</w:t>
            </w:r>
            <w:r w:rsidRPr="00591DF4">
              <w:rPr>
                <w:rFonts w:cstheme="minorHAnsi"/>
                <w:iCs/>
                <w:sz w:val="19"/>
                <w:szCs w:val="19"/>
              </w:rPr>
              <w:t xml:space="preserve">, </w:t>
            </w:r>
            <w:r w:rsidRPr="00591DF4">
              <w:rPr>
                <w:rFonts w:cstheme="minorHAnsi"/>
                <w:i/>
                <w:iCs/>
                <w:sz w:val="19"/>
                <w:szCs w:val="19"/>
              </w:rPr>
              <w:t xml:space="preserve">Keratella cochlearis </w:t>
            </w:r>
            <w:r w:rsidRPr="00591DF4">
              <w:rPr>
                <w:rFonts w:cstheme="minorHAnsi"/>
                <w:iCs/>
                <w:sz w:val="19"/>
                <w:szCs w:val="19"/>
              </w:rPr>
              <w:t xml:space="preserve">and </w:t>
            </w:r>
            <w:r w:rsidRPr="00591DF4">
              <w:rPr>
                <w:rFonts w:cstheme="minorHAnsi"/>
                <w:b/>
                <w:i/>
                <w:iCs/>
                <w:sz w:val="19"/>
                <w:szCs w:val="19"/>
              </w:rPr>
              <w:t>Synchaeta</w:t>
            </w:r>
            <w:r w:rsidRPr="00591DF4">
              <w:rPr>
                <w:rFonts w:cstheme="minorHAnsi"/>
                <w:b/>
                <w:iCs/>
                <w:sz w:val="19"/>
                <w:szCs w:val="19"/>
              </w:rPr>
              <w:t xml:space="preserve"> sp. b [sm., cf. oblonga]</w:t>
            </w:r>
            <w:r w:rsidRPr="00591DF4">
              <w:rPr>
                <w:rFonts w:cstheme="minorHAnsi"/>
                <w:iCs/>
                <w:sz w:val="19"/>
                <w:szCs w:val="19"/>
              </w:rPr>
              <w:t>.</w:t>
            </w:r>
          </w:p>
        </w:tc>
        <w:tc>
          <w:tcPr>
            <w:tcW w:w="743" w:type="pct"/>
            <w:shd w:val="clear" w:color="auto" w:fill="000000" w:themeFill="text1"/>
          </w:tcPr>
          <w:p w14:paraId="55D10016" w14:textId="77777777" w:rsidR="001D06D5" w:rsidRPr="00591DF4" w:rsidRDefault="001D06D5" w:rsidP="00C365DC">
            <w:pPr>
              <w:spacing w:line="240" w:lineRule="auto"/>
              <w:contextualSpacing/>
              <w:rPr>
                <w:sz w:val="19"/>
                <w:szCs w:val="19"/>
                <w:highlight w:val="yellow"/>
              </w:rPr>
            </w:pPr>
          </w:p>
        </w:tc>
        <w:tc>
          <w:tcPr>
            <w:tcW w:w="643" w:type="pct"/>
          </w:tcPr>
          <w:p w14:paraId="4DFD2EAC" w14:textId="77777777" w:rsidR="001D06D5" w:rsidRPr="00591DF4" w:rsidRDefault="001D06D5" w:rsidP="00C365DC">
            <w:pPr>
              <w:spacing w:line="240" w:lineRule="auto"/>
              <w:contextualSpacing/>
              <w:rPr>
                <w:sz w:val="19"/>
                <w:szCs w:val="19"/>
                <w:highlight w:val="yellow"/>
              </w:rPr>
            </w:pPr>
          </w:p>
        </w:tc>
        <w:tc>
          <w:tcPr>
            <w:tcW w:w="693" w:type="pct"/>
          </w:tcPr>
          <w:p w14:paraId="04F45ECB" w14:textId="77777777" w:rsidR="001D06D5" w:rsidRPr="00591DF4" w:rsidRDefault="001D06D5" w:rsidP="00C365DC">
            <w:pPr>
              <w:spacing w:line="240" w:lineRule="auto"/>
              <w:contextualSpacing/>
              <w:rPr>
                <w:sz w:val="19"/>
                <w:szCs w:val="19"/>
                <w:highlight w:val="yellow"/>
              </w:rPr>
            </w:pPr>
          </w:p>
        </w:tc>
        <w:tc>
          <w:tcPr>
            <w:tcW w:w="545" w:type="pct"/>
          </w:tcPr>
          <w:p w14:paraId="2DE55136" w14:textId="77777777" w:rsidR="001D06D5" w:rsidRPr="00591DF4" w:rsidRDefault="001D06D5" w:rsidP="00C365DC">
            <w:pPr>
              <w:spacing w:line="240" w:lineRule="auto"/>
              <w:contextualSpacing/>
              <w:rPr>
                <w:sz w:val="19"/>
                <w:szCs w:val="19"/>
                <w:highlight w:val="yellow"/>
              </w:rPr>
            </w:pPr>
          </w:p>
        </w:tc>
        <w:tc>
          <w:tcPr>
            <w:tcW w:w="495" w:type="pct"/>
          </w:tcPr>
          <w:p w14:paraId="516958B0" w14:textId="77777777" w:rsidR="001D06D5" w:rsidRPr="00591DF4" w:rsidRDefault="001D06D5" w:rsidP="00C365DC">
            <w:pPr>
              <w:spacing w:line="240" w:lineRule="auto"/>
              <w:contextualSpacing/>
              <w:rPr>
                <w:sz w:val="19"/>
                <w:szCs w:val="19"/>
                <w:highlight w:val="yellow"/>
              </w:rPr>
            </w:pPr>
          </w:p>
        </w:tc>
      </w:tr>
      <w:tr w:rsidR="00202B00" w:rsidRPr="00591DF4" w14:paraId="3A2AF4EC" w14:textId="77777777" w:rsidTr="00202B00">
        <w:trPr>
          <w:cantSplit/>
          <w:trHeight w:val="794"/>
        </w:trPr>
        <w:tc>
          <w:tcPr>
            <w:tcW w:w="395" w:type="pct"/>
          </w:tcPr>
          <w:p w14:paraId="23693E28" w14:textId="77777777" w:rsidR="001D06D5" w:rsidRPr="00591DF4" w:rsidRDefault="001D06D5" w:rsidP="00C365DC">
            <w:pPr>
              <w:spacing w:line="240" w:lineRule="auto"/>
              <w:contextualSpacing/>
              <w:rPr>
                <w:sz w:val="19"/>
                <w:szCs w:val="19"/>
                <w:highlight w:val="yellow"/>
              </w:rPr>
            </w:pPr>
            <w:r w:rsidRPr="00591DF4">
              <w:rPr>
                <w:sz w:val="19"/>
                <w:szCs w:val="19"/>
              </w:rPr>
              <w:lastRenderedPageBreak/>
              <w:t>17-Nov</w:t>
            </w:r>
          </w:p>
        </w:tc>
        <w:tc>
          <w:tcPr>
            <w:tcW w:w="693" w:type="pct"/>
          </w:tcPr>
          <w:p w14:paraId="17825C46" w14:textId="77777777" w:rsidR="001D06D5" w:rsidRPr="00591DF4" w:rsidRDefault="001D06D5" w:rsidP="00C365DC">
            <w:pPr>
              <w:spacing w:line="240" w:lineRule="auto"/>
              <w:contextualSpacing/>
              <w:jc w:val="center"/>
              <w:rPr>
                <w:sz w:val="19"/>
                <w:szCs w:val="19"/>
              </w:rPr>
            </w:pPr>
            <w:r w:rsidRPr="00591DF4">
              <w:rPr>
                <w:sz w:val="19"/>
                <w:szCs w:val="19"/>
              </w:rPr>
              <w:t>72.31%</w:t>
            </w:r>
          </w:p>
          <w:p w14:paraId="7F1AB7CD" w14:textId="77777777" w:rsidR="001D06D5" w:rsidRPr="00591DF4" w:rsidRDefault="001D06D5" w:rsidP="00C365DC">
            <w:pPr>
              <w:spacing w:line="240" w:lineRule="auto"/>
              <w:contextualSpacing/>
              <w:rPr>
                <w:sz w:val="19"/>
                <w:szCs w:val="19"/>
                <w:highlight w:val="yellow"/>
              </w:rPr>
            </w:pPr>
            <w:r w:rsidRPr="00591DF4">
              <w:rPr>
                <w:b/>
                <w:i/>
                <w:sz w:val="19"/>
                <w:szCs w:val="19"/>
              </w:rPr>
              <w:t>Bosmina meridionalis</w:t>
            </w:r>
            <w:r w:rsidRPr="00591DF4">
              <w:rPr>
                <w:b/>
                <w:sz w:val="19"/>
                <w:szCs w:val="19"/>
              </w:rPr>
              <w:t xml:space="preserve">, </w:t>
            </w:r>
            <w:r w:rsidRPr="00591DF4">
              <w:rPr>
                <w:b/>
                <w:i/>
                <w:sz w:val="19"/>
                <w:szCs w:val="19"/>
              </w:rPr>
              <w:t>Keratella javana</w:t>
            </w:r>
            <w:r w:rsidRPr="00591DF4">
              <w:rPr>
                <w:b/>
                <w:sz w:val="19"/>
                <w:szCs w:val="19"/>
              </w:rPr>
              <w:t xml:space="preserve">, </w:t>
            </w:r>
            <w:r w:rsidRPr="00591DF4">
              <w:rPr>
                <w:b/>
                <w:i/>
                <w:sz w:val="19"/>
                <w:szCs w:val="19"/>
              </w:rPr>
              <w:t>Synchaeta</w:t>
            </w:r>
            <w:r w:rsidRPr="00591DF4">
              <w:rPr>
                <w:b/>
                <w:sz w:val="19"/>
                <w:szCs w:val="19"/>
              </w:rPr>
              <w:t xml:space="preserve"> sp. b [sm., cf. oblonga], </w:t>
            </w:r>
            <w:r w:rsidRPr="00591DF4">
              <w:rPr>
                <w:b/>
                <w:i/>
                <w:sz w:val="19"/>
                <w:szCs w:val="19"/>
              </w:rPr>
              <w:t>Keratella cochlearis</w:t>
            </w:r>
            <w:r w:rsidRPr="00591DF4">
              <w:rPr>
                <w:b/>
                <w:sz w:val="19"/>
                <w:szCs w:val="19"/>
              </w:rPr>
              <w:t xml:space="preserve">, </w:t>
            </w:r>
            <w:r w:rsidRPr="00591DF4">
              <w:rPr>
                <w:b/>
                <w:i/>
                <w:sz w:val="19"/>
                <w:szCs w:val="19"/>
              </w:rPr>
              <w:t>Keratella australis</w:t>
            </w:r>
            <w:r w:rsidRPr="00591DF4">
              <w:rPr>
                <w:b/>
                <w:sz w:val="19"/>
                <w:szCs w:val="19"/>
              </w:rPr>
              <w:t xml:space="preserve">, </w:t>
            </w:r>
            <w:r w:rsidRPr="00591DF4">
              <w:rPr>
                <w:b/>
                <w:i/>
                <w:sz w:val="19"/>
                <w:szCs w:val="19"/>
              </w:rPr>
              <w:t>Trichocerca similis</w:t>
            </w:r>
            <w:r w:rsidRPr="00591DF4">
              <w:rPr>
                <w:b/>
                <w:sz w:val="19"/>
                <w:szCs w:val="19"/>
              </w:rPr>
              <w:t xml:space="preserve">, </w:t>
            </w:r>
            <w:r w:rsidRPr="00591DF4">
              <w:rPr>
                <w:b/>
                <w:i/>
                <w:sz w:val="19"/>
                <w:szCs w:val="19"/>
              </w:rPr>
              <w:t>Synchaeta</w:t>
            </w:r>
            <w:r w:rsidRPr="00591DF4">
              <w:rPr>
                <w:b/>
                <w:sz w:val="19"/>
                <w:szCs w:val="19"/>
              </w:rPr>
              <w:t xml:space="preserve"> sp. c [tiny]</w:t>
            </w:r>
            <w:r w:rsidRPr="00591DF4">
              <w:rPr>
                <w:sz w:val="19"/>
                <w:szCs w:val="19"/>
              </w:rPr>
              <w:t xml:space="preserve"> and </w:t>
            </w:r>
            <w:r w:rsidRPr="00591DF4">
              <w:rPr>
                <w:b/>
                <w:i/>
                <w:sz w:val="19"/>
                <w:szCs w:val="19"/>
              </w:rPr>
              <w:t>Filinia pejleri</w:t>
            </w:r>
            <w:r w:rsidRPr="00591DF4">
              <w:rPr>
                <w:sz w:val="19"/>
                <w:szCs w:val="19"/>
              </w:rPr>
              <w:t>.</w:t>
            </w:r>
          </w:p>
        </w:tc>
        <w:tc>
          <w:tcPr>
            <w:tcW w:w="792" w:type="pct"/>
          </w:tcPr>
          <w:p w14:paraId="3F0A3387" w14:textId="77777777" w:rsidR="001D06D5" w:rsidRPr="00591DF4" w:rsidRDefault="001D06D5" w:rsidP="00C365DC">
            <w:pPr>
              <w:spacing w:line="240" w:lineRule="auto"/>
              <w:contextualSpacing/>
              <w:jc w:val="center"/>
              <w:rPr>
                <w:rFonts w:cstheme="minorHAnsi"/>
                <w:iCs/>
                <w:sz w:val="19"/>
                <w:szCs w:val="19"/>
              </w:rPr>
            </w:pPr>
            <w:r w:rsidRPr="00591DF4">
              <w:rPr>
                <w:rFonts w:cstheme="minorHAnsi"/>
                <w:iCs/>
                <w:sz w:val="19"/>
                <w:szCs w:val="19"/>
              </w:rPr>
              <w:t>73.17%</w:t>
            </w:r>
          </w:p>
          <w:p w14:paraId="056785DB" w14:textId="77777777" w:rsidR="001D06D5" w:rsidRPr="00591DF4" w:rsidRDefault="001D06D5" w:rsidP="00C365DC">
            <w:pPr>
              <w:spacing w:line="240" w:lineRule="auto"/>
              <w:contextualSpacing/>
              <w:rPr>
                <w:sz w:val="19"/>
                <w:szCs w:val="19"/>
                <w:highlight w:val="yellow"/>
              </w:rPr>
            </w:pPr>
            <w:r w:rsidRPr="00591DF4">
              <w:rPr>
                <w:rFonts w:cstheme="minorHAnsi"/>
                <w:b/>
                <w:iCs/>
                <w:sz w:val="19"/>
                <w:szCs w:val="19"/>
              </w:rPr>
              <w:t xml:space="preserve">indet. glob. ciliate [sm], </w:t>
            </w:r>
            <w:r w:rsidRPr="00591DF4">
              <w:rPr>
                <w:rFonts w:cstheme="minorHAnsi"/>
                <w:b/>
                <w:i/>
                <w:iCs/>
                <w:sz w:val="19"/>
                <w:szCs w:val="19"/>
              </w:rPr>
              <w:t>Conochilus</w:t>
            </w:r>
            <w:r w:rsidRPr="00591DF4">
              <w:rPr>
                <w:rFonts w:cstheme="minorHAnsi"/>
                <w:b/>
                <w:iCs/>
                <w:sz w:val="19"/>
                <w:szCs w:val="19"/>
              </w:rPr>
              <w:t xml:space="preserve"> sp. a [sm], </w:t>
            </w:r>
            <w:r w:rsidRPr="00591DF4">
              <w:rPr>
                <w:rFonts w:cstheme="minorHAnsi"/>
                <w:b/>
                <w:i/>
                <w:iCs/>
                <w:sz w:val="19"/>
                <w:szCs w:val="19"/>
              </w:rPr>
              <w:t>Conochilus</w:t>
            </w:r>
            <w:r w:rsidRPr="00591DF4">
              <w:rPr>
                <w:rFonts w:cstheme="minorHAnsi"/>
                <w:b/>
                <w:iCs/>
                <w:sz w:val="19"/>
                <w:szCs w:val="19"/>
              </w:rPr>
              <w:t xml:space="preserve"> sp. b [lg], </w:t>
            </w:r>
            <w:r w:rsidRPr="00591DF4">
              <w:rPr>
                <w:rFonts w:cstheme="minorHAnsi"/>
                <w:b/>
                <w:i/>
                <w:iCs/>
                <w:sz w:val="19"/>
                <w:szCs w:val="19"/>
              </w:rPr>
              <w:t>Codonaria</w:t>
            </w:r>
            <w:r w:rsidRPr="00591DF4">
              <w:rPr>
                <w:rFonts w:cstheme="minorHAnsi"/>
                <w:b/>
                <w:iCs/>
                <w:sz w:val="19"/>
                <w:szCs w:val="19"/>
              </w:rPr>
              <w:t xml:space="preserve"> sp., </w:t>
            </w:r>
            <w:r w:rsidRPr="00591DF4">
              <w:rPr>
                <w:rFonts w:cstheme="minorHAnsi"/>
                <w:b/>
                <w:i/>
                <w:iCs/>
                <w:sz w:val="19"/>
                <w:szCs w:val="19"/>
              </w:rPr>
              <w:t>Trichocerca pusilla</w:t>
            </w:r>
            <w:r w:rsidRPr="00591DF4">
              <w:rPr>
                <w:rFonts w:cstheme="minorHAnsi"/>
                <w:b/>
                <w:iCs/>
                <w:sz w:val="19"/>
                <w:szCs w:val="19"/>
              </w:rPr>
              <w:t xml:space="preserve">, </w:t>
            </w:r>
            <w:r w:rsidRPr="00591DF4">
              <w:rPr>
                <w:rFonts w:cstheme="minorHAnsi"/>
                <w:b/>
                <w:i/>
                <w:iCs/>
                <w:sz w:val="19"/>
                <w:szCs w:val="19"/>
              </w:rPr>
              <w:t>Polyarthra</w:t>
            </w:r>
            <w:r w:rsidRPr="00591DF4">
              <w:rPr>
                <w:rFonts w:cstheme="minorHAnsi"/>
                <w:b/>
                <w:iCs/>
                <w:sz w:val="19"/>
                <w:szCs w:val="19"/>
              </w:rPr>
              <w:t xml:space="preserve"> sp. b [lg] </w:t>
            </w:r>
            <w:r w:rsidRPr="00591DF4">
              <w:rPr>
                <w:rFonts w:cstheme="minorHAnsi"/>
                <w:iCs/>
                <w:sz w:val="19"/>
                <w:szCs w:val="19"/>
              </w:rPr>
              <w:t xml:space="preserve">and </w:t>
            </w:r>
            <w:r w:rsidRPr="00591DF4">
              <w:rPr>
                <w:rFonts w:cstheme="minorHAnsi"/>
                <w:b/>
                <w:i/>
                <w:iCs/>
                <w:sz w:val="19"/>
                <w:szCs w:val="19"/>
              </w:rPr>
              <w:t>Trichocerca similis</w:t>
            </w:r>
            <w:r w:rsidRPr="00591DF4">
              <w:rPr>
                <w:rFonts w:cstheme="minorHAnsi"/>
                <w:iCs/>
                <w:sz w:val="19"/>
                <w:szCs w:val="19"/>
              </w:rPr>
              <w:t>.</w:t>
            </w:r>
          </w:p>
        </w:tc>
        <w:tc>
          <w:tcPr>
            <w:tcW w:w="743" w:type="pct"/>
          </w:tcPr>
          <w:p w14:paraId="6F86E4CB" w14:textId="77777777" w:rsidR="001D06D5" w:rsidRPr="00591DF4" w:rsidRDefault="001D06D5" w:rsidP="00C365DC">
            <w:pPr>
              <w:spacing w:line="240" w:lineRule="auto"/>
              <w:contextualSpacing/>
              <w:jc w:val="center"/>
              <w:rPr>
                <w:rFonts w:cstheme="minorHAnsi"/>
                <w:iCs/>
                <w:sz w:val="19"/>
                <w:szCs w:val="19"/>
              </w:rPr>
            </w:pPr>
            <w:r w:rsidRPr="00591DF4">
              <w:rPr>
                <w:rFonts w:cstheme="minorHAnsi"/>
                <w:iCs/>
                <w:sz w:val="19"/>
                <w:szCs w:val="19"/>
              </w:rPr>
              <w:t>70.81%</w:t>
            </w:r>
          </w:p>
          <w:p w14:paraId="25042F77" w14:textId="77777777" w:rsidR="001D06D5" w:rsidRPr="00591DF4" w:rsidRDefault="001D06D5" w:rsidP="00C365DC">
            <w:pPr>
              <w:spacing w:line="240" w:lineRule="auto"/>
              <w:contextualSpacing/>
              <w:rPr>
                <w:sz w:val="19"/>
                <w:szCs w:val="19"/>
                <w:highlight w:val="yellow"/>
              </w:rPr>
            </w:pPr>
            <w:r w:rsidRPr="00591DF4">
              <w:rPr>
                <w:rFonts w:cstheme="minorHAnsi"/>
                <w:b/>
                <w:iCs/>
                <w:sz w:val="19"/>
                <w:szCs w:val="19"/>
              </w:rPr>
              <w:t xml:space="preserve">indet. glob. ciliate [sm], </w:t>
            </w:r>
            <w:r w:rsidRPr="00591DF4">
              <w:rPr>
                <w:rFonts w:cstheme="minorHAnsi"/>
                <w:b/>
                <w:i/>
                <w:iCs/>
                <w:sz w:val="19"/>
                <w:szCs w:val="19"/>
              </w:rPr>
              <w:t>Brachionus</w:t>
            </w:r>
            <w:r w:rsidRPr="00591DF4">
              <w:rPr>
                <w:rFonts w:cstheme="minorHAnsi"/>
                <w:b/>
                <w:iCs/>
                <w:sz w:val="19"/>
                <w:szCs w:val="19"/>
              </w:rPr>
              <w:t xml:space="preserve"> [</w:t>
            </w:r>
            <w:r w:rsidRPr="00591DF4">
              <w:rPr>
                <w:rFonts w:cstheme="minorHAnsi"/>
                <w:b/>
                <w:i/>
                <w:iCs/>
                <w:sz w:val="19"/>
                <w:szCs w:val="19"/>
              </w:rPr>
              <w:t>angularis</w:t>
            </w:r>
            <w:r w:rsidRPr="00591DF4">
              <w:rPr>
                <w:rFonts w:cstheme="minorHAnsi"/>
                <w:b/>
                <w:iCs/>
                <w:sz w:val="19"/>
                <w:szCs w:val="19"/>
              </w:rPr>
              <w:t xml:space="preserve">] </w:t>
            </w:r>
            <w:r w:rsidRPr="00591DF4">
              <w:rPr>
                <w:rFonts w:cstheme="minorHAnsi"/>
                <w:b/>
                <w:i/>
                <w:iCs/>
                <w:sz w:val="19"/>
                <w:szCs w:val="19"/>
              </w:rPr>
              <w:t>bidens</w:t>
            </w:r>
            <w:r w:rsidRPr="00591DF4">
              <w:rPr>
                <w:rFonts w:cstheme="minorHAnsi"/>
                <w:b/>
                <w:iCs/>
                <w:sz w:val="19"/>
                <w:szCs w:val="19"/>
              </w:rPr>
              <w:t xml:space="preserve">, </w:t>
            </w:r>
            <w:r w:rsidRPr="00591DF4">
              <w:rPr>
                <w:rFonts w:cstheme="minorHAnsi"/>
                <w:b/>
                <w:i/>
                <w:iCs/>
                <w:sz w:val="19"/>
                <w:szCs w:val="19"/>
              </w:rPr>
              <w:t>Conochilus</w:t>
            </w:r>
            <w:r w:rsidRPr="00591DF4">
              <w:rPr>
                <w:rFonts w:cstheme="minorHAnsi"/>
                <w:b/>
                <w:iCs/>
                <w:sz w:val="19"/>
                <w:szCs w:val="19"/>
              </w:rPr>
              <w:t xml:space="preserve"> sp. a [sm], </w:t>
            </w:r>
            <w:r w:rsidRPr="00591DF4">
              <w:rPr>
                <w:rFonts w:cstheme="minorHAnsi"/>
                <w:b/>
                <w:i/>
                <w:iCs/>
                <w:sz w:val="19"/>
                <w:szCs w:val="19"/>
              </w:rPr>
              <w:t>Keratella tropica</w:t>
            </w:r>
            <w:r w:rsidRPr="00591DF4">
              <w:rPr>
                <w:rFonts w:cstheme="minorHAnsi"/>
                <w:b/>
                <w:iCs/>
                <w:sz w:val="19"/>
                <w:szCs w:val="19"/>
              </w:rPr>
              <w:t xml:space="preserve">, </w:t>
            </w:r>
            <w:r w:rsidRPr="00591DF4">
              <w:rPr>
                <w:rFonts w:cstheme="minorHAnsi"/>
                <w:b/>
                <w:i/>
                <w:iCs/>
                <w:sz w:val="19"/>
                <w:szCs w:val="19"/>
              </w:rPr>
              <w:t>Polyarthra</w:t>
            </w:r>
            <w:r w:rsidRPr="00591DF4">
              <w:rPr>
                <w:rFonts w:cstheme="minorHAnsi"/>
                <w:b/>
                <w:iCs/>
                <w:sz w:val="19"/>
                <w:szCs w:val="19"/>
              </w:rPr>
              <w:t xml:space="preserve"> sp. b [lg], </w:t>
            </w:r>
            <w:r w:rsidRPr="00591DF4">
              <w:rPr>
                <w:rFonts w:cstheme="minorHAnsi"/>
                <w:b/>
                <w:i/>
                <w:iCs/>
                <w:sz w:val="19"/>
                <w:szCs w:val="19"/>
              </w:rPr>
              <w:t>Polyarthra</w:t>
            </w:r>
            <w:r w:rsidRPr="00591DF4">
              <w:rPr>
                <w:rFonts w:cstheme="minorHAnsi"/>
                <w:b/>
                <w:iCs/>
                <w:sz w:val="19"/>
                <w:szCs w:val="19"/>
              </w:rPr>
              <w:t xml:space="preserve"> sp. a [sm], </w:t>
            </w:r>
            <w:r w:rsidRPr="00591DF4">
              <w:rPr>
                <w:rFonts w:cstheme="minorHAnsi"/>
                <w:b/>
                <w:i/>
                <w:iCs/>
                <w:sz w:val="19"/>
                <w:szCs w:val="19"/>
              </w:rPr>
              <w:t>Keratella australis</w:t>
            </w:r>
            <w:r w:rsidRPr="00591DF4">
              <w:rPr>
                <w:rFonts w:cstheme="minorHAnsi"/>
                <w:i/>
                <w:iCs/>
                <w:sz w:val="19"/>
                <w:szCs w:val="19"/>
              </w:rPr>
              <w:t xml:space="preserve"> </w:t>
            </w:r>
            <w:r w:rsidRPr="00591DF4">
              <w:rPr>
                <w:rFonts w:cstheme="minorHAnsi"/>
                <w:iCs/>
                <w:sz w:val="19"/>
                <w:szCs w:val="19"/>
              </w:rPr>
              <w:t xml:space="preserve">and </w:t>
            </w:r>
            <w:r w:rsidRPr="00591DF4">
              <w:rPr>
                <w:rFonts w:cstheme="minorHAnsi"/>
                <w:b/>
                <w:i/>
                <w:iCs/>
                <w:sz w:val="19"/>
                <w:szCs w:val="19"/>
              </w:rPr>
              <w:t>Brachionus angularis</w:t>
            </w:r>
            <w:r w:rsidRPr="00591DF4">
              <w:rPr>
                <w:rFonts w:cstheme="minorHAnsi"/>
                <w:iCs/>
                <w:sz w:val="19"/>
                <w:szCs w:val="19"/>
              </w:rPr>
              <w:t>.</w:t>
            </w:r>
          </w:p>
        </w:tc>
        <w:tc>
          <w:tcPr>
            <w:tcW w:w="643" w:type="pct"/>
            <w:shd w:val="clear" w:color="auto" w:fill="000000" w:themeFill="text1"/>
          </w:tcPr>
          <w:p w14:paraId="2C9DBB7A" w14:textId="77777777" w:rsidR="001D06D5" w:rsidRPr="00591DF4" w:rsidRDefault="001D06D5" w:rsidP="00C365DC">
            <w:pPr>
              <w:spacing w:line="240" w:lineRule="auto"/>
              <w:contextualSpacing/>
              <w:rPr>
                <w:sz w:val="19"/>
                <w:szCs w:val="19"/>
                <w:highlight w:val="yellow"/>
              </w:rPr>
            </w:pPr>
          </w:p>
        </w:tc>
        <w:tc>
          <w:tcPr>
            <w:tcW w:w="693" w:type="pct"/>
          </w:tcPr>
          <w:p w14:paraId="3A2E0998" w14:textId="77777777" w:rsidR="001D06D5" w:rsidRPr="00591DF4" w:rsidRDefault="001D06D5" w:rsidP="00C365DC">
            <w:pPr>
              <w:spacing w:line="240" w:lineRule="auto"/>
              <w:contextualSpacing/>
              <w:rPr>
                <w:sz w:val="19"/>
                <w:szCs w:val="19"/>
                <w:highlight w:val="yellow"/>
              </w:rPr>
            </w:pPr>
          </w:p>
        </w:tc>
        <w:tc>
          <w:tcPr>
            <w:tcW w:w="545" w:type="pct"/>
          </w:tcPr>
          <w:p w14:paraId="1332D0A2" w14:textId="77777777" w:rsidR="001D06D5" w:rsidRPr="00591DF4" w:rsidRDefault="001D06D5" w:rsidP="00C365DC">
            <w:pPr>
              <w:spacing w:line="240" w:lineRule="auto"/>
              <w:contextualSpacing/>
              <w:rPr>
                <w:sz w:val="19"/>
                <w:szCs w:val="19"/>
                <w:highlight w:val="yellow"/>
              </w:rPr>
            </w:pPr>
          </w:p>
        </w:tc>
        <w:tc>
          <w:tcPr>
            <w:tcW w:w="495" w:type="pct"/>
          </w:tcPr>
          <w:p w14:paraId="1F7A841C" w14:textId="77777777" w:rsidR="001D06D5" w:rsidRPr="00591DF4" w:rsidRDefault="001D06D5" w:rsidP="00C365DC">
            <w:pPr>
              <w:spacing w:line="240" w:lineRule="auto"/>
              <w:contextualSpacing/>
              <w:rPr>
                <w:sz w:val="19"/>
                <w:szCs w:val="19"/>
                <w:highlight w:val="yellow"/>
              </w:rPr>
            </w:pPr>
          </w:p>
        </w:tc>
      </w:tr>
      <w:tr w:rsidR="00202B00" w:rsidRPr="00591DF4" w14:paraId="315F3A5C" w14:textId="77777777" w:rsidTr="00202B00">
        <w:trPr>
          <w:cantSplit/>
          <w:trHeight w:val="794"/>
        </w:trPr>
        <w:tc>
          <w:tcPr>
            <w:tcW w:w="395" w:type="pct"/>
          </w:tcPr>
          <w:p w14:paraId="1D02D7E8" w14:textId="77777777" w:rsidR="001D06D5" w:rsidRPr="00591DF4" w:rsidRDefault="001D06D5" w:rsidP="00C365DC">
            <w:pPr>
              <w:spacing w:line="240" w:lineRule="auto"/>
              <w:contextualSpacing/>
              <w:rPr>
                <w:sz w:val="19"/>
                <w:szCs w:val="19"/>
                <w:highlight w:val="yellow"/>
              </w:rPr>
            </w:pPr>
            <w:r w:rsidRPr="00591DF4">
              <w:rPr>
                <w:sz w:val="19"/>
                <w:szCs w:val="19"/>
              </w:rPr>
              <w:t>30-Nov</w:t>
            </w:r>
          </w:p>
        </w:tc>
        <w:tc>
          <w:tcPr>
            <w:tcW w:w="693" w:type="pct"/>
          </w:tcPr>
          <w:p w14:paraId="11218E6A" w14:textId="77777777" w:rsidR="001D06D5" w:rsidRPr="00591DF4" w:rsidRDefault="001D06D5" w:rsidP="00C365DC">
            <w:pPr>
              <w:spacing w:line="240" w:lineRule="auto"/>
              <w:contextualSpacing/>
              <w:jc w:val="center"/>
              <w:rPr>
                <w:sz w:val="19"/>
                <w:szCs w:val="19"/>
              </w:rPr>
            </w:pPr>
            <w:r w:rsidRPr="00591DF4">
              <w:rPr>
                <w:sz w:val="19"/>
                <w:szCs w:val="19"/>
              </w:rPr>
              <w:t>60.71%</w:t>
            </w:r>
          </w:p>
          <w:p w14:paraId="4F6135A6" w14:textId="77777777" w:rsidR="001D06D5" w:rsidRPr="00591DF4" w:rsidRDefault="001D06D5" w:rsidP="00C365DC">
            <w:pPr>
              <w:spacing w:line="240" w:lineRule="auto"/>
              <w:contextualSpacing/>
              <w:rPr>
                <w:sz w:val="19"/>
                <w:szCs w:val="19"/>
                <w:highlight w:val="yellow"/>
              </w:rPr>
            </w:pPr>
            <w:r w:rsidRPr="00591DF4">
              <w:rPr>
                <w:b/>
                <w:i/>
                <w:sz w:val="19"/>
                <w:szCs w:val="19"/>
              </w:rPr>
              <w:t>Codonaria</w:t>
            </w:r>
            <w:r w:rsidRPr="00591DF4">
              <w:rPr>
                <w:b/>
                <w:sz w:val="19"/>
                <w:szCs w:val="19"/>
              </w:rPr>
              <w:t xml:space="preserve"> sp., </w:t>
            </w:r>
            <w:r w:rsidRPr="00591DF4">
              <w:rPr>
                <w:b/>
                <w:i/>
                <w:sz w:val="19"/>
                <w:szCs w:val="19"/>
              </w:rPr>
              <w:t>Synchaeta</w:t>
            </w:r>
            <w:r w:rsidRPr="00591DF4">
              <w:rPr>
                <w:b/>
                <w:sz w:val="19"/>
                <w:szCs w:val="19"/>
              </w:rPr>
              <w:t xml:space="preserve"> sp. b [sm., cf. oblonga], </w:t>
            </w:r>
            <w:r w:rsidRPr="00591DF4">
              <w:rPr>
                <w:b/>
                <w:i/>
                <w:sz w:val="19"/>
                <w:szCs w:val="19"/>
              </w:rPr>
              <w:t>Keratella javana</w:t>
            </w:r>
            <w:r w:rsidRPr="00591DF4">
              <w:rPr>
                <w:b/>
                <w:sz w:val="19"/>
                <w:szCs w:val="19"/>
              </w:rPr>
              <w:t xml:space="preserve">, </w:t>
            </w:r>
            <w:r w:rsidRPr="00591DF4">
              <w:rPr>
                <w:b/>
                <w:i/>
                <w:sz w:val="19"/>
                <w:szCs w:val="19"/>
              </w:rPr>
              <w:t>Synchaeta</w:t>
            </w:r>
            <w:r w:rsidRPr="00591DF4">
              <w:rPr>
                <w:b/>
                <w:sz w:val="19"/>
                <w:szCs w:val="19"/>
              </w:rPr>
              <w:t xml:space="preserve"> sp. c [tiny],</w:t>
            </w:r>
            <w:r w:rsidRPr="00591DF4">
              <w:rPr>
                <w:sz w:val="19"/>
                <w:szCs w:val="19"/>
              </w:rPr>
              <w:t xml:space="preserve"> </w:t>
            </w:r>
            <w:r w:rsidRPr="00591DF4">
              <w:rPr>
                <w:i/>
                <w:sz w:val="19"/>
                <w:szCs w:val="19"/>
              </w:rPr>
              <w:t>Keratella tropica</w:t>
            </w:r>
            <w:r w:rsidRPr="00591DF4">
              <w:rPr>
                <w:sz w:val="19"/>
                <w:szCs w:val="19"/>
              </w:rPr>
              <w:t xml:space="preserve">, </w:t>
            </w:r>
            <w:r w:rsidRPr="00591DF4">
              <w:rPr>
                <w:i/>
                <w:sz w:val="19"/>
                <w:szCs w:val="19"/>
              </w:rPr>
              <w:t>Polyarthra</w:t>
            </w:r>
            <w:r w:rsidRPr="00591DF4">
              <w:rPr>
                <w:sz w:val="19"/>
                <w:szCs w:val="19"/>
              </w:rPr>
              <w:t xml:space="preserve"> sp. b [lg], </w:t>
            </w:r>
            <w:r w:rsidRPr="00591DF4">
              <w:rPr>
                <w:b/>
                <w:i/>
                <w:sz w:val="19"/>
                <w:szCs w:val="19"/>
              </w:rPr>
              <w:t>Trichocerca similis</w:t>
            </w:r>
            <w:r w:rsidRPr="00591DF4">
              <w:rPr>
                <w:i/>
                <w:sz w:val="19"/>
                <w:szCs w:val="19"/>
              </w:rPr>
              <w:t xml:space="preserve"> </w:t>
            </w:r>
            <w:r w:rsidRPr="00591DF4">
              <w:rPr>
                <w:sz w:val="19"/>
                <w:szCs w:val="19"/>
              </w:rPr>
              <w:t xml:space="preserve">and </w:t>
            </w:r>
            <w:r w:rsidRPr="00591DF4">
              <w:rPr>
                <w:i/>
                <w:sz w:val="19"/>
                <w:szCs w:val="19"/>
              </w:rPr>
              <w:t>Polyarthra</w:t>
            </w:r>
            <w:r w:rsidRPr="00591DF4">
              <w:rPr>
                <w:sz w:val="19"/>
                <w:szCs w:val="19"/>
              </w:rPr>
              <w:t xml:space="preserve"> sp. a [sm].</w:t>
            </w:r>
          </w:p>
        </w:tc>
        <w:tc>
          <w:tcPr>
            <w:tcW w:w="792" w:type="pct"/>
          </w:tcPr>
          <w:p w14:paraId="5F540389" w14:textId="77777777" w:rsidR="001D06D5" w:rsidRPr="00591DF4" w:rsidRDefault="001D06D5" w:rsidP="00C365DC">
            <w:pPr>
              <w:spacing w:line="240" w:lineRule="auto"/>
              <w:contextualSpacing/>
              <w:jc w:val="center"/>
              <w:rPr>
                <w:rFonts w:cstheme="minorHAnsi"/>
                <w:iCs/>
                <w:sz w:val="19"/>
                <w:szCs w:val="19"/>
              </w:rPr>
            </w:pPr>
            <w:r w:rsidRPr="00591DF4">
              <w:rPr>
                <w:rFonts w:cstheme="minorHAnsi"/>
                <w:iCs/>
                <w:sz w:val="19"/>
                <w:szCs w:val="19"/>
              </w:rPr>
              <w:t>59.94%</w:t>
            </w:r>
          </w:p>
          <w:p w14:paraId="35187DA1" w14:textId="77777777" w:rsidR="001D06D5" w:rsidRPr="00591DF4" w:rsidRDefault="001D06D5" w:rsidP="00C365DC">
            <w:pPr>
              <w:spacing w:line="240" w:lineRule="auto"/>
              <w:contextualSpacing/>
              <w:rPr>
                <w:sz w:val="19"/>
                <w:szCs w:val="19"/>
                <w:highlight w:val="yellow"/>
              </w:rPr>
            </w:pPr>
            <w:r w:rsidRPr="00591DF4">
              <w:rPr>
                <w:rFonts w:cstheme="minorHAnsi"/>
                <w:b/>
                <w:iCs/>
                <w:sz w:val="19"/>
                <w:szCs w:val="19"/>
              </w:rPr>
              <w:t xml:space="preserve">Indet. glob. ciliate [sm], </w:t>
            </w:r>
            <w:r w:rsidRPr="00591DF4">
              <w:rPr>
                <w:rFonts w:cstheme="minorHAnsi"/>
                <w:b/>
                <w:i/>
                <w:iCs/>
                <w:sz w:val="19"/>
                <w:szCs w:val="19"/>
              </w:rPr>
              <w:t>Codonaria</w:t>
            </w:r>
            <w:r w:rsidRPr="00591DF4">
              <w:rPr>
                <w:rFonts w:cstheme="minorHAnsi"/>
                <w:b/>
                <w:iCs/>
                <w:sz w:val="19"/>
                <w:szCs w:val="19"/>
              </w:rPr>
              <w:t xml:space="preserve"> sp., </w:t>
            </w:r>
            <w:r w:rsidRPr="00591DF4">
              <w:rPr>
                <w:rFonts w:cstheme="minorHAnsi"/>
                <w:b/>
                <w:i/>
                <w:iCs/>
                <w:sz w:val="19"/>
                <w:szCs w:val="19"/>
              </w:rPr>
              <w:t>Conochilus</w:t>
            </w:r>
            <w:r w:rsidRPr="00591DF4">
              <w:rPr>
                <w:rFonts w:cstheme="minorHAnsi"/>
                <w:b/>
                <w:iCs/>
                <w:sz w:val="19"/>
                <w:szCs w:val="19"/>
              </w:rPr>
              <w:t xml:space="preserve"> sp. b [lg], </w:t>
            </w:r>
            <w:r w:rsidRPr="00591DF4">
              <w:rPr>
                <w:rFonts w:cstheme="minorHAnsi"/>
                <w:b/>
                <w:i/>
                <w:iCs/>
                <w:sz w:val="19"/>
                <w:szCs w:val="19"/>
              </w:rPr>
              <w:t>Trichocerca</w:t>
            </w:r>
            <w:r w:rsidRPr="00591DF4">
              <w:rPr>
                <w:rFonts w:cstheme="minorHAnsi"/>
                <w:b/>
                <w:iCs/>
                <w:sz w:val="19"/>
                <w:szCs w:val="19"/>
              </w:rPr>
              <w:t xml:space="preserve"> sp. c [long toe, med], </w:t>
            </w:r>
            <w:r w:rsidRPr="00591DF4">
              <w:rPr>
                <w:rFonts w:cstheme="minorHAnsi"/>
                <w:b/>
                <w:i/>
                <w:iCs/>
                <w:sz w:val="19"/>
                <w:szCs w:val="19"/>
              </w:rPr>
              <w:t>Trichocerca pusilla</w:t>
            </w:r>
            <w:r w:rsidRPr="00591DF4">
              <w:rPr>
                <w:rFonts w:cstheme="minorHAnsi"/>
                <w:b/>
                <w:iCs/>
                <w:sz w:val="19"/>
                <w:szCs w:val="19"/>
              </w:rPr>
              <w:t xml:space="preserve">, </w:t>
            </w:r>
            <w:r w:rsidRPr="00591DF4">
              <w:rPr>
                <w:rFonts w:cstheme="minorHAnsi"/>
                <w:b/>
                <w:i/>
                <w:iCs/>
                <w:sz w:val="19"/>
                <w:szCs w:val="19"/>
              </w:rPr>
              <w:t xml:space="preserve">Trichocerca similis </w:t>
            </w:r>
            <w:r w:rsidRPr="00591DF4">
              <w:rPr>
                <w:rFonts w:cstheme="minorHAnsi"/>
                <w:iCs/>
                <w:sz w:val="19"/>
                <w:szCs w:val="19"/>
              </w:rPr>
              <w:t xml:space="preserve">and </w:t>
            </w:r>
            <w:r w:rsidRPr="00591DF4">
              <w:rPr>
                <w:rFonts w:cstheme="minorHAnsi"/>
                <w:b/>
                <w:i/>
                <w:iCs/>
                <w:sz w:val="19"/>
                <w:szCs w:val="19"/>
              </w:rPr>
              <w:t>Synchaeta</w:t>
            </w:r>
            <w:r w:rsidRPr="00591DF4">
              <w:rPr>
                <w:rFonts w:cstheme="minorHAnsi"/>
                <w:b/>
                <w:iCs/>
                <w:sz w:val="19"/>
                <w:szCs w:val="19"/>
              </w:rPr>
              <w:t xml:space="preserve"> sp. b [sm., cf. oblonga]</w:t>
            </w:r>
            <w:r w:rsidRPr="00591DF4">
              <w:rPr>
                <w:rFonts w:cstheme="minorHAnsi"/>
                <w:iCs/>
                <w:sz w:val="19"/>
                <w:szCs w:val="19"/>
              </w:rPr>
              <w:t>.</w:t>
            </w:r>
          </w:p>
        </w:tc>
        <w:tc>
          <w:tcPr>
            <w:tcW w:w="743" w:type="pct"/>
          </w:tcPr>
          <w:p w14:paraId="079861AF" w14:textId="77777777" w:rsidR="001D06D5" w:rsidRPr="00591DF4" w:rsidRDefault="001D06D5" w:rsidP="00C365DC">
            <w:pPr>
              <w:spacing w:line="240" w:lineRule="auto"/>
              <w:contextualSpacing/>
              <w:jc w:val="center"/>
              <w:rPr>
                <w:rFonts w:cstheme="minorHAnsi"/>
                <w:iCs/>
                <w:sz w:val="19"/>
                <w:szCs w:val="19"/>
              </w:rPr>
            </w:pPr>
            <w:r w:rsidRPr="00591DF4">
              <w:rPr>
                <w:rFonts w:cstheme="minorHAnsi"/>
                <w:iCs/>
                <w:sz w:val="19"/>
                <w:szCs w:val="19"/>
              </w:rPr>
              <w:t>56.24%</w:t>
            </w:r>
          </w:p>
          <w:p w14:paraId="7BE82208" w14:textId="77777777" w:rsidR="001D06D5" w:rsidRPr="00591DF4" w:rsidRDefault="001D06D5" w:rsidP="00C365DC">
            <w:pPr>
              <w:spacing w:line="240" w:lineRule="auto"/>
              <w:contextualSpacing/>
              <w:rPr>
                <w:sz w:val="19"/>
                <w:szCs w:val="19"/>
                <w:highlight w:val="yellow"/>
              </w:rPr>
            </w:pPr>
            <w:r w:rsidRPr="00591DF4">
              <w:rPr>
                <w:rFonts w:cstheme="minorHAnsi"/>
                <w:b/>
                <w:i/>
                <w:iCs/>
                <w:sz w:val="19"/>
                <w:szCs w:val="19"/>
              </w:rPr>
              <w:t>Brachionus</w:t>
            </w:r>
            <w:r w:rsidRPr="00591DF4">
              <w:rPr>
                <w:rFonts w:cstheme="minorHAnsi"/>
                <w:b/>
                <w:iCs/>
                <w:sz w:val="19"/>
                <w:szCs w:val="19"/>
              </w:rPr>
              <w:t xml:space="preserve"> [</w:t>
            </w:r>
            <w:r w:rsidRPr="00591DF4">
              <w:rPr>
                <w:rFonts w:cstheme="minorHAnsi"/>
                <w:b/>
                <w:i/>
                <w:iCs/>
                <w:sz w:val="19"/>
                <w:szCs w:val="19"/>
              </w:rPr>
              <w:t>angularis</w:t>
            </w:r>
            <w:r w:rsidRPr="00591DF4">
              <w:rPr>
                <w:rFonts w:cstheme="minorHAnsi"/>
                <w:b/>
                <w:iCs/>
                <w:sz w:val="19"/>
                <w:szCs w:val="19"/>
              </w:rPr>
              <w:t xml:space="preserve">] </w:t>
            </w:r>
            <w:r w:rsidRPr="00591DF4">
              <w:rPr>
                <w:rFonts w:cstheme="minorHAnsi"/>
                <w:b/>
                <w:i/>
                <w:iCs/>
                <w:sz w:val="19"/>
                <w:szCs w:val="19"/>
              </w:rPr>
              <w:t>bidens</w:t>
            </w:r>
            <w:r w:rsidRPr="00591DF4">
              <w:rPr>
                <w:rFonts w:cstheme="minorHAnsi"/>
                <w:b/>
                <w:iCs/>
                <w:sz w:val="19"/>
                <w:szCs w:val="19"/>
              </w:rPr>
              <w:t xml:space="preserve">, indet. glob. ciliate [sm], </w:t>
            </w:r>
            <w:r w:rsidRPr="00591DF4">
              <w:rPr>
                <w:rFonts w:cstheme="minorHAnsi"/>
                <w:b/>
                <w:i/>
                <w:iCs/>
                <w:sz w:val="19"/>
                <w:szCs w:val="19"/>
              </w:rPr>
              <w:t>Codonaria</w:t>
            </w:r>
            <w:r w:rsidRPr="00591DF4">
              <w:rPr>
                <w:rFonts w:cstheme="minorHAnsi"/>
                <w:b/>
                <w:iCs/>
                <w:sz w:val="19"/>
                <w:szCs w:val="19"/>
              </w:rPr>
              <w:t xml:space="preserve"> sp., </w:t>
            </w:r>
            <w:r w:rsidRPr="00591DF4">
              <w:rPr>
                <w:rFonts w:cstheme="minorHAnsi"/>
                <w:b/>
                <w:i/>
                <w:iCs/>
                <w:sz w:val="19"/>
                <w:szCs w:val="19"/>
              </w:rPr>
              <w:t>Trichocerca</w:t>
            </w:r>
            <w:r w:rsidRPr="00591DF4">
              <w:rPr>
                <w:rFonts w:cstheme="minorHAnsi"/>
                <w:b/>
                <w:iCs/>
                <w:sz w:val="19"/>
                <w:szCs w:val="19"/>
              </w:rPr>
              <w:t xml:space="preserve"> sp. c [long toe, med], </w:t>
            </w:r>
            <w:r w:rsidRPr="00591DF4">
              <w:rPr>
                <w:rFonts w:cstheme="minorHAnsi"/>
                <w:b/>
                <w:i/>
                <w:iCs/>
                <w:sz w:val="19"/>
                <w:szCs w:val="19"/>
              </w:rPr>
              <w:t>Conochilus</w:t>
            </w:r>
            <w:r w:rsidRPr="00591DF4">
              <w:rPr>
                <w:rFonts w:cstheme="minorHAnsi"/>
                <w:b/>
                <w:iCs/>
                <w:sz w:val="19"/>
                <w:szCs w:val="19"/>
              </w:rPr>
              <w:t xml:space="preserve"> sp. b [lg], </w:t>
            </w:r>
            <w:r w:rsidRPr="00591DF4">
              <w:rPr>
                <w:rFonts w:cstheme="minorHAnsi"/>
                <w:b/>
                <w:i/>
                <w:iCs/>
                <w:sz w:val="19"/>
                <w:szCs w:val="19"/>
              </w:rPr>
              <w:t>Brachionus angularis</w:t>
            </w:r>
            <w:r w:rsidRPr="00591DF4">
              <w:rPr>
                <w:rFonts w:cstheme="minorHAnsi"/>
                <w:b/>
                <w:iCs/>
                <w:sz w:val="19"/>
                <w:szCs w:val="19"/>
              </w:rPr>
              <w:t xml:space="preserve">, </w:t>
            </w:r>
            <w:r w:rsidRPr="00591DF4">
              <w:rPr>
                <w:rFonts w:cstheme="minorHAnsi"/>
                <w:b/>
                <w:i/>
                <w:iCs/>
                <w:sz w:val="19"/>
                <w:szCs w:val="19"/>
              </w:rPr>
              <w:t>Trichocerca similis</w:t>
            </w:r>
            <w:r w:rsidRPr="00591DF4">
              <w:rPr>
                <w:rFonts w:cstheme="minorHAnsi"/>
                <w:iCs/>
                <w:sz w:val="19"/>
                <w:szCs w:val="19"/>
              </w:rPr>
              <w:t xml:space="preserve"> and </w:t>
            </w:r>
            <w:r w:rsidRPr="00591DF4">
              <w:rPr>
                <w:rFonts w:cstheme="minorHAnsi"/>
                <w:b/>
                <w:i/>
                <w:iCs/>
                <w:sz w:val="19"/>
                <w:szCs w:val="19"/>
              </w:rPr>
              <w:t>Filinia pejleri</w:t>
            </w:r>
            <w:r w:rsidRPr="00591DF4">
              <w:rPr>
                <w:rFonts w:cstheme="minorHAnsi"/>
                <w:iCs/>
                <w:sz w:val="19"/>
                <w:szCs w:val="19"/>
              </w:rPr>
              <w:t>.</w:t>
            </w:r>
          </w:p>
        </w:tc>
        <w:tc>
          <w:tcPr>
            <w:tcW w:w="643" w:type="pct"/>
          </w:tcPr>
          <w:p w14:paraId="136E743C" w14:textId="77777777" w:rsidR="001D06D5" w:rsidRPr="00591DF4" w:rsidRDefault="001D06D5" w:rsidP="00C365DC">
            <w:pPr>
              <w:spacing w:line="240" w:lineRule="auto"/>
              <w:contextualSpacing/>
              <w:jc w:val="center"/>
              <w:rPr>
                <w:rFonts w:cstheme="minorHAnsi"/>
                <w:iCs/>
                <w:sz w:val="19"/>
                <w:szCs w:val="19"/>
              </w:rPr>
            </w:pPr>
            <w:r w:rsidRPr="00591DF4">
              <w:rPr>
                <w:rFonts w:cstheme="minorHAnsi"/>
                <w:iCs/>
                <w:sz w:val="19"/>
                <w:szCs w:val="19"/>
              </w:rPr>
              <w:t>68.63%</w:t>
            </w:r>
          </w:p>
          <w:p w14:paraId="0F6DE7DC" w14:textId="77777777" w:rsidR="001D06D5" w:rsidRPr="00591DF4" w:rsidRDefault="001D06D5" w:rsidP="00C365DC">
            <w:pPr>
              <w:spacing w:line="240" w:lineRule="auto"/>
              <w:contextualSpacing/>
              <w:rPr>
                <w:sz w:val="19"/>
                <w:szCs w:val="19"/>
                <w:highlight w:val="yellow"/>
              </w:rPr>
            </w:pPr>
            <w:r w:rsidRPr="00591DF4">
              <w:rPr>
                <w:rFonts w:cstheme="minorHAnsi"/>
                <w:i/>
                <w:iCs/>
                <w:sz w:val="19"/>
                <w:szCs w:val="19"/>
              </w:rPr>
              <w:t xml:space="preserve">Polyarthra </w:t>
            </w:r>
            <w:r w:rsidRPr="00591DF4">
              <w:rPr>
                <w:rFonts w:cstheme="minorHAnsi"/>
                <w:iCs/>
                <w:sz w:val="19"/>
                <w:szCs w:val="19"/>
              </w:rPr>
              <w:t xml:space="preserve">sp. b [lg], </w:t>
            </w:r>
            <w:r w:rsidRPr="00591DF4">
              <w:rPr>
                <w:rFonts w:cstheme="minorHAnsi"/>
                <w:i/>
                <w:iCs/>
                <w:sz w:val="19"/>
                <w:szCs w:val="19"/>
              </w:rPr>
              <w:t>Polyarthra</w:t>
            </w:r>
            <w:r w:rsidRPr="00591DF4">
              <w:rPr>
                <w:rFonts w:cstheme="minorHAnsi"/>
                <w:iCs/>
                <w:sz w:val="19"/>
                <w:szCs w:val="19"/>
              </w:rPr>
              <w:t xml:space="preserve"> sp. a [sm], </w:t>
            </w:r>
            <w:r w:rsidRPr="00591DF4">
              <w:rPr>
                <w:rFonts w:cstheme="minorHAnsi"/>
                <w:i/>
                <w:iCs/>
                <w:sz w:val="19"/>
                <w:szCs w:val="19"/>
              </w:rPr>
              <w:t>Keratella tropica</w:t>
            </w:r>
            <w:r w:rsidRPr="00591DF4">
              <w:rPr>
                <w:rFonts w:cstheme="minorHAnsi"/>
                <w:iCs/>
                <w:sz w:val="19"/>
                <w:szCs w:val="19"/>
              </w:rPr>
              <w:t xml:space="preserve">, </w:t>
            </w:r>
            <w:r w:rsidRPr="00591DF4">
              <w:rPr>
                <w:rFonts w:cstheme="minorHAnsi"/>
                <w:b/>
                <w:i/>
                <w:iCs/>
                <w:sz w:val="19"/>
                <w:szCs w:val="19"/>
              </w:rPr>
              <w:t>Trichocerca</w:t>
            </w:r>
            <w:r w:rsidRPr="00591DF4">
              <w:rPr>
                <w:rFonts w:cstheme="minorHAnsi"/>
                <w:b/>
                <w:iCs/>
                <w:sz w:val="19"/>
                <w:szCs w:val="19"/>
              </w:rPr>
              <w:t xml:space="preserve"> sp. c [long toe, med]</w:t>
            </w:r>
            <w:r w:rsidRPr="00591DF4">
              <w:rPr>
                <w:rFonts w:cstheme="minorHAnsi"/>
                <w:iCs/>
                <w:sz w:val="19"/>
                <w:szCs w:val="19"/>
              </w:rPr>
              <w:t xml:space="preserve"> and calanoid nauplii.</w:t>
            </w:r>
          </w:p>
        </w:tc>
        <w:tc>
          <w:tcPr>
            <w:tcW w:w="693" w:type="pct"/>
            <w:shd w:val="clear" w:color="auto" w:fill="000000" w:themeFill="text1"/>
          </w:tcPr>
          <w:p w14:paraId="06649008" w14:textId="77777777" w:rsidR="001D06D5" w:rsidRPr="00591DF4" w:rsidRDefault="001D06D5" w:rsidP="00C365DC">
            <w:pPr>
              <w:spacing w:line="240" w:lineRule="auto"/>
              <w:contextualSpacing/>
              <w:rPr>
                <w:sz w:val="19"/>
                <w:szCs w:val="19"/>
                <w:highlight w:val="yellow"/>
              </w:rPr>
            </w:pPr>
          </w:p>
        </w:tc>
        <w:tc>
          <w:tcPr>
            <w:tcW w:w="545" w:type="pct"/>
          </w:tcPr>
          <w:p w14:paraId="5AF643B8" w14:textId="77777777" w:rsidR="001D06D5" w:rsidRPr="00591DF4" w:rsidRDefault="001D06D5" w:rsidP="00C365DC">
            <w:pPr>
              <w:spacing w:line="240" w:lineRule="auto"/>
              <w:contextualSpacing/>
              <w:rPr>
                <w:sz w:val="19"/>
                <w:szCs w:val="19"/>
                <w:highlight w:val="yellow"/>
              </w:rPr>
            </w:pPr>
          </w:p>
        </w:tc>
        <w:tc>
          <w:tcPr>
            <w:tcW w:w="495" w:type="pct"/>
          </w:tcPr>
          <w:p w14:paraId="3490C841" w14:textId="77777777" w:rsidR="001D06D5" w:rsidRPr="00591DF4" w:rsidRDefault="001D06D5" w:rsidP="00C365DC">
            <w:pPr>
              <w:spacing w:line="240" w:lineRule="auto"/>
              <w:contextualSpacing/>
              <w:rPr>
                <w:sz w:val="19"/>
                <w:szCs w:val="19"/>
                <w:highlight w:val="yellow"/>
              </w:rPr>
            </w:pPr>
          </w:p>
        </w:tc>
      </w:tr>
      <w:tr w:rsidR="00202B00" w:rsidRPr="00591DF4" w14:paraId="3575CD33" w14:textId="77777777" w:rsidTr="00202B00">
        <w:trPr>
          <w:cantSplit/>
          <w:trHeight w:val="794"/>
        </w:trPr>
        <w:tc>
          <w:tcPr>
            <w:tcW w:w="395" w:type="pct"/>
          </w:tcPr>
          <w:p w14:paraId="2D4E9F9C" w14:textId="77777777" w:rsidR="001D06D5" w:rsidRPr="00591DF4" w:rsidRDefault="001D06D5" w:rsidP="00C365DC">
            <w:pPr>
              <w:spacing w:line="240" w:lineRule="auto"/>
              <w:contextualSpacing/>
              <w:rPr>
                <w:sz w:val="19"/>
                <w:szCs w:val="19"/>
                <w:highlight w:val="yellow"/>
              </w:rPr>
            </w:pPr>
            <w:r w:rsidRPr="00591DF4">
              <w:rPr>
                <w:sz w:val="19"/>
                <w:szCs w:val="19"/>
              </w:rPr>
              <w:lastRenderedPageBreak/>
              <w:t>15-Dec</w:t>
            </w:r>
          </w:p>
        </w:tc>
        <w:tc>
          <w:tcPr>
            <w:tcW w:w="693" w:type="pct"/>
          </w:tcPr>
          <w:p w14:paraId="3C4DE263" w14:textId="77777777" w:rsidR="001D06D5" w:rsidRPr="00591DF4" w:rsidRDefault="001D06D5" w:rsidP="00C365DC">
            <w:pPr>
              <w:spacing w:line="240" w:lineRule="auto"/>
              <w:contextualSpacing/>
              <w:jc w:val="center"/>
              <w:rPr>
                <w:sz w:val="19"/>
                <w:szCs w:val="19"/>
              </w:rPr>
            </w:pPr>
            <w:r w:rsidRPr="00591DF4">
              <w:rPr>
                <w:sz w:val="19"/>
                <w:szCs w:val="19"/>
              </w:rPr>
              <w:t>67.42%</w:t>
            </w:r>
          </w:p>
          <w:p w14:paraId="12F2CB15" w14:textId="77777777" w:rsidR="001D06D5" w:rsidRPr="00591DF4" w:rsidRDefault="001D06D5" w:rsidP="00C365DC">
            <w:pPr>
              <w:spacing w:line="240" w:lineRule="auto"/>
              <w:contextualSpacing/>
              <w:rPr>
                <w:sz w:val="19"/>
                <w:szCs w:val="19"/>
              </w:rPr>
            </w:pPr>
            <w:r w:rsidRPr="00591DF4">
              <w:rPr>
                <w:rFonts w:cs="Calibri"/>
                <w:b/>
                <w:i/>
                <w:color w:val="auto"/>
                <w:sz w:val="19"/>
                <w:szCs w:val="19"/>
              </w:rPr>
              <w:t>Bosmina meridionalis</w:t>
            </w:r>
            <w:r w:rsidRPr="00591DF4">
              <w:rPr>
                <w:rFonts w:cs="Calibri"/>
                <w:b/>
                <w:color w:val="auto"/>
                <w:sz w:val="19"/>
                <w:szCs w:val="19"/>
              </w:rPr>
              <w:t xml:space="preserve">, </w:t>
            </w:r>
            <w:r w:rsidRPr="00591DF4">
              <w:rPr>
                <w:rFonts w:cs="Calibri"/>
                <w:b/>
                <w:i/>
                <w:color w:val="auto"/>
                <w:sz w:val="19"/>
                <w:szCs w:val="19"/>
              </w:rPr>
              <w:t>Synchaeta</w:t>
            </w:r>
            <w:r w:rsidRPr="00591DF4">
              <w:rPr>
                <w:rFonts w:cs="Calibri"/>
                <w:b/>
                <w:color w:val="auto"/>
                <w:sz w:val="19"/>
                <w:szCs w:val="19"/>
              </w:rPr>
              <w:t xml:space="preserve"> sp. c [tiny], </w:t>
            </w:r>
            <w:r w:rsidRPr="00591DF4">
              <w:rPr>
                <w:rFonts w:cs="Calibri"/>
                <w:b/>
                <w:i/>
                <w:color w:val="auto"/>
                <w:sz w:val="19"/>
                <w:szCs w:val="19"/>
              </w:rPr>
              <w:t>Conochilus</w:t>
            </w:r>
            <w:r w:rsidRPr="00591DF4">
              <w:rPr>
                <w:rFonts w:cs="Calibri"/>
                <w:b/>
                <w:color w:val="auto"/>
                <w:sz w:val="19"/>
                <w:szCs w:val="19"/>
              </w:rPr>
              <w:t xml:space="preserve"> sp. b [lg], </w:t>
            </w:r>
            <w:r w:rsidRPr="00591DF4">
              <w:rPr>
                <w:rFonts w:cs="Calibri"/>
                <w:b/>
                <w:i/>
                <w:color w:val="auto"/>
                <w:sz w:val="19"/>
                <w:szCs w:val="19"/>
              </w:rPr>
              <w:t>Synchaeta</w:t>
            </w:r>
            <w:r w:rsidRPr="00591DF4">
              <w:rPr>
                <w:rFonts w:cs="Calibri"/>
                <w:b/>
                <w:color w:val="auto"/>
                <w:sz w:val="19"/>
                <w:szCs w:val="19"/>
              </w:rPr>
              <w:t xml:space="preserve"> sp. b [sm., cf. oblonga], </w:t>
            </w:r>
            <w:r w:rsidRPr="00591DF4">
              <w:rPr>
                <w:rFonts w:cs="Calibri"/>
                <w:b/>
                <w:i/>
                <w:color w:val="auto"/>
                <w:sz w:val="19"/>
                <w:szCs w:val="19"/>
              </w:rPr>
              <w:t>Trichocerca</w:t>
            </w:r>
            <w:r w:rsidRPr="00591DF4">
              <w:rPr>
                <w:rFonts w:cs="Calibri"/>
                <w:b/>
                <w:color w:val="auto"/>
                <w:sz w:val="19"/>
                <w:szCs w:val="19"/>
              </w:rPr>
              <w:t xml:space="preserve"> sp. c [long toe, med], </w:t>
            </w:r>
            <w:r w:rsidRPr="00591DF4">
              <w:rPr>
                <w:rFonts w:cs="Calibri"/>
                <w:b/>
                <w:i/>
                <w:color w:val="auto"/>
                <w:sz w:val="19"/>
                <w:szCs w:val="19"/>
              </w:rPr>
              <w:t>Trichocerca pusilla</w:t>
            </w:r>
            <w:r w:rsidRPr="00591DF4">
              <w:rPr>
                <w:rFonts w:cs="Calibri"/>
                <w:b/>
                <w:color w:val="auto"/>
                <w:sz w:val="19"/>
                <w:szCs w:val="19"/>
              </w:rPr>
              <w:t xml:space="preserve">, </w:t>
            </w:r>
            <w:r w:rsidRPr="00591DF4">
              <w:rPr>
                <w:rFonts w:cs="Calibri"/>
                <w:b/>
                <w:i/>
                <w:color w:val="auto"/>
                <w:sz w:val="19"/>
                <w:szCs w:val="19"/>
              </w:rPr>
              <w:t>Trichocerca similis</w:t>
            </w:r>
            <w:r w:rsidRPr="00591DF4">
              <w:rPr>
                <w:rFonts w:cs="Calibri"/>
                <w:b/>
                <w:color w:val="auto"/>
                <w:sz w:val="19"/>
                <w:szCs w:val="19"/>
              </w:rPr>
              <w:t xml:space="preserve">, </w:t>
            </w:r>
            <w:r w:rsidRPr="00591DF4">
              <w:rPr>
                <w:rFonts w:cs="Calibri"/>
                <w:i/>
                <w:color w:val="auto"/>
                <w:sz w:val="19"/>
                <w:szCs w:val="19"/>
              </w:rPr>
              <w:t>Keratella tropica</w:t>
            </w:r>
            <w:r w:rsidRPr="00591DF4">
              <w:rPr>
                <w:rFonts w:cs="Calibri"/>
                <w:color w:val="auto"/>
                <w:sz w:val="19"/>
                <w:szCs w:val="19"/>
              </w:rPr>
              <w:t xml:space="preserve"> and</w:t>
            </w:r>
            <w:r w:rsidRPr="00591DF4">
              <w:rPr>
                <w:rFonts w:cs="Calibri"/>
                <w:b/>
                <w:color w:val="auto"/>
                <w:sz w:val="19"/>
                <w:szCs w:val="19"/>
              </w:rPr>
              <w:t xml:space="preserve"> </w:t>
            </w:r>
            <w:r w:rsidRPr="00591DF4">
              <w:rPr>
                <w:rFonts w:cs="Calibri"/>
                <w:b/>
                <w:i/>
                <w:color w:val="auto"/>
                <w:sz w:val="19"/>
                <w:szCs w:val="19"/>
              </w:rPr>
              <w:t>Filinia pejleri</w:t>
            </w:r>
            <w:r w:rsidRPr="00591DF4">
              <w:rPr>
                <w:rFonts w:cs="Calibri"/>
                <w:b/>
                <w:color w:val="auto"/>
                <w:sz w:val="19"/>
                <w:szCs w:val="19"/>
              </w:rPr>
              <w:t>.</w:t>
            </w:r>
            <w:r w:rsidRPr="00591DF4" w:rsidDel="00B56DDE">
              <w:rPr>
                <w:rFonts w:cs="Calibri"/>
                <w:i/>
                <w:sz w:val="19"/>
                <w:szCs w:val="19"/>
              </w:rPr>
              <w:t xml:space="preserve"> </w:t>
            </w:r>
          </w:p>
        </w:tc>
        <w:tc>
          <w:tcPr>
            <w:tcW w:w="792" w:type="pct"/>
          </w:tcPr>
          <w:p w14:paraId="07659350" w14:textId="77777777" w:rsidR="001D06D5" w:rsidRPr="00591DF4" w:rsidRDefault="001D06D5" w:rsidP="00C365DC">
            <w:pPr>
              <w:spacing w:line="240" w:lineRule="auto"/>
              <w:contextualSpacing/>
              <w:jc w:val="center"/>
              <w:rPr>
                <w:rFonts w:cstheme="minorHAnsi"/>
                <w:iCs/>
                <w:sz w:val="19"/>
                <w:szCs w:val="19"/>
              </w:rPr>
            </w:pPr>
            <w:r w:rsidRPr="00591DF4">
              <w:rPr>
                <w:rFonts w:cstheme="minorHAnsi"/>
                <w:iCs/>
                <w:sz w:val="19"/>
                <w:szCs w:val="19"/>
              </w:rPr>
              <w:t>68.71%</w:t>
            </w:r>
          </w:p>
          <w:p w14:paraId="5ED11DC1" w14:textId="77777777" w:rsidR="001D06D5" w:rsidRPr="00591DF4" w:rsidRDefault="001D06D5" w:rsidP="00C365DC">
            <w:pPr>
              <w:spacing w:line="240" w:lineRule="auto"/>
              <w:contextualSpacing/>
              <w:rPr>
                <w:sz w:val="19"/>
                <w:szCs w:val="19"/>
              </w:rPr>
            </w:pPr>
            <w:r w:rsidRPr="00591DF4">
              <w:rPr>
                <w:rFonts w:cstheme="minorHAnsi"/>
                <w:b/>
                <w:iCs/>
                <w:sz w:val="19"/>
                <w:szCs w:val="19"/>
              </w:rPr>
              <w:t xml:space="preserve">indet. glob. ciliate [sm], </w:t>
            </w:r>
            <w:r w:rsidRPr="00591DF4">
              <w:rPr>
                <w:rFonts w:cstheme="minorHAnsi"/>
                <w:b/>
                <w:i/>
                <w:iCs/>
                <w:sz w:val="19"/>
                <w:szCs w:val="19"/>
              </w:rPr>
              <w:t>Conochilus</w:t>
            </w:r>
            <w:r w:rsidRPr="00591DF4">
              <w:rPr>
                <w:rFonts w:cstheme="minorHAnsi"/>
                <w:b/>
                <w:iCs/>
                <w:sz w:val="19"/>
                <w:szCs w:val="19"/>
              </w:rPr>
              <w:t xml:space="preserve"> sp. b [lg], </w:t>
            </w:r>
            <w:r w:rsidRPr="00591DF4">
              <w:rPr>
                <w:rFonts w:cstheme="minorHAnsi"/>
                <w:b/>
                <w:i/>
                <w:iCs/>
                <w:sz w:val="19"/>
                <w:szCs w:val="19"/>
              </w:rPr>
              <w:t>Codonaria</w:t>
            </w:r>
            <w:r w:rsidRPr="00591DF4">
              <w:rPr>
                <w:rFonts w:cstheme="minorHAnsi"/>
                <w:b/>
                <w:iCs/>
                <w:sz w:val="19"/>
                <w:szCs w:val="19"/>
              </w:rPr>
              <w:t xml:space="preserve"> sp., </w:t>
            </w:r>
            <w:r w:rsidRPr="00591DF4">
              <w:rPr>
                <w:rFonts w:cstheme="minorHAnsi"/>
                <w:b/>
                <w:i/>
                <w:iCs/>
                <w:sz w:val="19"/>
                <w:szCs w:val="19"/>
              </w:rPr>
              <w:t>Trichocerca pusilla</w:t>
            </w:r>
            <w:r w:rsidRPr="00591DF4">
              <w:rPr>
                <w:rFonts w:cstheme="minorHAnsi"/>
                <w:b/>
                <w:iCs/>
                <w:sz w:val="19"/>
                <w:szCs w:val="19"/>
              </w:rPr>
              <w:t xml:space="preserve">, </w:t>
            </w:r>
            <w:r w:rsidRPr="00591DF4">
              <w:rPr>
                <w:rFonts w:cstheme="minorHAnsi"/>
                <w:b/>
                <w:i/>
                <w:iCs/>
                <w:sz w:val="19"/>
                <w:szCs w:val="19"/>
              </w:rPr>
              <w:t>Trichocerca</w:t>
            </w:r>
            <w:r w:rsidRPr="00591DF4">
              <w:rPr>
                <w:rFonts w:cstheme="minorHAnsi"/>
                <w:b/>
                <w:iCs/>
                <w:sz w:val="19"/>
                <w:szCs w:val="19"/>
              </w:rPr>
              <w:t xml:space="preserve"> sp. c [long toe, med], </w:t>
            </w:r>
            <w:r w:rsidRPr="00591DF4">
              <w:rPr>
                <w:rFonts w:cstheme="minorHAnsi"/>
                <w:b/>
                <w:i/>
                <w:iCs/>
                <w:sz w:val="19"/>
                <w:szCs w:val="19"/>
              </w:rPr>
              <w:t>Conochilus</w:t>
            </w:r>
            <w:r w:rsidRPr="00591DF4">
              <w:rPr>
                <w:rFonts w:cstheme="minorHAnsi"/>
                <w:b/>
                <w:iCs/>
                <w:sz w:val="19"/>
                <w:szCs w:val="19"/>
              </w:rPr>
              <w:t xml:space="preserve"> sp. a [sm] </w:t>
            </w:r>
            <w:r w:rsidRPr="00591DF4">
              <w:rPr>
                <w:rFonts w:cstheme="minorHAnsi"/>
                <w:iCs/>
                <w:sz w:val="19"/>
                <w:szCs w:val="19"/>
              </w:rPr>
              <w:t xml:space="preserve">and </w:t>
            </w:r>
            <w:r w:rsidRPr="00591DF4">
              <w:rPr>
                <w:rFonts w:cstheme="minorHAnsi"/>
                <w:b/>
                <w:i/>
                <w:iCs/>
                <w:sz w:val="19"/>
                <w:szCs w:val="19"/>
              </w:rPr>
              <w:t>Trichocerca similis</w:t>
            </w:r>
            <w:r w:rsidRPr="00591DF4">
              <w:rPr>
                <w:rFonts w:cstheme="minorHAnsi"/>
                <w:iCs/>
                <w:sz w:val="19"/>
                <w:szCs w:val="19"/>
              </w:rPr>
              <w:t xml:space="preserve">. </w:t>
            </w:r>
          </w:p>
        </w:tc>
        <w:tc>
          <w:tcPr>
            <w:tcW w:w="743" w:type="pct"/>
          </w:tcPr>
          <w:p w14:paraId="176F7013" w14:textId="77777777" w:rsidR="001D06D5" w:rsidRPr="00591DF4" w:rsidRDefault="001D06D5" w:rsidP="00C365DC">
            <w:pPr>
              <w:spacing w:line="240" w:lineRule="auto"/>
              <w:contextualSpacing/>
              <w:jc w:val="center"/>
              <w:rPr>
                <w:rFonts w:cstheme="minorHAnsi"/>
                <w:iCs/>
                <w:sz w:val="19"/>
                <w:szCs w:val="19"/>
              </w:rPr>
            </w:pPr>
            <w:r w:rsidRPr="00591DF4">
              <w:rPr>
                <w:rFonts w:cstheme="minorHAnsi"/>
                <w:iCs/>
                <w:sz w:val="19"/>
                <w:szCs w:val="19"/>
              </w:rPr>
              <w:t>65.47%</w:t>
            </w:r>
          </w:p>
          <w:p w14:paraId="292B3F27" w14:textId="77777777" w:rsidR="001D06D5" w:rsidRPr="00591DF4" w:rsidRDefault="001D06D5" w:rsidP="00C365DC">
            <w:pPr>
              <w:spacing w:line="240" w:lineRule="auto"/>
              <w:contextualSpacing/>
              <w:rPr>
                <w:b/>
                <w:sz w:val="19"/>
                <w:szCs w:val="19"/>
                <w:highlight w:val="yellow"/>
              </w:rPr>
            </w:pPr>
            <w:r w:rsidRPr="00591DF4">
              <w:rPr>
                <w:rFonts w:cstheme="minorHAnsi"/>
                <w:b/>
                <w:iCs/>
                <w:sz w:val="19"/>
                <w:szCs w:val="19"/>
              </w:rPr>
              <w:t xml:space="preserve">indet. glob. ciliate [sm], </w:t>
            </w:r>
            <w:r w:rsidRPr="00591DF4">
              <w:rPr>
                <w:rFonts w:cstheme="minorHAnsi"/>
                <w:b/>
                <w:i/>
                <w:iCs/>
                <w:sz w:val="19"/>
                <w:szCs w:val="19"/>
              </w:rPr>
              <w:t>Brachionus</w:t>
            </w:r>
            <w:r w:rsidRPr="00591DF4">
              <w:rPr>
                <w:rFonts w:cstheme="minorHAnsi"/>
                <w:b/>
                <w:iCs/>
                <w:sz w:val="19"/>
                <w:szCs w:val="19"/>
              </w:rPr>
              <w:t xml:space="preserve"> [</w:t>
            </w:r>
            <w:r w:rsidRPr="00591DF4">
              <w:rPr>
                <w:rFonts w:cstheme="minorHAnsi"/>
                <w:b/>
                <w:i/>
                <w:iCs/>
                <w:sz w:val="19"/>
                <w:szCs w:val="19"/>
              </w:rPr>
              <w:t>angularis</w:t>
            </w:r>
            <w:r w:rsidRPr="00591DF4">
              <w:rPr>
                <w:rFonts w:cstheme="minorHAnsi"/>
                <w:b/>
                <w:iCs/>
                <w:sz w:val="19"/>
                <w:szCs w:val="19"/>
              </w:rPr>
              <w:t xml:space="preserve">] </w:t>
            </w:r>
            <w:r w:rsidRPr="00591DF4">
              <w:rPr>
                <w:rFonts w:cstheme="minorHAnsi"/>
                <w:b/>
                <w:i/>
                <w:iCs/>
                <w:sz w:val="19"/>
                <w:szCs w:val="19"/>
              </w:rPr>
              <w:t>bidens</w:t>
            </w:r>
            <w:r w:rsidRPr="00591DF4">
              <w:rPr>
                <w:rFonts w:cstheme="minorHAnsi"/>
                <w:b/>
                <w:iCs/>
                <w:sz w:val="19"/>
                <w:szCs w:val="19"/>
              </w:rPr>
              <w:t xml:space="preserve">, </w:t>
            </w:r>
            <w:r w:rsidRPr="00591DF4">
              <w:rPr>
                <w:rFonts w:cstheme="minorHAnsi"/>
                <w:b/>
                <w:i/>
                <w:iCs/>
                <w:sz w:val="19"/>
                <w:szCs w:val="19"/>
              </w:rPr>
              <w:t>Trichocerca</w:t>
            </w:r>
            <w:r w:rsidRPr="00591DF4">
              <w:rPr>
                <w:rFonts w:cstheme="minorHAnsi"/>
                <w:b/>
                <w:iCs/>
                <w:sz w:val="19"/>
                <w:szCs w:val="19"/>
              </w:rPr>
              <w:t xml:space="preserve"> sp. c [long toe, med], </w:t>
            </w:r>
            <w:r w:rsidRPr="00591DF4">
              <w:rPr>
                <w:rFonts w:cstheme="minorHAnsi"/>
                <w:b/>
                <w:i/>
                <w:iCs/>
                <w:sz w:val="19"/>
                <w:szCs w:val="19"/>
              </w:rPr>
              <w:t>Conochilus</w:t>
            </w:r>
            <w:r w:rsidRPr="00591DF4">
              <w:rPr>
                <w:rFonts w:cstheme="minorHAnsi"/>
                <w:b/>
                <w:iCs/>
                <w:sz w:val="19"/>
                <w:szCs w:val="19"/>
              </w:rPr>
              <w:t xml:space="preserve"> sp. b [lg], </w:t>
            </w:r>
            <w:r w:rsidRPr="00591DF4">
              <w:rPr>
                <w:rFonts w:cstheme="minorHAnsi"/>
                <w:b/>
                <w:i/>
                <w:iCs/>
                <w:sz w:val="19"/>
                <w:szCs w:val="19"/>
              </w:rPr>
              <w:t>Trichocerca pusilla</w:t>
            </w:r>
            <w:r w:rsidRPr="00591DF4">
              <w:rPr>
                <w:rFonts w:cstheme="minorHAnsi"/>
                <w:b/>
                <w:iCs/>
                <w:sz w:val="19"/>
                <w:szCs w:val="19"/>
              </w:rPr>
              <w:t xml:space="preserve">, </w:t>
            </w:r>
            <w:r w:rsidRPr="00591DF4">
              <w:rPr>
                <w:rFonts w:cstheme="minorHAnsi"/>
                <w:b/>
                <w:i/>
                <w:iCs/>
                <w:sz w:val="19"/>
                <w:szCs w:val="19"/>
              </w:rPr>
              <w:t>Conochilus</w:t>
            </w:r>
            <w:r w:rsidRPr="00591DF4">
              <w:rPr>
                <w:rFonts w:cstheme="minorHAnsi"/>
                <w:b/>
                <w:iCs/>
                <w:sz w:val="19"/>
                <w:szCs w:val="19"/>
              </w:rPr>
              <w:t xml:space="preserve"> sp. a [sm], </w:t>
            </w:r>
            <w:r w:rsidRPr="00591DF4">
              <w:rPr>
                <w:rFonts w:cstheme="minorHAnsi"/>
                <w:b/>
                <w:i/>
                <w:iCs/>
                <w:sz w:val="19"/>
                <w:szCs w:val="19"/>
              </w:rPr>
              <w:t>Brachionus angularis</w:t>
            </w:r>
            <w:r w:rsidRPr="00591DF4">
              <w:rPr>
                <w:rFonts w:cstheme="minorHAnsi"/>
                <w:iCs/>
                <w:sz w:val="19"/>
                <w:szCs w:val="19"/>
              </w:rPr>
              <w:t xml:space="preserve"> and </w:t>
            </w:r>
            <w:r w:rsidRPr="00591DF4">
              <w:rPr>
                <w:rFonts w:cstheme="minorHAnsi"/>
                <w:b/>
                <w:i/>
                <w:iCs/>
                <w:sz w:val="19"/>
                <w:szCs w:val="19"/>
              </w:rPr>
              <w:t>Filinia pejleri</w:t>
            </w:r>
            <w:r w:rsidRPr="00591DF4">
              <w:rPr>
                <w:rFonts w:cstheme="minorHAnsi"/>
                <w:iCs/>
                <w:sz w:val="19"/>
                <w:szCs w:val="19"/>
              </w:rPr>
              <w:t>.</w:t>
            </w:r>
            <w:r w:rsidRPr="00591DF4" w:rsidDel="00B56DDE">
              <w:rPr>
                <w:rFonts w:cstheme="minorHAnsi"/>
                <w:b/>
                <w:iCs/>
                <w:sz w:val="19"/>
                <w:szCs w:val="19"/>
                <w:highlight w:val="yellow"/>
              </w:rPr>
              <w:t xml:space="preserve"> </w:t>
            </w:r>
          </w:p>
        </w:tc>
        <w:tc>
          <w:tcPr>
            <w:tcW w:w="643" w:type="pct"/>
          </w:tcPr>
          <w:p w14:paraId="7B22821F" w14:textId="77777777" w:rsidR="001D06D5" w:rsidRPr="00591DF4" w:rsidRDefault="001D06D5" w:rsidP="00C365DC">
            <w:pPr>
              <w:spacing w:line="240" w:lineRule="auto"/>
              <w:contextualSpacing/>
              <w:jc w:val="center"/>
              <w:rPr>
                <w:rFonts w:cstheme="minorHAnsi"/>
                <w:iCs/>
                <w:sz w:val="19"/>
                <w:szCs w:val="19"/>
              </w:rPr>
            </w:pPr>
            <w:r w:rsidRPr="00591DF4">
              <w:rPr>
                <w:rFonts w:cstheme="minorHAnsi"/>
                <w:iCs/>
                <w:sz w:val="19"/>
                <w:szCs w:val="19"/>
              </w:rPr>
              <w:t>72.24%</w:t>
            </w:r>
          </w:p>
          <w:p w14:paraId="75E6DFFC" w14:textId="77777777" w:rsidR="001D06D5" w:rsidRPr="00591DF4" w:rsidRDefault="001D06D5" w:rsidP="00C365DC">
            <w:pPr>
              <w:spacing w:line="240" w:lineRule="auto"/>
              <w:contextualSpacing/>
              <w:rPr>
                <w:sz w:val="19"/>
                <w:szCs w:val="19"/>
                <w:highlight w:val="yellow"/>
              </w:rPr>
            </w:pPr>
            <w:r w:rsidRPr="00591DF4">
              <w:rPr>
                <w:rFonts w:cstheme="minorHAnsi"/>
                <w:b/>
                <w:i/>
                <w:sz w:val="19"/>
                <w:szCs w:val="19"/>
              </w:rPr>
              <w:t>Trichocerca</w:t>
            </w:r>
            <w:r w:rsidRPr="00591DF4">
              <w:rPr>
                <w:rFonts w:cstheme="minorHAnsi"/>
                <w:b/>
                <w:sz w:val="19"/>
                <w:szCs w:val="19"/>
              </w:rPr>
              <w:t xml:space="preserve"> sp. c [long toe, med]</w:t>
            </w:r>
            <w:r w:rsidRPr="00591DF4">
              <w:rPr>
                <w:rFonts w:cstheme="minorHAnsi"/>
                <w:sz w:val="19"/>
                <w:szCs w:val="19"/>
              </w:rPr>
              <w:t xml:space="preserve">, </w:t>
            </w:r>
            <w:r w:rsidRPr="00591DF4">
              <w:rPr>
                <w:rFonts w:cstheme="minorHAnsi"/>
                <w:i/>
                <w:sz w:val="19"/>
                <w:szCs w:val="19"/>
              </w:rPr>
              <w:t>Polyarthra</w:t>
            </w:r>
            <w:r w:rsidRPr="00591DF4">
              <w:rPr>
                <w:rFonts w:cstheme="minorHAnsi"/>
                <w:sz w:val="19"/>
                <w:szCs w:val="19"/>
              </w:rPr>
              <w:t xml:space="preserve"> sp. b [lg], </w:t>
            </w:r>
            <w:r w:rsidRPr="00591DF4">
              <w:rPr>
                <w:rFonts w:cstheme="minorHAnsi"/>
                <w:i/>
                <w:sz w:val="19"/>
                <w:szCs w:val="19"/>
              </w:rPr>
              <w:t>Keratella tropica</w:t>
            </w:r>
            <w:r w:rsidRPr="00591DF4">
              <w:rPr>
                <w:rFonts w:cstheme="minorHAnsi"/>
                <w:sz w:val="19"/>
                <w:szCs w:val="19"/>
              </w:rPr>
              <w:t xml:space="preserve">, </w:t>
            </w:r>
            <w:r w:rsidRPr="00591DF4">
              <w:rPr>
                <w:rFonts w:cstheme="minorHAnsi"/>
                <w:i/>
                <w:sz w:val="19"/>
                <w:szCs w:val="19"/>
              </w:rPr>
              <w:t>Polyarthra</w:t>
            </w:r>
            <w:r w:rsidRPr="00591DF4">
              <w:rPr>
                <w:rFonts w:cstheme="minorHAnsi"/>
                <w:sz w:val="19"/>
                <w:szCs w:val="19"/>
              </w:rPr>
              <w:t xml:space="preserve"> sp. a [sm], </w:t>
            </w:r>
            <w:r w:rsidRPr="00591DF4">
              <w:rPr>
                <w:rFonts w:cstheme="minorHAnsi"/>
                <w:i/>
                <w:sz w:val="19"/>
                <w:szCs w:val="19"/>
              </w:rPr>
              <w:t>Hexarthra intermedia</w:t>
            </w:r>
            <w:r w:rsidRPr="00591DF4">
              <w:rPr>
                <w:rFonts w:cstheme="minorHAnsi"/>
                <w:sz w:val="19"/>
                <w:szCs w:val="19"/>
              </w:rPr>
              <w:t xml:space="preserve"> and </w:t>
            </w:r>
            <w:r w:rsidRPr="00591DF4">
              <w:rPr>
                <w:rFonts w:cstheme="minorHAnsi"/>
                <w:b/>
                <w:i/>
                <w:sz w:val="19"/>
                <w:szCs w:val="19"/>
              </w:rPr>
              <w:t>Brachionus calyciflorus amphiceros</w:t>
            </w:r>
            <w:r w:rsidRPr="00591DF4">
              <w:rPr>
                <w:rFonts w:cstheme="minorHAnsi"/>
                <w:sz w:val="19"/>
                <w:szCs w:val="19"/>
              </w:rPr>
              <w:t>.</w:t>
            </w:r>
          </w:p>
        </w:tc>
        <w:tc>
          <w:tcPr>
            <w:tcW w:w="693" w:type="pct"/>
          </w:tcPr>
          <w:p w14:paraId="352BC926" w14:textId="77777777" w:rsidR="001D06D5" w:rsidRPr="00591DF4" w:rsidRDefault="001D06D5" w:rsidP="00C365DC">
            <w:pPr>
              <w:spacing w:line="240" w:lineRule="auto"/>
              <w:contextualSpacing/>
              <w:jc w:val="center"/>
              <w:rPr>
                <w:rFonts w:cstheme="minorHAnsi"/>
                <w:iCs/>
                <w:sz w:val="19"/>
                <w:szCs w:val="19"/>
              </w:rPr>
            </w:pPr>
            <w:r w:rsidRPr="00591DF4">
              <w:rPr>
                <w:rFonts w:cstheme="minorHAnsi"/>
                <w:iCs/>
                <w:sz w:val="19"/>
                <w:szCs w:val="19"/>
              </w:rPr>
              <w:t>44.92%</w:t>
            </w:r>
          </w:p>
          <w:p w14:paraId="6BD0815B" w14:textId="77777777" w:rsidR="001D06D5" w:rsidRPr="00591DF4" w:rsidRDefault="001D06D5" w:rsidP="00C365DC">
            <w:pPr>
              <w:spacing w:line="240" w:lineRule="auto"/>
              <w:contextualSpacing/>
              <w:rPr>
                <w:sz w:val="19"/>
                <w:szCs w:val="19"/>
                <w:highlight w:val="yellow"/>
              </w:rPr>
            </w:pPr>
            <w:r w:rsidRPr="00591DF4">
              <w:rPr>
                <w:rFonts w:cstheme="minorHAnsi"/>
                <w:i/>
                <w:sz w:val="19"/>
                <w:szCs w:val="19"/>
              </w:rPr>
              <w:t>Filinia opoliensis</w:t>
            </w:r>
            <w:r w:rsidRPr="00591DF4">
              <w:rPr>
                <w:rFonts w:cstheme="minorHAnsi"/>
                <w:sz w:val="19"/>
                <w:szCs w:val="19"/>
              </w:rPr>
              <w:t xml:space="preserve">, cyclopoid copepodite, </w:t>
            </w:r>
            <w:r w:rsidRPr="00591DF4">
              <w:rPr>
                <w:rFonts w:cstheme="minorHAnsi"/>
                <w:i/>
                <w:sz w:val="19"/>
                <w:szCs w:val="19"/>
              </w:rPr>
              <w:t>Hexarthra intermedia</w:t>
            </w:r>
            <w:r w:rsidRPr="00591DF4">
              <w:rPr>
                <w:rFonts w:cstheme="minorHAnsi"/>
                <w:sz w:val="19"/>
                <w:szCs w:val="19"/>
              </w:rPr>
              <w:t xml:space="preserve">, </w:t>
            </w:r>
            <w:r w:rsidRPr="00591DF4">
              <w:rPr>
                <w:rFonts w:cstheme="minorHAnsi"/>
                <w:b/>
                <w:i/>
                <w:sz w:val="19"/>
                <w:szCs w:val="19"/>
              </w:rPr>
              <w:t>Bosmina meridionalis</w:t>
            </w:r>
            <w:r w:rsidRPr="00591DF4">
              <w:rPr>
                <w:rFonts w:cstheme="minorHAnsi"/>
                <w:sz w:val="19"/>
                <w:szCs w:val="19"/>
              </w:rPr>
              <w:t xml:space="preserve">, </w:t>
            </w:r>
            <w:r w:rsidRPr="00591DF4">
              <w:rPr>
                <w:rFonts w:cstheme="minorHAnsi"/>
                <w:i/>
                <w:sz w:val="19"/>
                <w:szCs w:val="19"/>
              </w:rPr>
              <w:t>Keratella procurva</w:t>
            </w:r>
            <w:r w:rsidRPr="00591DF4">
              <w:rPr>
                <w:rFonts w:cstheme="minorHAnsi"/>
                <w:sz w:val="19"/>
                <w:szCs w:val="19"/>
              </w:rPr>
              <w:t xml:space="preserve">, </w:t>
            </w:r>
            <w:r w:rsidRPr="00591DF4">
              <w:rPr>
                <w:rFonts w:cstheme="minorHAnsi"/>
                <w:b/>
                <w:i/>
                <w:sz w:val="19"/>
                <w:szCs w:val="19"/>
              </w:rPr>
              <w:t>Proalides tentaculatus</w:t>
            </w:r>
            <w:r w:rsidRPr="00591DF4">
              <w:rPr>
                <w:rFonts w:cstheme="minorHAnsi"/>
                <w:sz w:val="19"/>
                <w:szCs w:val="19"/>
              </w:rPr>
              <w:t xml:space="preserve">, </w:t>
            </w:r>
            <w:r w:rsidRPr="00591DF4">
              <w:rPr>
                <w:rFonts w:cstheme="minorHAnsi"/>
                <w:i/>
                <w:sz w:val="19"/>
                <w:szCs w:val="19"/>
              </w:rPr>
              <w:t xml:space="preserve">Keratella javana </w:t>
            </w:r>
            <w:r w:rsidRPr="00591DF4">
              <w:rPr>
                <w:rFonts w:cstheme="minorHAnsi"/>
                <w:sz w:val="19"/>
                <w:szCs w:val="19"/>
              </w:rPr>
              <w:t xml:space="preserve">and </w:t>
            </w:r>
            <w:r w:rsidRPr="00591DF4">
              <w:rPr>
                <w:rFonts w:cstheme="minorHAnsi"/>
                <w:b/>
                <w:i/>
                <w:sz w:val="19"/>
                <w:szCs w:val="19"/>
              </w:rPr>
              <w:t>Conochilus</w:t>
            </w:r>
            <w:r w:rsidRPr="00591DF4">
              <w:rPr>
                <w:rFonts w:cstheme="minorHAnsi"/>
                <w:b/>
                <w:sz w:val="19"/>
                <w:szCs w:val="19"/>
              </w:rPr>
              <w:t xml:space="preserve"> sp. a [sm]</w:t>
            </w:r>
            <w:r w:rsidRPr="00591DF4">
              <w:rPr>
                <w:rFonts w:cstheme="minorHAnsi"/>
                <w:sz w:val="19"/>
                <w:szCs w:val="19"/>
              </w:rPr>
              <w:t>.</w:t>
            </w:r>
            <w:r w:rsidRPr="00591DF4">
              <w:rPr>
                <w:rFonts w:cstheme="minorHAnsi"/>
                <w:sz w:val="19"/>
                <w:szCs w:val="19"/>
                <w:highlight w:val="yellow"/>
              </w:rPr>
              <w:t xml:space="preserve"> </w:t>
            </w:r>
          </w:p>
        </w:tc>
        <w:tc>
          <w:tcPr>
            <w:tcW w:w="545" w:type="pct"/>
            <w:shd w:val="clear" w:color="auto" w:fill="000000" w:themeFill="text1"/>
          </w:tcPr>
          <w:p w14:paraId="38FF75FF" w14:textId="77777777" w:rsidR="001D06D5" w:rsidRPr="00591DF4" w:rsidRDefault="001D06D5" w:rsidP="00C365DC">
            <w:pPr>
              <w:spacing w:line="240" w:lineRule="auto"/>
              <w:contextualSpacing/>
              <w:rPr>
                <w:sz w:val="19"/>
                <w:szCs w:val="19"/>
                <w:highlight w:val="yellow"/>
              </w:rPr>
            </w:pPr>
          </w:p>
        </w:tc>
        <w:tc>
          <w:tcPr>
            <w:tcW w:w="495" w:type="pct"/>
            <w:shd w:val="clear" w:color="auto" w:fill="auto"/>
          </w:tcPr>
          <w:p w14:paraId="3B5E8DE1" w14:textId="77777777" w:rsidR="001D06D5" w:rsidRPr="00591DF4" w:rsidRDefault="001D06D5" w:rsidP="00C365DC">
            <w:pPr>
              <w:spacing w:line="240" w:lineRule="auto"/>
              <w:contextualSpacing/>
              <w:rPr>
                <w:sz w:val="19"/>
                <w:szCs w:val="19"/>
                <w:highlight w:val="yellow"/>
              </w:rPr>
            </w:pPr>
          </w:p>
        </w:tc>
      </w:tr>
      <w:tr w:rsidR="00202B00" w:rsidRPr="00591DF4" w14:paraId="13652941" w14:textId="77777777" w:rsidTr="00202B00">
        <w:trPr>
          <w:cantSplit/>
          <w:trHeight w:val="794"/>
        </w:trPr>
        <w:tc>
          <w:tcPr>
            <w:tcW w:w="395" w:type="pct"/>
          </w:tcPr>
          <w:p w14:paraId="034DFCEA" w14:textId="77777777" w:rsidR="001D06D5" w:rsidRPr="00591DF4" w:rsidRDefault="001D06D5" w:rsidP="00C365DC">
            <w:pPr>
              <w:spacing w:line="240" w:lineRule="auto"/>
              <w:contextualSpacing/>
              <w:rPr>
                <w:sz w:val="19"/>
                <w:szCs w:val="19"/>
                <w:highlight w:val="yellow"/>
              </w:rPr>
            </w:pPr>
            <w:r w:rsidRPr="00591DF4">
              <w:rPr>
                <w:sz w:val="19"/>
                <w:szCs w:val="19"/>
              </w:rPr>
              <w:t>5-Jan</w:t>
            </w:r>
          </w:p>
        </w:tc>
        <w:tc>
          <w:tcPr>
            <w:tcW w:w="693" w:type="pct"/>
          </w:tcPr>
          <w:p w14:paraId="61EC5940" w14:textId="77777777" w:rsidR="001D06D5" w:rsidRPr="00591DF4" w:rsidRDefault="001D06D5" w:rsidP="00C365DC">
            <w:pPr>
              <w:spacing w:line="240" w:lineRule="auto"/>
              <w:contextualSpacing/>
              <w:jc w:val="center"/>
              <w:rPr>
                <w:sz w:val="19"/>
                <w:szCs w:val="19"/>
              </w:rPr>
            </w:pPr>
            <w:r w:rsidRPr="00591DF4">
              <w:rPr>
                <w:sz w:val="19"/>
                <w:szCs w:val="19"/>
              </w:rPr>
              <w:t>56.90%</w:t>
            </w:r>
          </w:p>
          <w:p w14:paraId="4328C797" w14:textId="77777777" w:rsidR="001D06D5" w:rsidRPr="00591DF4" w:rsidRDefault="001D06D5" w:rsidP="00C365DC">
            <w:pPr>
              <w:spacing w:line="240" w:lineRule="auto"/>
              <w:contextualSpacing/>
              <w:rPr>
                <w:sz w:val="19"/>
                <w:szCs w:val="19"/>
                <w:highlight w:val="yellow"/>
              </w:rPr>
            </w:pPr>
            <w:r w:rsidRPr="00591DF4">
              <w:rPr>
                <w:rFonts w:cs="Calibri"/>
                <w:i/>
                <w:sz w:val="19"/>
                <w:szCs w:val="19"/>
              </w:rPr>
              <w:t>Hexarthra braziliensis</w:t>
            </w:r>
            <w:r w:rsidRPr="00591DF4">
              <w:rPr>
                <w:rFonts w:cs="Calibri"/>
                <w:sz w:val="19"/>
                <w:szCs w:val="19"/>
              </w:rPr>
              <w:t xml:space="preserve">, </w:t>
            </w:r>
            <w:r w:rsidRPr="00591DF4">
              <w:rPr>
                <w:rFonts w:cs="Calibri"/>
                <w:i/>
                <w:sz w:val="19"/>
                <w:szCs w:val="19"/>
              </w:rPr>
              <w:t>Polyarthra</w:t>
            </w:r>
            <w:r w:rsidRPr="00591DF4">
              <w:rPr>
                <w:rFonts w:cs="Calibri"/>
                <w:sz w:val="19"/>
                <w:szCs w:val="19"/>
              </w:rPr>
              <w:t xml:space="preserve"> sp. a [sm], </w:t>
            </w:r>
            <w:r w:rsidRPr="00591DF4">
              <w:rPr>
                <w:rFonts w:cs="Calibri"/>
                <w:i/>
                <w:sz w:val="19"/>
                <w:szCs w:val="19"/>
              </w:rPr>
              <w:t>Polyarthra</w:t>
            </w:r>
            <w:r w:rsidRPr="00591DF4">
              <w:rPr>
                <w:rFonts w:cs="Calibri"/>
                <w:sz w:val="19"/>
                <w:szCs w:val="19"/>
              </w:rPr>
              <w:t xml:space="preserve"> sp. b [lg], </w:t>
            </w:r>
            <w:r w:rsidRPr="00591DF4">
              <w:rPr>
                <w:rFonts w:cs="Calibri"/>
                <w:i/>
                <w:sz w:val="19"/>
                <w:szCs w:val="19"/>
              </w:rPr>
              <w:t>Filinia opoliensis</w:t>
            </w:r>
            <w:r w:rsidRPr="00591DF4">
              <w:rPr>
                <w:rFonts w:cs="Calibri"/>
                <w:sz w:val="19"/>
                <w:szCs w:val="19"/>
              </w:rPr>
              <w:t xml:space="preserve">, </w:t>
            </w:r>
            <w:r w:rsidRPr="00591DF4">
              <w:rPr>
                <w:rFonts w:cs="Calibri"/>
                <w:i/>
                <w:sz w:val="19"/>
                <w:szCs w:val="19"/>
              </w:rPr>
              <w:t>Filinia terminalis</w:t>
            </w:r>
            <w:r w:rsidRPr="00591DF4">
              <w:rPr>
                <w:rFonts w:cs="Calibri"/>
                <w:sz w:val="19"/>
                <w:szCs w:val="19"/>
              </w:rPr>
              <w:t xml:space="preserve">, </w:t>
            </w:r>
            <w:r w:rsidRPr="00591DF4">
              <w:rPr>
                <w:rFonts w:cs="Calibri"/>
                <w:i/>
                <w:sz w:val="19"/>
                <w:szCs w:val="19"/>
              </w:rPr>
              <w:t>Hexarthra intermedia</w:t>
            </w:r>
            <w:r w:rsidRPr="00591DF4">
              <w:rPr>
                <w:rFonts w:cs="Calibri"/>
                <w:sz w:val="19"/>
                <w:szCs w:val="19"/>
              </w:rPr>
              <w:t xml:space="preserve">, </w:t>
            </w:r>
            <w:r w:rsidRPr="00591DF4">
              <w:rPr>
                <w:rFonts w:cs="Calibri"/>
                <w:b/>
                <w:i/>
                <w:sz w:val="19"/>
                <w:szCs w:val="19"/>
              </w:rPr>
              <w:t>Keratella cochlearis</w:t>
            </w:r>
            <w:r w:rsidRPr="00591DF4">
              <w:rPr>
                <w:rFonts w:cs="Calibri"/>
                <w:sz w:val="19"/>
                <w:szCs w:val="19"/>
              </w:rPr>
              <w:t xml:space="preserve">, </w:t>
            </w:r>
            <w:r w:rsidRPr="00591DF4">
              <w:rPr>
                <w:rFonts w:cs="Calibri"/>
                <w:b/>
                <w:i/>
                <w:sz w:val="19"/>
                <w:szCs w:val="19"/>
              </w:rPr>
              <w:t>Keratella australis</w:t>
            </w:r>
            <w:r w:rsidRPr="00591DF4">
              <w:rPr>
                <w:rFonts w:cs="Calibri"/>
                <w:b/>
                <w:sz w:val="19"/>
                <w:szCs w:val="19"/>
              </w:rPr>
              <w:t xml:space="preserve"> </w:t>
            </w:r>
            <w:r w:rsidRPr="00591DF4">
              <w:rPr>
                <w:rFonts w:cs="Calibri"/>
                <w:sz w:val="19"/>
                <w:szCs w:val="19"/>
              </w:rPr>
              <w:t xml:space="preserve">and </w:t>
            </w:r>
            <w:r w:rsidRPr="00591DF4">
              <w:rPr>
                <w:rFonts w:cs="Calibri"/>
                <w:b/>
                <w:i/>
                <w:sz w:val="19"/>
                <w:szCs w:val="19"/>
              </w:rPr>
              <w:t>Bosmina meridionalis</w:t>
            </w:r>
            <w:r w:rsidRPr="00591DF4">
              <w:rPr>
                <w:rFonts w:cs="Calibri"/>
                <w:sz w:val="19"/>
                <w:szCs w:val="19"/>
              </w:rPr>
              <w:t>.</w:t>
            </w:r>
          </w:p>
        </w:tc>
        <w:tc>
          <w:tcPr>
            <w:tcW w:w="792" w:type="pct"/>
          </w:tcPr>
          <w:p w14:paraId="0E7DC672" w14:textId="77777777" w:rsidR="001D06D5" w:rsidRPr="00591DF4" w:rsidRDefault="001D06D5" w:rsidP="00C365DC">
            <w:pPr>
              <w:spacing w:line="240" w:lineRule="auto"/>
              <w:contextualSpacing/>
              <w:jc w:val="center"/>
              <w:rPr>
                <w:sz w:val="19"/>
                <w:szCs w:val="19"/>
              </w:rPr>
            </w:pPr>
            <w:r w:rsidRPr="00591DF4">
              <w:rPr>
                <w:sz w:val="19"/>
                <w:szCs w:val="19"/>
              </w:rPr>
              <w:t>51.21%</w:t>
            </w:r>
          </w:p>
          <w:p w14:paraId="0A32CE0C" w14:textId="77777777" w:rsidR="001D06D5" w:rsidRPr="00591DF4" w:rsidRDefault="001D06D5" w:rsidP="00C365DC">
            <w:pPr>
              <w:spacing w:line="240" w:lineRule="auto"/>
              <w:contextualSpacing/>
              <w:rPr>
                <w:rFonts w:cstheme="minorHAnsi"/>
                <w:iCs/>
                <w:sz w:val="19"/>
                <w:szCs w:val="19"/>
                <w:highlight w:val="yellow"/>
              </w:rPr>
            </w:pPr>
            <w:r w:rsidRPr="00591DF4">
              <w:rPr>
                <w:rFonts w:cs="Calibri"/>
                <w:b/>
                <w:sz w:val="19"/>
                <w:szCs w:val="19"/>
              </w:rPr>
              <w:t>indet. glob. ciliate [sm]</w:t>
            </w:r>
            <w:r w:rsidRPr="00591DF4">
              <w:rPr>
                <w:rFonts w:cs="Calibri"/>
                <w:sz w:val="19"/>
                <w:szCs w:val="19"/>
              </w:rPr>
              <w:t xml:space="preserve">, </w:t>
            </w:r>
            <w:r w:rsidRPr="00591DF4">
              <w:rPr>
                <w:rFonts w:cs="Calibri"/>
                <w:b/>
                <w:i/>
                <w:sz w:val="19"/>
                <w:szCs w:val="19"/>
              </w:rPr>
              <w:t>Conochilus</w:t>
            </w:r>
            <w:r w:rsidRPr="00591DF4">
              <w:rPr>
                <w:rFonts w:cs="Calibri"/>
                <w:b/>
                <w:sz w:val="19"/>
                <w:szCs w:val="19"/>
              </w:rPr>
              <w:t xml:space="preserve"> sp. b [lg]</w:t>
            </w:r>
            <w:r w:rsidRPr="00591DF4">
              <w:rPr>
                <w:rFonts w:cs="Calibri"/>
                <w:sz w:val="19"/>
                <w:szCs w:val="19"/>
              </w:rPr>
              <w:t xml:space="preserve">, </w:t>
            </w:r>
            <w:r w:rsidRPr="00591DF4">
              <w:rPr>
                <w:rFonts w:cs="Calibri"/>
                <w:i/>
                <w:sz w:val="19"/>
                <w:szCs w:val="19"/>
              </w:rPr>
              <w:t>Hexarthra braziliensis</w:t>
            </w:r>
            <w:r w:rsidRPr="00591DF4">
              <w:rPr>
                <w:rFonts w:cs="Calibri"/>
                <w:sz w:val="19"/>
                <w:szCs w:val="19"/>
              </w:rPr>
              <w:t xml:space="preserve">, </w:t>
            </w:r>
            <w:r w:rsidRPr="00591DF4">
              <w:rPr>
                <w:rFonts w:cs="Calibri"/>
                <w:b/>
                <w:i/>
                <w:sz w:val="19"/>
                <w:szCs w:val="19"/>
              </w:rPr>
              <w:t>Trichocerca pusilla</w:t>
            </w:r>
            <w:r w:rsidRPr="00591DF4">
              <w:rPr>
                <w:rFonts w:cs="Calibri"/>
                <w:sz w:val="19"/>
                <w:szCs w:val="19"/>
              </w:rPr>
              <w:t xml:space="preserve">, </w:t>
            </w:r>
            <w:r w:rsidRPr="00591DF4">
              <w:rPr>
                <w:rFonts w:cs="Calibri"/>
                <w:b/>
                <w:i/>
                <w:sz w:val="19"/>
                <w:szCs w:val="19"/>
              </w:rPr>
              <w:t>Trichocerca similis</w:t>
            </w:r>
            <w:r w:rsidRPr="00591DF4">
              <w:rPr>
                <w:rFonts w:cs="Calibri"/>
                <w:sz w:val="19"/>
                <w:szCs w:val="19"/>
              </w:rPr>
              <w:t xml:space="preserve">, </w:t>
            </w:r>
            <w:r w:rsidRPr="00591DF4">
              <w:rPr>
                <w:rFonts w:cs="Calibri"/>
                <w:i/>
                <w:sz w:val="19"/>
                <w:szCs w:val="19"/>
              </w:rPr>
              <w:t>Filinia opoliensis</w:t>
            </w:r>
            <w:r w:rsidRPr="00591DF4">
              <w:rPr>
                <w:rFonts w:cs="Calibri"/>
                <w:sz w:val="19"/>
                <w:szCs w:val="19"/>
              </w:rPr>
              <w:t xml:space="preserve">, </w:t>
            </w:r>
            <w:r w:rsidRPr="00591DF4">
              <w:rPr>
                <w:rFonts w:cs="Calibri"/>
                <w:i/>
                <w:sz w:val="19"/>
                <w:szCs w:val="19"/>
              </w:rPr>
              <w:t>Hexarthra intermedia</w:t>
            </w:r>
            <w:r w:rsidRPr="00591DF4">
              <w:rPr>
                <w:rFonts w:cs="Calibri"/>
                <w:sz w:val="19"/>
                <w:szCs w:val="19"/>
              </w:rPr>
              <w:t xml:space="preserve">, </w:t>
            </w:r>
            <w:r w:rsidRPr="00591DF4">
              <w:rPr>
                <w:rFonts w:cs="Calibri"/>
                <w:b/>
                <w:i/>
                <w:sz w:val="19"/>
                <w:szCs w:val="19"/>
              </w:rPr>
              <w:t>Filinia australiensis</w:t>
            </w:r>
            <w:r w:rsidRPr="00591DF4">
              <w:rPr>
                <w:rFonts w:cs="Calibri"/>
                <w:sz w:val="19"/>
                <w:szCs w:val="19"/>
              </w:rPr>
              <w:t xml:space="preserve"> and </w:t>
            </w:r>
            <w:r w:rsidRPr="00591DF4">
              <w:rPr>
                <w:rFonts w:cs="Calibri"/>
                <w:b/>
                <w:i/>
                <w:sz w:val="19"/>
                <w:szCs w:val="19"/>
              </w:rPr>
              <w:t>Codonaria</w:t>
            </w:r>
            <w:r w:rsidRPr="00591DF4">
              <w:rPr>
                <w:rFonts w:cs="Calibri"/>
                <w:b/>
                <w:sz w:val="19"/>
                <w:szCs w:val="19"/>
              </w:rPr>
              <w:t xml:space="preserve"> sp.</w:t>
            </w:r>
          </w:p>
        </w:tc>
        <w:tc>
          <w:tcPr>
            <w:tcW w:w="743" w:type="pct"/>
          </w:tcPr>
          <w:p w14:paraId="5A175289" w14:textId="77777777" w:rsidR="001D06D5" w:rsidRPr="00591DF4" w:rsidRDefault="001D06D5" w:rsidP="00C365DC">
            <w:pPr>
              <w:spacing w:line="240" w:lineRule="auto"/>
              <w:contextualSpacing/>
              <w:jc w:val="center"/>
              <w:rPr>
                <w:sz w:val="19"/>
                <w:szCs w:val="19"/>
              </w:rPr>
            </w:pPr>
            <w:r w:rsidRPr="00591DF4">
              <w:rPr>
                <w:sz w:val="19"/>
                <w:szCs w:val="19"/>
              </w:rPr>
              <w:t>48.11%</w:t>
            </w:r>
          </w:p>
          <w:p w14:paraId="4BC64A1B" w14:textId="77777777" w:rsidR="001D06D5" w:rsidRPr="00591DF4" w:rsidRDefault="001D06D5" w:rsidP="00C365DC">
            <w:pPr>
              <w:spacing w:line="240" w:lineRule="auto"/>
              <w:contextualSpacing/>
              <w:rPr>
                <w:rFonts w:cstheme="minorHAnsi"/>
                <w:iCs/>
                <w:sz w:val="19"/>
                <w:szCs w:val="19"/>
                <w:highlight w:val="yellow"/>
              </w:rPr>
            </w:pPr>
            <w:r w:rsidRPr="00591DF4">
              <w:rPr>
                <w:rFonts w:cs="Calibri"/>
                <w:b/>
                <w:sz w:val="19"/>
                <w:szCs w:val="19"/>
              </w:rPr>
              <w:t>indet. glob. ciliate [sm]</w:t>
            </w:r>
            <w:r w:rsidRPr="00591DF4">
              <w:rPr>
                <w:rFonts w:cs="Calibri"/>
                <w:sz w:val="19"/>
                <w:szCs w:val="19"/>
              </w:rPr>
              <w:t xml:space="preserve">, </w:t>
            </w:r>
            <w:r w:rsidRPr="00591DF4">
              <w:rPr>
                <w:rFonts w:cs="Calibri"/>
                <w:i/>
                <w:sz w:val="19"/>
                <w:szCs w:val="19"/>
              </w:rPr>
              <w:t>Synchaeta pectinata</w:t>
            </w:r>
            <w:r w:rsidRPr="00591DF4">
              <w:rPr>
                <w:rFonts w:cs="Calibri"/>
                <w:sz w:val="19"/>
                <w:szCs w:val="19"/>
              </w:rPr>
              <w:t xml:space="preserve"> [med-lg], </w:t>
            </w:r>
            <w:r w:rsidRPr="00591DF4">
              <w:rPr>
                <w:rFonts w:cs="Calibri"/>
                <w:i/>
                <w:sz w:val="19"/>
                <w:szCs w:val="19"/>
              </w:rPr>
              <w:t>Hexarthra braziliensis</w:t>
            </w:r>
            <w:r w:rsidRPr="00591DF4">
              <w:rPr>
                <w:rFonts w:cs="Calibri"/>
                <w:sz w:val="19"/>
                <w:szCs w:val="19"/>
              </w:rPr>
              <w:t xml:space="preserve">, </w:t>
            </w:r>
            <w:r w:rsidRPr="00591DF4">
              <w:rPr>
                <w:rFonts w:cs="Calibri"/>
                <w:b/>
                <w:i/>
                <w:sz w:val="19"/>
                <w:szCs w:val="19"/>
              </w:rPr>
              <w:t>Brachionus</w:t>
            </w:r>
            <w:r w:rsidRPr="00591DF4">
              <w:rPr>
                <w:rFonts w:cs="Calibri"/>
                <w:b/>
                <w:sz w:val="19"/>
                <w:szCs w:val="19"/>
              </w:rPr>
              <w:t xml:space="preserve"> [</w:t>
            </w:r>
            <w:r w:rsidRPr="00591DF4">
              <w:rPr>
                <w:rFonts w:cs="Calibri"/>
                <w:b/>
                <w:i/>
                <w:sz w:val="19"/>
                <w:szCs w:val="19"/>
              </w:rPr>
              <w:t>angularis</w:t>
            </w:r>
            <w:r w:rsidRPr="00591DF4">
              <w:rPr>
                <w:rFonts w:cs="Calibri"/>
                <w:b/>
                <w:sz w:val="19"/>
                <w:szCs w:val="19"/>
              </w:rPr>
              <w:t xml:space="preserve">] </w:t>
            </w:r>
            <w:r w:rsidRPr="00591DF4">
              <w:rPr>
                <w:rFonts w:cs="Calibri"/>
                <w:b/>
                <w:i/>
                <w:sz w:val="19"/>
                <w:szCs w:val="19"/>
              </w:rPr>
              <w:t>bidens</w:t>
            </w:r>
            <w:r w:rsidRPr="00591DF4">
              <w:rPr>
                <w:rFonts w:cs="Calibri"/>
                <w:sz w:val="19"/>
                <w:szCs w:val="19"/>
              </w:rPr>
              <w:t xml:space="preserve">, </w:t>
            </w:r>
            <w:r w:rsidRPr="00591DF4">
              <w:rPr>
                <w:rFonts w:cs="Calibri"/>
                <w:i/>
                <w:sz w:val="19"/>
                <w:szCs w:val="19"/>
              </w:rPr>
              <w:t>Hexarthra intermedia</w:t>
            </w:r>
            <w:r w:rsidRPr="00591DF4">
              <w:rPr>
                <w:rFonts w:cs="Calibri"/>
                <w:sz w:val="19"/>
                <w:szCs w:val="19"/>
              </w:rPr>
              <w:t xml:space="preserve">, </w:t>
            </w:r>
            <w:r w:rsidRPr="00591DF4">
              <w:rPr>
                <w:rFonts w:cs="Calibri"/>
                <w:b/>
                <w:i/>
                <w:sz w:val="19"/>
                <w:szCs w:val="19"/>
              </w:rPr>
              <w:t>Keratella australis</w:t>
            </w:r>
            <w:r w:rsidRPr="00591DF4">
              <w:rPr>
                <w:rFonts w:cs="Calibri"/>
                <w:sz w:val="19"/>
                <w:szCs w:val="19"/>
              </w:rPr>
              <w:t xml:space="preserve">, </w:t>
            </w:r>
            <w:r w:rsidRPr="00591DF4">
              <w:rPr>
                <w:rFonts w:cs="Calibri"/>
                <w:b/>
                <w:i/>
                <w:sz w:val="19"/>
                <w:szCs w:val="19"/>
              </w:rPr>
              <w:t>Conochilus</w:t>
            </w:r>
            <w:r w:rsidRPr="00591DF4">
              <w:rPr>
                <w:rFonts w:cs="Calibri"/>
                <w:b/>
                <w:sz w:val="19"/>
                <w:szCs w:val="19"/>
              </w:rPr>
              <w:t xml:space="preserve"> sp. b [lg]</w:t>
            </w:r>
            <w:r w:rsidRPr="00591DF4">
              <w:rPr>
                <w:rFonts w:cs="Calibri"/>
                <w:sz w:val="19"/>
                <w:szCs w:val="19"/>
              </w:rPr>
              <w:t xml:space="preserve">, </w:t>
            </w:r>
            <w:r w:rsidRPr="00591DF4">
              <w:rPr>
                <w:rFonts w:cs="Calibri"/>
                <w:b/>
                <w:i/>
                <w:sz w:val="19"/>
                <w:szCs w:val="19"/>
              </w:rPr>
              <w:t>Brachionus angularis</w:t>
            </w:r>
            <w:r w:rsidRPr="00591DF4">
              <w:rPr>
                <w:rFonts w:cs="Calibri"/>
                <w:sz w:val="19"/>
                <w:szCs w:val="19"/>
              </w:rPr>
              <w:t xml:space="preserve"> and </w:t>
            </w:r>
            <w:r w:rsidRPr="00591DF4">
              <w:rPr>
                <w:rFonts w:cs="Calibri"/>
                <w:b/>
                <w:i/>
                <w:sz w:val="19"/>
                <w:szCs w:val="19"/>
              </w:rPr>
              <w:t>Filinia pejleri</w:t>
            </w:r>
            <w:r w:rsidRPr="00591DF4">
              <w:rPr>
                <w:rFonts w:cs="Calibri"/>
                <w:sz w:val="19"/>
                <w:szCs w:val="19"/>
              </w:rPr>
              <w:t>.</w:t>
            </w:r>
          </w:p>
        </w:tc>
        <w:tc>
          <w:tcPr>
            <w:tcW w:w="643" w:type="pct"/>
          </w:tcPr>
          <w:p w14:paraId="1115BCB6" w14:textId="77777777" w:rsidR="001D06D5" w:rsidRPr="00591DF4" w:rsidRDefault="001D06D5" w:rsidP="00C365DC">
            <w:pPr>
              <w:spacing w:line="240" w:lineRule="auto"/>
              <w:contextualSpacing/>
              <w:jc w:val="center"/>
              <w:rPr>
                <w:sz w:val="19"/>
                <w:szCs w:val="19"/>
              </w:rPr>
            </w:pPr>
            <w:r w:rsidRPr="00591DF4">
              <w:rPr>
                <w:sz w:val="19"/>
                <w:szCs w:val="19"/>
              </w:rPr>
              <w:t>68.13%</w:t>
            </w:r>
          </w:p>
          <w:p w14:paraId="09F54FDD" w14:textId="77777777" w:rsidR="001D06D5" w:rsidRPr="00591DF4" w:rsidRDefault="001D06D5" w:rsidP="00C365DC">
            <w:pPr>
              <w:spacing w:line="240" w:lineRule="auto"/>
              <w:contextualSpacing/>
              <w:rPr>
                <w:rFonts w:cstheme="minorHAnsi"/>
                <w:iCs/>
                <w:sz w:val="19"/>
                <w:szCs w:val="19"/>
                <w:highlight w:val="yellow"/>
              </w:rPr>
            </w:pPr>
            <w:r w:rsidRPr="00591DF4">
              <w:rPr>
                <w:rFonts w:cs="Calibri"/>
                <w:i/>
                <w:sz w:val="19"/>
                <w:szCs w:val="19"/>
              </w:rPr>
              <w:t>Polyarthra</w:t>
            </w:r>
            <w:r w:rsidRPr="00591DF4">
              <w:rPr>
                <w:rFonts w:cs="Calibri"/>
                <w:sz w:val="19"/>
                <w:szCs w:val="19"/>
              </w:rPr>
              <w:t xml:space="preserve"> sp. a [sm], </w:t>
            </w:r>
            <w:r w:rsidRPr="00591DF4">
              <w:rPr>
                <w:rFonts w:cs="Calibri"/>
                <w:i/>
                <w:sz w:val="19"/>
                <w:szCs w:val="19"/>
              </w:rPr>
              <w:t>Polyarthra</w:t>
            </w:r>
            <w:r w:rsidRPr="00591DF4">
              <w:rPr>
                <w:rFonts w:cs="Calibri"/>
                <w:sz w:val="19"/>
                <w:szCs w:val="19"/>
              </w:rPr>
              <w:t xml:space="preserve"> sp. b [lg], </w:t>
            </w:r>
            <w:r w:rsidRPr="00591DF4">
              <w:rPr>
                <w:rFonts w:cs="Calibri"/>
                <w:i/>
                <w:sz w:val="19"/>
                <w:szCs w:val="19"/>
              </w:rPr>
              <w:t>Synchaeta</w:t>
            </w:r>
            <w:r w:rsidRPr="00591DF4">
              <w:rPr>
                <w:rFonts w:cs="Calibri"/>
                <w:sz w:val="19"/>
                <w:szCs w:val="19"/>
              </w:rPr>
              <w:t xml:space="preserve"> sp. b [sm., cf. oblonga], </w:t>
            </w:r>
            <w:r w:rsidRPr="00591DF4">
              <w:rPr>
                <w:rFonts w:cs="Calibri"/>
                <w:i/>
                <w:sz w:val="19"/>
                <w:szCs w:val="19"/>
              </w:rPr>
              <w:t>Synchaeta pectinata</w:t>
            </w:r>
            <w:r w:rsidRPr="00591DF4">
              <w:rPr>
                <w:rFonts w:cs="Calibri"/>
                <w:sz w:val="19"/>
                <w:szCs w:val="19"/>
              </w:rPr>
              <w:t xml:space="preserve"> [med-lg], </w:t>
            </w:r>
            <w:r w:rsidRPr="00591DF4">
              <w:rPr>
                <w:rFonts w:cs="Calibri"/>
                <w:i/>
                <w:sz w:val="19"/>
                <w:szCs w:val="19"/>
              </w:rPr>
              <w:t>Filinia terminalis</w:t>
            </w:r>
            <w:r w:rsidRPr="00591DF4">
              <w:rPr>
                <w:rFonts w:cs="Calibri"/>
                <w:sz w:val="19"/>
                <w:szCs w:val="19"/>
              </w:rPr>
              <w:t xml:space="preserve"> and </w:t>
            </w:r>
            <w:r w:rsidRPr="00591DF4">
              <w:rPr>
                <w:rFonts w:cs="Calibri"/>
                <w:i/>
                <w:sz w:val="19"/>
                <w:szCs w:val="19"/>
              </w:rPr>
              <w:t>Hexarthra braziliensis</w:t>
            </w:r>
            <w:r w:rsidRPr="00591DF4">
              <w:rPr>
                <w:rFonts w:cs="Calibri"/>
                <w:sz w:val="19"/>
                <w:szCs w:val="19"/>
              </w:rPr>
              <w:t>.</w:t>
            </w:r>
          </w:p>
        </w:tc>
        <w:tc>
          <w:tcPr>
            <w:tcW w:w="693" w:type="pct"/>
          </w:tcPr>
          <w:p w14:paraId="2305782D" w14:textId="77777777" w:rsidR="001D06D5" w:rsidRPr="00591DF4" w:rsidRDefault="001D06D5" w:rsidP="00C365DC">
            <w:pPr>
              <w:spacing w:line="240" w:lineRule="auto"/>
              <w:contextualSpacing/>
              <w:jc w:val="center"/>
              <w:rPr>
                <w:sz w:val="19"/>
                <w:szCs w:val="19"/>
              </w:rPr>
            </w:pPr>
            <w:r w:rsidRPr="00591DF4">
              <w:rPr>
                <w:sz w:val="19"/>
                <w:szCs w:val="19"/>
              </w:rPr>
              <w:t>52.98%</w:t>
            </w:r>
          </w:p>
          <w:p w14:paraId="23E0143E" w14:textId="77777777" w:rsidR="001D06D5" w:rsidRPr="00591DF4" w:rsidRDefault="001D06D5" w:rsidP="00C365DC">
            <w:pPr>
              <w:spacing w:line="240" w:lineRule="auto"/>
              <w:contextualSpacing/>
              <w:rPr>
                <w:rFonts w:cstheme="minorHAnsi"/>
                <w:iCs/>
                <w:sz w:val="19"/>
                <w:szCs w:val="19"/>
                <w:highlight w:val="yellow"/>
              </w:rPr>
            </w:pPr>
            <w:r w:rsidRPr="00591DF4">
              <w:rPr>
                <w:rFonts w:cs="Calibri"/>
                <w:i/>
                <w:sz w:val="19"/>
                <w:szCs w:val="19"/>
              </w:rPr>
              <w:t>Synchaeta</w:t>
            </w:r>
            <w:r w:rsidRPr="00591DF4">
              <w:rPr>
                <w:rFonts w:cs="Calibri"/>
                <w:sz w:val="19"/>
                <w:szCs w:val="19"/>
              </w:rPr>
              <w:t xml:space="preserve"> sp. b [sm., cf. oblonga], </w:t>
            </w:r>
            <w:r w:rsidRPr="00591DF4">
              <w:rPr>
                <w:rFonts w:cs="Calibri"/>
                <w:i/>
                <w:sz w:val="19"/>
                <w:szCs w:val="19"/>
              </w:rPr>
              <w:t xml:space="preserve">Synchaeta pectinata </w:t>
            </w:r>
            <w:r w:rsidRPr="00591DF4">
              <w:rPr>
                <w:rFonts w:cs="Calibri"/>
                <w:sz w:val="19"/>
                <w:szCs w:val="19"/>
              </w:rPr>
              <w:t xml:space="preserve">[med-lg], </w:t>
            </w:r>
            <w:r w:rsidRPr="00591DF4">
              <w:rPr>
                <w:rFonts w:cs="Calibri"/>
                <w:i/>
                <w:sz w:val="19"/>
                <w:szCs w:val="19"/>
              </w:rPr>
              <w:t>Filinia terminalis</w:t>
            </w:r>
            <w:r w:rsidRPr="00591DF4">
              <w:rPr>
                <w:rFonts w:cs="Calibri"/>
                <w:sz w:val="19"/>
                <w:szCs w:val="19"/>
              </w:rPr>
              <w:t xml:space="preserve">, </w:t>
            </w:r>
            <w:r w:rsidRPr="00591DF4">
              <w:rPr>
                <w:rFonts w:cs="Calibri"/>
                <w:i/>
                <w:sz w:val="19"/>
                <w:szCs w:val="19"/>
              </w:rPr>
              <w:t>Trichocerca</w:t>
            </w:r>
            <w:r w:rsidRPr="00591DF4">
              <w:rPr>
                <w:rFonts w:cs="Calibri"/>
                <w:sz w:val="19"/>
                <w:szCs w:val="19"/>
              </w:rPr>
              <w:t xml:space="preserve"> sp. c [long toe, med], </w:t>
            </w:r>
            <w:r w:rsidRPr="00591DF4">
              <w:rPr>
                <w:rFonts w:cs="Calibri"/>
                <w:i/>
                <w:sz w:val="19"/>
                <w:szCs w:val="19"/>
              </w:rPr>
              <w:t>Synchaeta</w:t>
            </w:r>
            <w:r w:rsidRPr="00591DF4">
              <w:rPr>
                <w:rFonts w:cs="Calibri"/>
                <w:sz w:val="19"/>
                <w:szCs w:val="19"/>
              </w:rPr>
              <w:t xml:space="preserve"> sp. c [tiny] and </w:t>
            </w:r>
            <w:r w:rsidRPr="00591DF4">
              <w:rPr>
                <w:rFonts w:cs="Calibri"/>
                <w:i/>
                <w:sz w:val="19"/>
                <w:szCs w:val="19"/>
              </w:rPr>
              <w:t>Filinia opoliensis</w:t>
            </w:r>
            <w:r w:rsidRPr="00591DF4">
              <w:rPr>
                <w:rFonts w:cs="Calibri"/>
                <w:sz w:val="19"/>
                <w:szCs w:val="19"/>
              </w:rPr>
              <w:t>.</w:t>
            </w:r>
          </w:p>
        </w:tc>
        <w:tc>
          <w:tcPr>
            <w:tcW w:w="545" w:type="pct"/>
            <w:shd w:val="clear" w:color="auto" w:fill="auto"/>
          </w:tcPr>
          <w:p w14:paraId="66754359" w14:textId="77777777" w:rsidR="001D06D5" w:rsidRPr="00591DF4" w:rsidRDefault="001D06D5" w:rsidP="00C365DC">
            <w:pPr>
              <w:spacing w:line="240" w:lineRule="auto"/>
              <w:contextualSpacing/>
              <w:jc w:val="center"/>
              <w:rPr>
                <w:sz w:val="19"/>
                <w:szCs w:val="19"/>
              </w:rPr>
            </w:pPr>
            <w:r w:rsidRPr="00591DF4">
              <w:rPr>
                <w:sz w:val="19"/>
                <w:szCs w:val="19"/>
              </w:rPr>
              <w:t>53.40%</w:t>
            </w:r>
          </w:p>
          <w:p w14:paraId="3BA58958" w14:textId="77777777" w:rsidR="001D06D5" w:rsidRPr="00591DF4" w:rsidRDefault="001D06D5" w:rsidP="00C365DC">
            <w:pPr>
              <w:spacing w:line="240" w:lineRule="auto"/>
              <w:contextualSpacing/>
              <w:rPr>
                <w:sz w:val="19"/>
                <w:szCs w:val="19"/>
                <w:highlight w:val="yellow"/>
              </w:rPr>
            </w:pPr>
            <w:r w:rsidRPr="00591DF4">
              <w:rPr>
                <w:rFonts w:cs="Calibri"/>
                <w:i/>
                <w:sz w:val="19"/>
                <w:szCs w:val="19"/>
              </w:rPr>
              <w:t>Trichocerca</w:t>
            </w:r>
            <w:r w:rsidRPr="00591DF4">
              <w:rPr>
                <w:rFonts w:cs="Calibri"/>
                <w:sz w:val="19"/>
                <w:szCs w:val="19"/>
              </w:rPr>
              <w:t xml:space="preserve"> sp. c [long toe, med], </w:t>
            </w:r>
            <w:r w:rsidRPr="00591DF4">
              <w:rPr>
                <w:rFonts w:cs="Calibri"/>
                <w:i/>
                <w:sz w:val="19"/>
                <w:szCs w:val="19"/>
              </w:rPr>
              <w:t xml:space="preserve">Synchaeta pectinata </w:t>
            </w:r>
            <w:r w:rsidRPr="00591DF4">
              <w:rPr>
                <w:rFonts w:cs="Calibri"/>
                <w:sz w:val="19"/>
                <w:szCs w:val="19"/>
              </w:rPr>
              <w:t xml:space="preserve">[med-lg,], </w:t>
            </w:r>
            <w:r w:rsidRPr="00591DF4">
              <w:rPr>
                <w:rFonts w:cs="Calibri"/>
                <w:i/>
                <w:sz w:val="19"/>
                <w:szCs w:val="19"/>
              </w:rPr>
              <w:t>Synchaeta</w:t>
            </w:r>
            <w:r w:rsidRPr="00591DF4">
              <w:rPr>
                <w:rFonts w:cs="Calibri"/>
                <w:sz w:val="19"/>
                <w:szCs w:val="19"/>
              </w:rPr>
              <w:t xml:space="preserve"> sp. b [sm., cf. oblonga], </w:t>
            </w:r>
            <w:r w:rsidRPr="00591DF4">
              <w:rPr>
                <w:rFonts w:cs="Calibri"/>
                <w:i/>
                <w:sz w:val="19"/>
                <w:szCs w:val="19"/>
              </w:rPr>
              <w:t>Filinia terminalis</w:t>
            </w:r>
            <w:r w:rsidRPr="00591DF4">
              <w:rPr>
                <w:rFonts w:cs="Calibri"/>
                <w:sz w:val="19"/>
                <w:szCs w:val="19"/>
              </w:rPr>
              <w:t xml:space="preserve">, </w:t>
            </w:r>
            <w:r w:rsidRPr="00591DF4">
              <w:rPr>
                <w:rFonts w:cs="Calibri"/>
                <w:i/>
                <w:sz w:val="19"/>
                <w:szCs w:val="19"/>
              </w:rPr>
              <w:t xml:space="preserve">Synchaeta </w:t>
            </w:r>
            <w:r w:rsidRPr="00591DF4">
              <w:rPr>
                <w:rFonts w:cs="Calibri"/>
                <w:sz w:val="19"/>
                <w:szCs w:val="19"/>
              </w:rPr>
              <w:t xml:space="preserve">sp. c [tiny] and </w:t>
            </w:r>
            <w:r w:rsidRPr="00591DF4">
              <w:rPr>
                <w:rFonts w:cs="Calibri"/>
                <w:i/>
                <w:sz w:val="19"/>
                <w:szCs w:val="19"/>
              </w:rPr>
              <w:t>Keratella lenzi</w:t>
            </w:r>
            <w:r w:rsidRPr="00591DF4">
              <w:rPr>
                <w:rFonts w:cs="Calibri"/>
                <w:sz w:val="19"/>
                <w:szCs w:val="19"/>
              </w:rPr>
              <w:t>.</w:t>
            </w:r>
          </w:p>
        </w:tc>
        <w:tc>
          <w:tcPr>
            <w:tcW w:w="495" w:type="pct"/>
            <w:shd w:val="clear" w:color="auto" w:fill="000000" w:themeFill="text1"/>
          </w:tcPr>
          <w:p w14:paraId="5892D0E8" w14:textId="77777777" w:rsidR="001D06D5" w:rsidRPr="00591DF4" w:rsidRDefault="001D06D5" w:rsidP="00C365DC">
            <w:pPr>
              <w:spacing w:line="240" w:lineRule="auto"/>
              <w:contextualSpacing/>
              <w:rPr>
                <w:sz w:val="19"/>
                <w:szCs w:val="19"/>
                <w:highlight w:val="yellow"/>
              </w:rPr>
            </w:pPr>
          </w:p>
        </w:tc>
      </w:tr>
      <w:tr w:rsidR="00202B00" w:rsidRPr="00591DF4" w14:paraId="5D8A9892" w14:textId="77777777" w:rsidTr="00202B00">
        <w:trPr>
          <w:cantSplit/>
          <w:trHeight w:val="794"/>
        </w:trPr>
        <w:tc>
          <w:tcPr>
            <w:tcW w:w="395" w:type="pct"/>
          </w:tcPr>
          <w:p w14:paraId="2AEC5557" w14:textId="77777777" w:rsidR="001D06D5" w:rsidRPr="00591DF4" w:rsidRDefault="001D06D5" w:rsidP="00C365DC">
            <w:pPr>
              <w:spacing w:line="240" w:lineRule="auto"/>
              <w:contextualSpacing/>
              <w:rPr>
                <w:sz w:val="19"/>
                <w:szCs w:val="19"/>
                <w:highlight w:val="yellow"/>
              </w:rPr>
            </w:pPr>
            <w:r w:rsidRPr="00591DF4">
              <w:rPr>
                <w:sz w:val="19"/>
                <w:szCs w:val="19"/>
              </w:rPr>
              <w:lastRenderedPageBreak/>
              <w:t>20-Jan</w:t>
            </w:r>
          </w:p>
        </w:tc>
        <w:tc>
          <w:tcPr>
            <w:tcW w:w="693" w:type="pct"/>
          </w:tcPr>
          <w:p w14:paraId="4792C352" w14:textId="77777777" w:rsidR="001D06D5" w:rsidRPr="00591DF4" w:rsidRDefault="001D06D5" w:rsidP="00C365DC">
            <w:pPr>
              <w:spacing w:line="240" w:lineRule="auto"/>
              <w:contextualSpacing/>
              <w:jc w:val="center"/>
              <w:rPr>
                <w:sz w:val="19"/>
                <w:szCs w:val="19"/>
              </w:rPr>
            </w:pPr>
            <w:r w:rsidRPr="00591DF4">
              <w:rPr>
                <w:sz w:val="19"/>
                <w:szCs w:val="19"/>
              </w:rPr>
              <w:t>57.57%</w:t>
            </w:r>
          </w:p>
          <w:p w14:paraId="645BFD06" w14:textId="77777777" w:rsidR="001D06D5" w:rsidRPr="00591DF4" w:rsidRDefault="001D06D5" w:rsidP="00C365DC">
            <w:pPr>
              <w:spacing w:line="240" w:lineRule="auto"/>
              <w:contextualSpacing/>
              <w:rPr>
                <w:rFonts w:cs="Calibri"/>
                <w:sz w:val="19"/>
                <w:szCs w:val="19"/>
                <w:highlight w:val="yellow"/>
              </w:rPr>
            </w:pPr>
            <w:r w:rsidRPr="00591DF4">
              <w:rPr>
                <w:i/>
                <w:sz w:val="19"/>
                <w:szCs w:val="19"/>
              </w:rPr>
              <w:t>Keratella lenzi</w:t>
            </w:r>
            <w:r w:rsidRPr="00591DF4">
              <w:rPr>
                <w:sz w:val="19"/>
                <w:szCs w:val="19"/>
              </w:rPr>
              <w:t xml:space="preserve">, </w:t>
            </w:r>
            <w:r w:rsidRPr="00591DF4">
              <w:rPr>
                <w:i/>
                <w:sz w:val="19"/>
                <w:szCs w:val="19"/>
              </w:rPr>
              <w:t>Keratella</w:t>
            </w:r>
            <w:r w:rsidRPr="00591DF4">
              <w:rPr>
                <w:sz w:val="19"/>
                <w:szCs w:val="19"/>
              </w:rPr>
              <w:t xml:space="preserve"> cf. </w:t>
            </w:r>
            <w:r w:rsidRPr="00591DF4">
              <w:rPr>
                <w:i/>
                <w:sz w:val="19"/>
                <w:szCs w:val="19"/>
              </w:rPr>
              <w:t>americana</w:t>
            </w:r>
            <w:r w:rsidRPr="00591DF4">
              <w:rPr>
                <w:sz w:val="19"/>
                <w:szCs w:val="19"/>
              </w:rPr>
              <w:t xml:space="preserve">, </w:t>
            </w:r>
            <w:r w:rsidRPr="00591DF4">
              <w:rPr>
                <w:i/>
                <w:sz w:val="19"/>
                <w:szCs w:val="19"/>
              </w:rPr>
              <w:t>Hexarthra braziliensis</w:t>
            </w:r>
            <w:r w:rsidRPr="00591DF4">
              <w:rPr>
                <w:sz w:val="19"/>
                <w:szCs w:val="19"/>
              </w:rPr>
              <w:t xml:space="preserve">, </w:t>
            </w:r>
            <w:r w:rsidRPr="00591DF4">
              <w:rPr>
                <w:i/>
                <w:sz w:val="19"/>
                <w:szCs w:val="19"/>
              </w:rPr>
              <w:t>Polyarthra</w:t>
            </w:r>
            <w:r w:rsidRPr="00591DF4">
              <w:rPr>
                <w:sz w:val="19"/>
                <w:szCs w:val="19"/>
              </w:rPr>
              <w:t xml:space="preserve"> sp. a [sm], </w:t>
            </w:r>
            <w:r w:rsidRPr="00591DF4">
              <w:rPr>
                <w:i/>
                <w:sz w:val="19"/>
                <w:szCs w:val="19"/>
              </w:rPr>
              <w:t>Filinia terminalis</w:t>
            </w:r>
            <w:r w:rsidRPr="00591DF4">
              <w:rPr>
                <w:sz w:val="19"/>
                <w:szCs w:val="19"/>
              </w:rPr>
              <w:t xml:space="preserve">, </w:t>
            </w:r>
            <w:r w:rsidRPr="00591DF4">
              <w:rPr>
                <w:i/>
                <w:sz w:val="19"/>
                <w:szCs w:val="19"/>
              </w:rPr>
              <w:t>Difflugia gramen</w:t>
            </w:r>
            <w:r w:rsidRPr="00591DF4">
              <w:rPr>
                <w:sz w:val="19"/>
                <w:szCs w:val="19"/>
              </w:rPr>
              <w:t xml:space="preserve">, </w:t>
            </w:r>
            <w:r w:rsidRPr="00591DF4">
              <w:rPr>
                <w:i/>
                <w:sz w:val="19"/>
                <w:szCs w:val="19"/>
              </w:rPr>
              <w:t>Difflugia</w:t>
            </w:r>
            <w:r w:rsidRPr="00591DF4">
              <w:rPr>
                <w:sz w:val="19"/>
                <w:szCs w:val="19"/>
              </w:rPr>
              <w:t xml:space="preserve"> cf. </w:t>
            </w:r>
            <w:r w:rsidRPr="00591DF4">
              <w:rPr>
                <w:i/>
                <w:sz w:val="19"/>
                <w:szCs w:val="19"/>
              </w:rPr>
              <w:t>fallax</w:t>
            </w:r>
            <w:r w:rsidRPr="00591DF4">
              <w:rPr>
                <w:sz w:val="19"/>
                <w:szCs w:val="19"/>
              </w:rPr>
              <w:t xml:space="preserve"> and </w:t>
            </w:r>
            <w:r w:rsidRPr="00591DF4">
              <w:rPr>
                <w:i/>
                <w:sz w:val="19"/>
                <w:szCs w:val="19"/>
              </w:rPr>
              <w:t>Keratella tropica</w:t>
            </w:r>
            <w:r w:rsidRPr="00591DF4">
              <w:rPr>
                <w:sz w:val="19"/>
                <w:szCs w:val="19"/>
              </w:rPr>
              <w:t>.</w:t>
            </w:r>
          </w:p>
        </w:tc>
        <w:tc>
          <w:tcPr>
            <w:tcW w:w="792" w:type="pct"/>
          </w:tcPr>
          <w:p w14:paraId="3806C006" w14:textId="77777777" w:rsidR="001D06D5" w:rsidRPr="00591DF4" w:rsidRDefault="001D06D5" w:rsidP="00C365DC">
            <w:pPr>
              <w:spacing w:line="240" w:lineRule="auto"/>
              <w:contextualSpacing/>
              <w:jc w:val="center"/>
              <w:rPr>
                <w:sz w:val="19"/>
                <w:szCs w:val="19"/>
              </w:rPr>
            </w:pPr>
            <w:r w:rsidRPr="00591DF4">
              <w:rPr>
                <w:sz w:val="19"/>
                <w:szCs w:val="19"/>
              </w:rPr>
              <w:t>51.32%</w:t>
            </w:r>
          </w:p>
          <w:p w14:paraId="76016EC8" w14:textId="77777777" w:rsidR="001D06D5" w:rsidRPr="00591DF4" w:rsidRDefault="001D06D5" w:rsidP="00C365DC">
            <w:pPr>
              <w:spacing w:line="240" w:lineRule="auto"/>
              <w:contextualSpacing/>
              <w:rPr>
                <w:rFonts w:cstheme="minorHAnsi"/>
                <w:iCs/>
                <w:sz w:val="19"/>
                <w:szCs w:val="19"/>
                <w:highlight w:val="yellow"/>
              </w:rPr>
            </w:pPr>
            <w:r w:rsidRPr="00591DF4">
              <w:rPr>
                <w:rFonts w:cs="Calibri"/>
                <w:i/>
                <w:sz w:val="19"/>
                <w:szCs w:val="19"/>
              </w:rPr>
              <w:t>Keratella lenzi</w:t>
            </w:r>
            <w:r w:rsidRPr="00591DF4">
              <w:rPr>
                <w:rFonts w:cs="Calibri"/>
                <w:sz w:val="19"/>
                <w:szCs w:val="19"/>
              </w:rPr>
              <w:t xml:space="preserve">, </w:t>
            </w:r>
            <w:r w:rsidRPr="00591DF4">
              <w:rPr>
                <w:rFonts w:cs="Calibri"/>
                <w:b/>
                <w:sz w:val="19"/>
                <w:szCs w:val="19"/>
              </w:rPr>
              <w:t>indet. glob. ciliate [sm]</w:t>
            </w:r>
            <w:r w:rsidRPr="00591DF4">
              <w:rPr>
                <w:rFonts w:cs="Calibri"/>
                <w:sz w:val="19"/>
                <w:szCs w:val="19"/>
              </w:rPr>
              <w:t xml:space="preserve">, </w:t>
            </w:r>
            <w:r w:rsidRPr="00591DF4">
              <w:rPr>
                <w:rFonts w:cs="Calibri"/>
                <w:i/>
                <w:sz w:val="19"/>
                <w:szCs w:val="19"/>
              </w:rPr>
              <w:t>Keratella</w:t>
            </w:r>
            <w:r w:rsidRPr="00591DF4">
              <w:rPr>
                <w:rFonts w:cs="Calibri"/>
                <w:sz w:val="19"/>
                <w:szCs w:val="19"/>
              </w:rPr>
              <w:t xml:space="preserve"> cf. </w:t>
            </w:r>
            <w:r w:rsidRPr="00591DF4">
              <w:rPr>
                <w:rFonts w:cs="Calibri"/>
                <w:i/>
                <w:sz w:val="19"/>
                <w:szCs w:val="19"/>
              </w:rPr>
              <w:t>americana</w:t>
            </w:r>
            <w:r w:rsidRPr="00591DF4">
              <w:rPr>
                <w:rFonts w:cs="Calibri"/>
                <w:sz w:val="19"/>
                <w:szCs w:val="19"/>
              </w:rPr>
              <w:t xml:space="preserve">, </w:t>
            </w:r>
            <w:r w:rsidRPr="00591DF4">
              <w:rPr>
                <w:rFonts w:cs="Calibri"/>
                <w:i/>
                <w:sz w:val="19"/>
                <w:szCs w:val="19"/>
              </w:rPr>
              <w:t>Hexarthra braziliensis</w:t>
            </w:r>
            <w:r w:rsidRPr="00591DF4">
              <w:rPr>
                <w:rFonts w:cs="Calibri"/>
                <w:sz w:val="19"/>
                <w:szCs w:val="19"/>
              </w:rPr>
              <w:t xml:space="preserve">, </w:t>
            </w:r>
            <w:r w:rsidRPr="00591DF4">
              <w:rPr>
                <w:rFonts w:cs="Calibri"/>
                <w:i/>
                <w:sz w:val="19"/>
                <w:szCs w:val="19"/>
              </w:rPr>
              <w:t>Difflugia gramen</w:t>
            </w:r>
            <w:r w:rsidRPr="00591DF4">
              <w:rPr>
                <w:rFonts w:cs="Calibri"/>
                <w:sz w:val="19"/>
                <w:szCs w:val="19"/>
              </w:rPr>
              <w:t xml:space="preserve">, </w:t>
            </w:r>
            <w:r w:rsidRPr="00591DF4">
              <w:rPr>
                <w:rFonts w:cs="Calibri"/>
                <w:i/>
                <w:sz w:val="19"/>
                <w:szCs w:val="19"/>
              </w:rPr>
              <w:t>Filinia terminalis</w:t>
            </w:r>
            <w:r w:rsidRPr="00591DF4">
              <w:rPr>
                <w:rFonts w:cs="Calibri"/>
                <w:sz w:val="19"/>
                <w:szCs w:val="19"/>
              </w:rPr>
              <w:t xml:space="preserve">, </w:t>
            </w:r>
            <w:r w:rsidRPr="00591DF4">
              <w:rPr>
                <w:rFonts w:cs="Calibri"/>
                <w:b/>
                <w:i/>
                <w:sz w:val="19"/>
                <w:szCs w:val="19"/>
              </w:rPr>
              <w:t>Trichocerca pusilla</w:t>
            </w:r>
            <w:r w:rsidRPr="00591DF4">
              <w:rPr>
                <w:rFonts w:cs="Calibri"/>
                <w:i/>
                <w:sz w:val="19"/>
                <w:szCs w:val="19"/>
              </w:rPr>
              <w:t xml:space="preserve"> </w:t>
            </w:r>
            <w:r w:rsidRPr="00591DF4">
              <w:rPr>
                <w:rFonts w:cs="Calibri"/>
                <w:sz w:val="19"/>
                <w:szCs w:val="19"/>
              </w:rPr>
              <w:t xml:space="preserve">and </w:t>
            </w:r>
            <w:r w:rsidRPr="00591DF4">
              <w:rPr>
                <w:rFonts w:cs="Calibri"/>
                <w:i/>
                <w:sz w:val="19"/>
                <w:szCs w:val="19"/>
              </w:rPr>
              <w:t>Difflugia</w:t>
            </w:r>
            <w:r w:rsidRPr="00591DF4">
              <w:rPr>
                <w:rFonts w:cs="Calibri"/>
                <w:sz w:val="19"/>
                <w:szCs w:val="19"/>
              </w:rPr>
              <w:t xml:space="preserve"> cf. </w:t>
            </w:r>
            <w:r w:rsidRPr="00591DF4">
              <w:rPr>
                <w:rFonts w:cs="Calibri"/>
                <w:i/>
                <w:sz w:val="19"/>
                <w:szCs w:val="19"/>
              </w:rPr>
              <w:t>fallax</w:t>
            </w:r>
            <w:r w:rsidRPr="00591DF4">
              <w:rPr>
                <w:rFonts w:cs="Calibri"/>
                <w:sz w:val="19"/>
                <w:szCs w:val="19"/>
              </w:rPr>
              <w:t>.</w:t>
            </w:r>
          </w:p>
        </w:tc>
        <w:tc>
          <w:tcPr>
            <w:tcW w:w="743" w:type="pct"/>
          </w:tcPr>
          <w:p w14:paraId="3003EF3C" w14:textId="77777777" w:rsidR="001D06D5" w:rsidRPr="00591DF4" w:rsidRDefault="001D06D5" w:rsidP="00C365DC">
            <w:pPr>
              <w:spacing w:line="240" w:lineRule="auto"/>
              <w:contextualSpacing/>
              <w:jc w:val="center"/>
              <w:rPr>
                <w:sz w:val="19"/>
                <w:szCs w:val="19"/>
              </w:rPr>
            </w:pPr>
            <w:r w:rsidRPr="00591DF4">
              <w:rPr>
                <w:sz w:val="19"/>
                <w:szCs w:val="19"/>
              </w:rPr>
              <w:t>44.90%</w:t>
            </w:r>
          </w:p>
          <w:p w14:paraId="21FD9EF3" w14:textId="77777777" w:rsidR="001D06D5" w:rsidRPr="00591DF4" w:rsidRDefault="001D06D5" w:rsidP="00C365DC">
            <w:pPr>
              <w:spacing w:line="240" w:lineRule="auto"/>
              <w:contextualSpacing/>
              <w:rPr>
                <w:rFonts w:cstheme="minorHAnsi"/>
                <w:iCs/>
                <w:sz w:val="19"/>
                <w:szCs w:val="19"/>
                <w:highlight w:val="yellow"/>
              </w:rPr>
            </w:pPr>
            <w:r w:rsidRPr="00591DF4">
              <w:rPr>
                <w:rFonts w:cs="Calibri"/>
                <w:b/>
                <w:sz w:val="19"/>
                <w:szCs w:val="19"/>
              </w:rPr>
              <w:t>indet. glob. ciliate [sm]</w:t>
            </w:r>
            <w:r w:rsidRPr="00591DF4">
              <w:rPr>
                <w:rFonts w:cs="Calibri"/>
                <w:sz w:val="19"/>
                <w:szCs w:val="19"/>
              </w:rPr>
              <w:t xml:space="preserve">, </w:t>
            </w:r>
            <w:r w:rsidRPr="00591DF4">
              <w:rPr>
                <w:rFonts w:cs="Calibri"/>
                <w:i/>
                <w:sz w:val="19"/>
                <w:szCs w:val="19"/>
              </w:rPr>
              <w:t>Hexarthra braziliensis</w:t>
            </w:r>
            <w:r w:rsidRPr="00591DF4">
              <w:rPr>
                <w:rFonts w:cs="Calibri"/>
                <w:sz w:val="19"/>
                <w:szCs w:val="19"/>
              </w:rPr>
              <w:t xml:space="preserve">, </w:t>
            </w:r>
            <w:r w:rsidRPr="00591DF4">
              <w:rPr>
                <w:rFonts w:cs="Calibri"/>
                <w:i/>
                <w:sz w:val="19"/>
                <w:szCs w:val="19"/>
              </w:rPr>
              <w:t>Keratella lenzi</w:t>
            </w:r>
            <w:r w:rsidRPr="00591DF4">
              <w:rPr>
                <w:rFonts w:cs="Calibri"/>
                <w:sz w:val="19"/>
                <w:szCs w:val="19"/>
              </w:rPr>
              <w:t xml:space="preserve">, </w:t>
            </w:r>
            <w:r w:rsidRPr="00591DF4">
              <w:rPr>
                <w:rFonts w:cs="Calibri"/>
                <w:b/>
                <w:i/>
                <w:sz w:val="19"/>
                <w:szCs w:val="19"/>
              </w:rPr>
              <w:t>Keratella australis</w:t>
            </w:r>
            <w:r w:rsidRPr="00591DF4">
              <w:rPr>
                <w:rFonts w:cs="Calibri"/>
                <w:sz w:val="19"/>
                <w:szCs w:val="19"/>
              </w:rPr>
              <w:t xml:space="preserve">, </w:t>
            </w:r>
            <w:r w:rsidRPr="00591DF4">
              <w:rPr>
                <w:rFonts w:cs="Calibri"/>
                <w:i/>
                <w:sz w:val="19"/>
                <w:szCs w:val="19"/>
              </w:rPr>
              <w:t>Keratella</w:t>
            </w:r>
            <w:r w:rsidRPr="00591DF4">
              <w:rPr>
                <w:rFonts w:cs="Calibri"/>
                <w:sz w:val="19"/>
                <w:szCs w:val="19"/>
              </w:rPr>
              <w:t xml:space="preserve"> cf. </w:t>
            </w:r>
            <w:r w:rsidRPr="00591DF4">
              <w:rPr>
                <w:rFonts w:cs="Calibri"/>
                <w:i/>
                <w:sz w:val="19"/>
                <w:szCs w:val="19"/>
              </w:rPr>
              <w:t>americana</w:t>
            </w:r>
            <w:r w:rsidRPr="00591DF4">
              <w:rPr>
                <w:rFonts w:cs="Calibri"/>
                <w:sz w:val="19"/>
                <w:szCs w:val="19"/>
              </w:rPr>
              <w:t xml:space="preserve">, </w:t>
            </w:r>
            <w:r w:rsidRPr="00591DF4">
              <w:rPr>
                <w:rFonts w:cs="Calibri"/>
                <w:i/>
                <w:sz w:val="19"/>
                <w:szCs w:val="19"/>
              </w:rPr>
              <w:t>Brachionus falcatus</w:t>
            </w:r>
            <w:r w:rsidRPr="00591DF4">
              <w:rPr>
                <w:rFonts w:cs="Calibri"/>
                <w:sz w:val="19"/>
                <w:szCs w:val="19"/>
              </w:rPr>
              <w:t xml:space="preserve">, </w:t>
            </w:r>
            <w:r w:rsidRPr="00591DF4">
              <w:rPr>
                <w:rFonts w:cs="Calibri"/>
                <w:i/>
                <w:sz w:val="19"/>
                <w:szCs w:val="19"/>
              </w:rPr>
              <w:t>Difflugia gramen</w:t>
            </w:r>
            <w:r w:rsidRPr="00591DF4">
              <w:rPr>
                <w:rFonts w:cs="Calibri"/>
                <w:sz w:val="19"/>
                <w:szCs w:val="19"/>
              </w:rPr>
              <w:t xml:space="preserve">, </w:t>
            </w:r>
            <w:r w:rsidRPr="00591DF4">
              <w:rPr>
                <w:rFonts w:cs="Calibri"/>
                <w:b/>
                <w:i/>
                <w:sz w:val="19"/>
                <w:szCs w:val="19"/>
              </w:rPr>
              <w:t>Brachionus</w:t>
            </w:r>
            <w:r w:rsidRPr="00591DF4">
              <w:rPr>
                <w:rFonts w:cs="Calibri"/>
                <w:b/>
                <w:sz w:val="19"/>
                <w:szCs w:val="19"/>
              </w:rPr>
              <w:t xml:space="preserve"> [</w:t>
            </w:r>
            <w:r w:rsidRPr="00591DF4">
              <w:rPr>
                <w:rFonts w:cs="Calibri"/>
                <w:b/>
                <w:i/>
                <w:sz w:val="19"/>
                <w:szCs w:val="19"/>
              </w:rPr>
              <w:t>angularis</w:t>
            </w:r>
            <w:r w:rsidRPr="00591DF4">
              <w:rPr>
                <w:rFonts w:cs="Calibri"/>
                <w:b/>
                <w:sz w:val="19"/>
                <w:szCs w:val="19"/>
              </w:rPr>
              <w:t xml:space="preserve">] </w:t>
            </w:r>
            <w:r w:rsidRPr="00591DF4">
              <w:rPr>
                <w:rFonts w:cs="Calibri"/>
                <w:b/>
                <w:i/>
                <w:sz w:val="19"/>
                <w:szCs w:val="19"/>
              </w:rPr>
              <w:t>bidens</w:t>
            </w:r>
            <w:r w:rsidRPr="00591DF4">
              <w:rPr>
                <w:rFonts w:cs="Calibri"/>
                <w:sz w:val="19"/>
                <w:szCs w:val="19"/>
              </w:rPr>
              <w:t xml:space="preserve">, </w:t>
            </w:r>
            <w:r w:rsidRPr="00591DF4">
              <w:rPr>
                <w:rFonts w:cs="Calibri"/>
                <w:i/>
                <w:sz w:val="19"/>
                <w:szCs w:val="19"/>
              </w:rPr>
              <w:t>Filinia terminalis</w:t>
            </w:r>
            <w:r w:rsidRPr="00591DF4">
              <w:rPr>
                <w:rFonts w:cs="Calibri"/>
                <w:sz w:val="19"/>
                <w:szCs w:val="19"/>
              </w:rPr>
              <w:t xml:space="preserve"> and </w:t>
            </w:r>
            <w:r w:rsidRPr="00591DF4">
              <w:rPr>
                <w:rFonts w:cs="Calibri"/>
                <w:b/>
                <w:i/>
                <w:sz w:val="19"/>
                <w:szCs w:val="19"/>
              </w:rPr>
              <w:t>Brachionus calyciflorus amphiceros</w:t>
            </w:r>
            <w:r w:rsidRPr="00591DF4">
              <w:rPr>
                <w:rFonts w:cs="Calibri"/>
                <w:sz w:val="19"/>
                <w:szCs w:val="19"/>
              </w:rPr>
              <w:t>.</w:t>
            </w:r>
          </w:p>
        </w:tc>
        <w:tc>
          <w:tcPr>
            <w:tcW w:w="643" w:type="pct"/>
          </w:tcPr>
          <w:p w14:paraId="19C79510" w14:textId="77777777" w:rsidR="001D06D5" w:rsidRPr="00591DF4" w:rsidRDefault="001D06D5" w:rsidP="00C365DC">
            <w:pPr>
              <w:spacing w:line="240" w:lineRule="auto"/>
              <w:contextualSpacing/>
              <w:jc w:val="center"/>
              <w:rPr>
                <w:sz w:val="19"/>
                <w:szCs w:val="19"/>
              </w:rPr>
            </w:pPr>
            <w:r w:rsidRPr="00591DF4">
              <w:rPr>
                <w:sz w:val="19"/>
                <w:szCs w:val="19"/>
              </w:rPr>
              <w:t>72.54%</w:t>
            </w:r>
          </w:p>
          <w:p w14:paraId="18AE56EA" w14:textId="77777777" w:rsidR="001D06D5" w:rsidRPr="00591DF4" w:rsidRDefault="001D06D5" w:rsidP="00C365DC">
            <w:pPr>
              <w:spacing w:line="240" w:lineRule="auto"/>
              <w:contextualSpacing/>
              <w:rPr>
                <w:rFonts w:cs="Calibri"/>
                <w:sz w:val="19"/>
                <w:szCs w:val="19"/>
              </w:rPr>
            </w:pPr>
            <w:r w:rsidRPr="00591DF4">
              <w:rPr>
                <w:rFonts w:cs="Calibri"/>
                <w:i/>
                <w:sz w:val="19"/>
                <w:szCs w:val="19"/>
              </w:rPr>
              <w:t>Polyarthra</w:t>
            </w:r>
            <w:r w:rsidRPr="00591DF4">
              <w:rPr>
                <w:rFonts w:cs="Calibri"/>
                <w:sz w:val="19"/>
                <w:szCs w:val="19"/>
              </w:rPr>
              <w:t xml:space="preserve"> sp. a [sm], </w:t>
            </w:r>
            <w:r w:rsidRPr="00591DF4">
              <w:rPr>
                <w:rFonts w:cs="Calibri"/>
                <w:i/>
                <w:sz w:val="19"/>
                <w:szCs w:val="19"/>
              </w:rPr>
              <w:t>Keratella lenzi</w:t>
            </w:r>
            <w:r w:rsidRPr="00591DF4">
              <w:rPr>
                <w:rFonts w:cs="Calibri"/>
                <w:sz w:val="19"/>
                <w:szCs w:val="19"/>
              </w:rPr>
              <w:t xml:space="preserve">, </w:t>
            </w:r>
            <w:r w:rsidRPr="00591DF4">
              <w:rPr>
                <w:rFonts w:cs="Calibri"/>
                <w:i/>
                <w:sz w:val="19"/>
                <w:szCs w:val="19"/>
              </w:rPr>
              <w:t>Filinia terminalis</w:t>
            </w:r>
            <w:r w:rsidRPr="00591DF4">
              <w:rPr>
                <w:rFonts w:cs="Calibri"/>
                <w:sz w:val="19"/>
                <w:szCs w:val="19"/>
              </w:rPr>
              <w:t xml:space="preserve">, </w:t>
            </w:r>
            <w:r w:rsidRPr="00591DF4">
              <w:rPr>
                <w:rFonts w:cs="Calibri"/>
                <w:i/>
                <w:sz w:val="19"/>
                <w:szCs w:val="19"/>
              </w:rPr>
              <w:t>Keratella</w:t>
            </w:r>
            <w:r w:rsidRPr="00591DF4">
              <w:rPr>
                <w:rFonts w:cs="Calibri"/>
                <w:sz w:val="19"/>
                <w:szCs w:val="19"/>
              </w:rPr>
              <w:t xml:space="preserve"> cf. </w:t>
            </w:r>
            <w:r w:rsidRPr="00591DF4">
              <w:rPr>
                <w:rFonts w:cs="Calibri"/>
                <w:i/>
                <w:sz w:val="19"/>
                <w:szCs w:val="19"/>
              </w:rPr>
              <w:t>americana</w:t>
            </w:r>
            <w:r w:rsidRPr="00591DF4">
              <w:rPr>
                <w:rFonts w:cs="Calibri"/>
                <w:sz w:val="19"/>
                <w:szCs w:val="19"/>
              </w:rPr>
              <w:t xml:space="preserve">, </w:t>
            </w:r>
            <w:r w:rsidRPr="00591DF4">
              <w:rPr>
                <w:rFonts w:cs="Calibri"/>
                <w:i/>
                <w:sz w:val="19"/>
                <w:szCs w:val="19"/>
              </w:rPr>
              <w:t xml:space="preserve">Hexarthra braziliensis </w:t>
            </w:r>
            <w:r w:rsidRPr="00591DF4">
              <w:rPr>
                <w:rFonts w:cs="Calibri"/>
                <w:sz w:val="19"/>
                <w:szCs w:val="19"/>
              </w:rPr>
              <w:t xml:space="preserve">and </w:t>
            </w:r>
            <w:r w:rsidRPr="00591DF4">
              <w:rPr>
                <w:rFonts w:cs="Calibri"/>
                <w:i/>
                <w:sz w:val="19"/>
                <w:szCs w:val="19"/>
              </w:rPr>
              <w:t>Polyarthra</w:t>
            </w:r>
            <w:r w:rsidRPr="00591DF4">
              <w:rPr>
                <w:rFonts w:cs="Calibri"/>
                <w:sz w:val="19"/>
                <w:szCs w:val="19"/>
              </w:rPr>
              <w:t xml:space="preserve"> sp. b [lg].</w:t>
            </w:r>
          </w:p>
          <w:p w14:paraId="73490926" w14:textId="77777777" w:rsidR="001D06D5" w:rsidRPr="00591DF4" w:rsidRDefault="001D06D5" w:rsidP="00C365DC">
            <w:pPr>
              <w:spacing w:line="240" w:lineRule="auto"/>
              <w:contextualSpacing/>
              <w:rPr>
                <w:rFonts w:cstheme="minorHAnsi"/>
                <w:iCs/>
                <w:sz w:val="19"/>
                <w:szCs w:val="19"/>
                <w:highlight w:val="yellow"/>
              </w:rPr>
            </w:pPr>
          </w:p>
        </w:tc>
        <w:tc>
          <w:tcPr>
            <w:tcW w:w="693" w:type="pct"/>
          </w:tcPr>
          <w:p w14:paraId="53F0F535" w14:textId="77777777" w:rsidR="001D06D5" w:rsidRPr="00591DF4" w:rsidRDefault="001D06D5" w:rsidP="00C365DC">
            <w:pPr>
              <w:spacing w:line="240" w:lineRule="auto"/>
              <w:contextualSpacing/>
              <w:jc w:val="center"/>
              <w:rPr>
                <w:sz w:val="19"/>
                <w:szCs w:val="19"/>
              </w:rPr>
            </w:pPr>
            <w:r w:rsidRPr="00591DF4">
              <w:rPr>
                <w:sz w:val="19"/>
                <w:szCs w:val="19"/>
              </w:rPr>
              <w:t>57.49%</w:t>
            </w:r>
          </w:p>
          <w:p w14:paraId="5DFBDC93" w14:textId="77777777" w:rsidR="001D06D5" w:rsidRPr="00591DF4" w:rsidRDefault="001D06D5" w:rsidP="00C365DC">
            <w:pPr>
              <w:spacing w:line="240" w:lineRule="auto"/>
              <w:contextualSpacing/>
              <w:rPr>
                <w:rFonts w:cstheme="minorHAnsi"/>
                <w:iCs/>
                <w:sz w:val="19"/>
                <w:szCs w:val="19"/>
                <w:highlight w:val="yellow"/>
              </w:rPr>
            </w:pPr>
            <w:r w:rsidRPr="00591DF4">
              <w:rPr>
                <w:rFonts w:cs="Calibri"/>
                <w:i/>
                <w:sz w:val="19"/>
                <w:szCs w:val="19"/>
              </w:rPr>
              <w:t>Keratella lenzi</w:t>
            </w:r>
            <w:r w:rsidRPr="00591DF4">
              <w:rPr>
                <w:rFonts w:cs="Calibri"/>
                <w:sz w:val="19"/>
                <w:szCs w:val="19"/>
              </w:rPr>
              <w:t xml:space="preserve">, </w:t>
            </w:r>
            <w:r w:rsidRPr="00591DF4">
              <w:rPr>
                <w:rFonts w:cs="Calibri"/>
                <w:i/>
                <w:sz w:val="19"/>
                <w:szCs w:val="19"/>
              </w:rPr>
              <w:t>Codonaria</w:t>
            </w:r>
            <w:r w:rsidRPr="00591DF4">
              <w:rPr>
                <w:rFonts w:cs="Calibri"/>
                <w:sz w:val="19"/>
                <w:szCs w:val="19"/>
              </w:rPr>
              <w:t xml:space="preserve"> sp., </w:t>
            </w:r>
            <w:r w:rsidRPr="00591DF4">
              <w:rPr>
                <w:rFonts w:cs="Calibri"/>
                <w:i/>
                <w:sz w:val="19"/>
                <w:szCs w:val="19"/>
              </w:rPr>
              <w:t>Filinia terminalis</w:t>
            </w:r>
            <w:r w:rsidRPr="00591DF4">
              <w:rPr>
                <w:rFonts w:cs="Calibri"/>
                <w:sz w:val="19"/>
                <w:szCs w:val="19"/>
              </w:rPr>
              <w:t xml:space="preserve">, </w:t>
            </w:r>
            <w:r w:rsidRPr="00591DF4">
              <w:rPr>
                <w:rFonts w:cs="Calibri"/>
                <w:i/>
                <w:sz w:val="19"/>
                <w:szCs w:val="19"/>
              </w:rPr>
              <w:t>Keratella</w:t>
            </w:r>
            <w:r w:rsidRPr="00591DF4">
              <w:rPr>
                <w:rFonts w:cs="Calibri"/>
                <w:sz w:val="19"/>
                <w:szCs w:val="19"/>
              </w:rPr>
              <w:t xml:space="preserve"> cf. </w:t>
            </w:r>
            <w:r w:rsidRPr="00591DF4">
              <w:rPr>
                <w:rFonts w:cs="Calibri"/>
                <w:i/>
                <w:sz w:val="19"/>
                <w:szCs w:val="19"/>
              </w:rPr>
              <w:t>americana</w:t>
            </w:r>
            <w:r w:rsidRPr="00591DF4">
              <w:rPr>
                <w:rFonts w:cs="Calibri"/>
                <w:sz w:val="19"/>
                <w:szCs w:val="19"/>
              </w:rPr>
              <w:t xml:space="preserve">, </w:t>
            </w:r>
            <w:r w:rsidRPr="00591DF4">
              <w:rPr>
                <w:rFonts w:cs="Calibri"/>
                <w:i/>
                <w:sz w:val="19"/>
                <w:szCs w:val="19"/>
              </w:rPr>
              <w:t>Trichocerca similis</w:t>
            </w:r>
            <w:r w:rsidRPr="00591DF4">
              <w:rPr>
                <w:rFonts w:cs="Calibri"/>
                <w:sz w:val="19"/>
                <w:szCs w:val="19"/>
              </w:rPr>
              <w:t xml:space="preserve">, </w:t>
            </w:r>
            <w:r w:rsidRPr="00591DF4">
              <w:rPr>
                <w:rFonts w:cs="Calibri"/>
                <w:i/>
                <w:sz w:val="19"/>
                <w:szCs w:val="19"/>
              </w:rPr>
              <w:t>Trichocerca</w:t>
            </w:r>
            <w:r w:rsidRPr="00591DF4">
              <w:rPr>
                <w:rFonts w:cs="Calibri"/>
                <w:sz w:val="19"/>
                <w:szCs w:val="19"/>
              </w:rPr>
              <w:t xml:space="preserve"> sp. c [long toe, med] and </w:t>
            </w:r>
            <w:r w:rsidRPr="00591DF4">
              <w:rPr>
                <w:rFonts w:cs="Calibri"/>
                <w:i/>
                <w:sz w:val="19"/>
                <w:szCs w:val="19"/>
              </w:rPr>
              <w:t>Hexarthra braziliensis</w:t>
            </w:r>
            <w:r w:rsidRPr="00591DF4">
              <w:rPr>
                <w:rFonts w:cs="Calibri"/>
                <w:sz w:val="19"/>
                <w:szCs w:val="19"/>
              </w:rPr>
              <w:t xml:space="preserve">. </w:t>
            </w:r>
          </w:p>
        </w:tc>
        <w:tc>
          <w:tcPr>
            <w:tcW w:w="545" w:type="pct"/>
            <w:shd w:val="clear" w:color="auto" w:fill="auto"/>
          </w:tcPr>
          <w:p w14:paraId="2249E9F1" w14:textId="77777777" w:rsidR="001D06D5" w:rsidRPr="00591DF4" w:rsidRDefault="001D06D5" w:rsidP="00C365DC">
            <w:pPr>
              <w:spacing w:line="240" w:lineRule="auto"/>
              <w:contextualSpacing/>
              <w:jc w:val="center"/>
              <w:rPr>
                <w:sz w:val="19"/>
                <w:szCs w:val="19"/>
              </w:rPr>
            </w:pPr>
            <w:r w:rsidRPr="00591DF4">
              <w:rPr>
                <w:sz w:val="19"/>
                <w:szCs w:val="19"/>
              </w:rPr>
              <w:t>59.79%</w:t>
            </w:r>
          </w:p>
          <w:p w14:paraId="08A083AB" w14:textId="77777777" w:rsidR="001D06D5" w:rsidRPr="00591DF4" w:rsidRDefault="001D06D5" w:rsidP="00C365DC">
            <w:pPr>
              <w:spacing w:line="240" w:lineRule="auto"/>
              <w:contextualSpacing/>
              <w:rPr>
                <w:sz w:val="19"/>
                <w:szCs w:val="19"/>
                <w:highlight w:val="yellow"/>
              </w:rPr>
            </w:pPr>
            <w:r w:rsidRPr="00591DF4">
              <w:rPr>
                <w:rFonts w:cs="Calibri"/>
                <w:i/>
                <w:sz w:val="19"/>
                <w:szCs w:val="19"/>
              </w:rPr>
              <w:t>Keratella lenzi</w:t>
            </w:r>
            <w:r w:rsidRPr="00591DF4">
              <w:rPr>
                <w:rFonts w:cs="Calibri"/>
                <w:sz w:val="19"/>
                <w:szCs w:val="19"/>
              </w:rPr>
              <w:t xml:space="preserve">, </w:t>
            </w:r>
            <w:r w:rsidRPr="00591DF4">
              <w:rPr>
                <w:rFonts w:cs="Calibri"/>
                <w:i/>
                <w:sz w:val="19"/>
                <w:szCs w:val="19"/>
              </w:rPr>
              <w:t>Filinia terminalis</w:t>
            </w:r>
            <w:r w:rsidRPr="00591DF4">
              <w:rPr>
                <w:rFonts w:cs="Calibri"/>
                <w:sz w:val="19"/>
                <w:szCs w:val="19"/>
              </w:rPr>
              <w:t xml:space="preserve">, </w:t>
            </w:r>
            <w:r w:rsidRPr="00591DF4">
              <w:rPr>
                <w:rFonts w:cs="Calibri"/>
                <w:i/>
                <w:sz w:val="19"/>
                <w:szCs w:val="19"/>
              </w:rPr>
              <w:t>Codonaria</w:t>
            </w:r>
            <w:r w:rsidRPr="00591DF4">
              <w:rPr>
                <w:rFonts w:cs="Calibri"/>
                <w:sz w:val="19"/>
                <w:szCs w:val="19"/>
              </w:rPr>
              <w:t xml:space="preserve"> sp., </w:t>
            </w:r>
            <w:r w:rsidRPr="00591DF4">
              <w:rPr>
                <w:rFonts w:cs="Calibri"/>
                <w:i/>
                <w:sz w:val="19"/>
                <w:szCs w:val="19"/>
              </w:rPr>
              <w:t>Keratella</w:t>
            </w:r>
            <w:r w:rsidRPr="00591DF4">
              <w:rPr>
                <w:rFonts w:cs="Calibri"/>
                <w:sz w:val="19"/>
                <w:szCs w:val="19"/>
              </w:rPr>
              <w:t xml:space="preserve"> cf. </w:t>
            </w:r>
            <w:r w:rsidRPr="00591DF4">
              <w:rPr>
                <w:rFonts w:cs="Calibri"/>
                <w:i/>
                <w:sz w:val="19"/>
                <w:szCs w:val="19"/>
              </w:rPr>
              <w:t>americana</w:t>
            </w:r>
            <w:r w:rsidRPr="00591DF4">
              <w:rPr>
                <w:rFonts w:cs="Calibri"/>
                <w:sz w:val="19"/>
                <w:szCs w:val="19"/>
              </w:rPr>
              <w:t xml:space="preserve">, </w:t>
            </w:r>
            <w:r w:rsidRPr="00591DF4">
              <w:rPr>
                <w:rFonts w:cs="Calibri"/>
                <w:i/>
                <w:sz w:val="19"/>
                <w:szCs w:val="19"/>
              </w:rPr>
              <w:t>Trichocerca</w:t>
            </w:r>
            <w:r w:rsidRPr="00591DF4">
              <w:rPr>
                <w:rFonts w:cs="Calibri"/>
                <w:sz w:val="19"/>
                <w:szCs w:val="19"/>
              </w:rPr>
              <w:t xml:space="preserve"> sp. c [long toe, med], </w:t>
            </w:r>
            <w:r w:rsidRPr="00591DF4">
              <w:rPr>
                <w:rFonts w:cs="Calibri"/>
                <w:i/>
                <w:sz w:val="19"/>
                <w:szCs w:val="19"/>
              </w:rPr>
              <w:t xml:space="preserve">Trichocerca similis </w:t>
            </w:r>
            <w:r w:rsidRPr="00591DF4">
              <w:rPr>
                <w:rFonts w:cs="Calibri"/>
                <w:sz w:val="19"/>
                <w:szCs w:val="19"/>
              </w:rPr>
              <w:t xml:space="preserve">and </w:t>
            </w:r>
            <w:r w:rsidRPr="00591DF4">
              <w:rPr>
                <w:rFonts w:cs="Calibri"/>
                <w:i/>
                <w:sz w:val="19"/>
                <w:szCs w:val="19"/>
              </w:rPr>
              <w:t>Difflugia</w:t>
            </w:r>
            <w:r w:rsidRPr="00591DF4">
              <w:rPr>
                <w:rFonts w:cs="Calibri"/>
                <w:sz w:val="19"/>
                <w:szCs w:val="19"/>
              </w:rPr>
              <w:t xml:space="preserve"> cf. </w:t>
            </w:r>
            <w:r w:rsidRPr="00591DF4">
              <w:rPr>
                <w:rFonts w:cs="Calibri"/>
                <w:i/>
                <w:sz w:val="19"/>
                <w:szCs w:val="19"/>
              </w:rPr>
              <w:t>fallax</w:t>
            </w:r>
            <w:r w:rsidRPr="00591DF4">
              <w:rPr>
                <w:rFonts w:cs="Calibri"/>
                <w:sz w:val="19"/>
                <w:szCs w:val="19"/>
              </w:rPr>
              <w:t xml:space="preserve">. </w:t>
            </w:r>
          </w:p>
        </w:tc>
        <w:tc>
          <w:tcPr>
            <w:tcW w:w="495" w:type="pct"/>
            <w:shd w:val="clear" w:color="auto" w:fill="auto"/>
          </w:tcPr>
          <w:p w14:paraId="10E7E4AE" w14:textId="77777777" w:rsidR="001D06D5" w:rsidRPr="00591DF4" w:rsidRDefault="001D06D5" w:rsidP="00C365DC">
            <w:pPr>
              <w:spacing w:line="240" w:lineRule="auto"/>
              <w:contextualSpacing/>
              <w:jc w:val="center"/>
              <w:rPr>
                <w:sz w:val="19"/>
                <w:szCs w:val="19"/>
              </w:rPr>
            </w:pPr>
            <w:r w:rsidRPr="00591DF4">
              <w:rPr>
                <w:sz w:val="19"/>
                <w:szCs w:val="19"/>
              </w:rPr>
              <w:t>35.45%</w:t>
            </w:r>
          </w:p>
          <w:p w14:paraId="2B3CAB79" w14:textId="77777777" w:rsidR="001D06D5" w:rsidRPr="00591DF4" w:rsidRDefault="001D06D5" w:rsidP="00C365DC">
            <w:pPr>
              <w:spacing w:line="240" w:lineRule="auto"/>
              <w:contextualSpacing/>
              <w:rPr>
                <w:rFonts w:cs="Calibri"/>
                <w:sz w:val="19"/>
                <w:szCs w:val="19"/>
              </w:rPr>
            </w:pPr>
            <w:r w:rsidRPr="00591DF4">
              <w:rPr>
                <w:rFonts w:cs="Calibri"/>
                <w:i/>
                <w:sz w:val="19"/>
                <w:szCs w:val="19"/>
              </w:rPr>
              <w:t>Keratella</w:t>
            </w:r>
            <w:r w:rsidRPr="00591DF4">
              <w:rPr>
                <w:rFonts w:cs="Calibri"/>
                <w:sz w:val="19"/>
                <w:szCs w:val="19"/>
              </w:rPr>
              <w:t xml:space="preserve"> cf. </w:t>
            </w:r>
            <w:r w:rsidRPr="00591DF4">
              <w:rPr>
                <w:rFonts w:cs="Calibri"/>
                <w:i/>
                <w:sz w:val="19"/>
                <w:szCs w:val="19"/>
              </w:rPr>
              <w:t>americana</w:t>
            </w:r>
            <w:r w:rsidRPr="00591DF4">
              <w:rPr>
                <w:rFonts w:cs="Calibri"/>
                <w:sz w:val="19"/>
                <w:szCs w:val="19"/>
              </w:rPr>
              <w:t xml:space="preserve">, </w:t>
            </w:r>
          </w:p>
          <w:p w14:paraId="518B06A4" w14:textId="77777777" w:rsidR="001D06D5" w:rsidRPr="00591DF4" w:rsidRDefault="001D06D5" w:rsidP="00C365DC">
            <w:pPr>
              <w:spacing w:line="240" w:lineRule="auto"/>
              <w:contextualSpacing/>
              <w:rPr>
                <w:sz w:val="19"/>
                <w:szCs w:val="19"/>
                <w:highlight w:val="yellow"/>
              </w:rPr>
            </w:pPr>
            <w:r w:rsidRPr="00591DF4">
              <w:rPr>
                <w:rFonts w:cs="Calibri"/>
                <w:i/>
                <w:sz w:val="19"/>
                <w:szCs w:val="19"/>
              </w:rPr>
              <w:t>Trichocerca similis</w:t>
            </w:r>
            <w:r w:rsidRPr="00591DF4">
              <w:rPr>
                <w:rFonts w:cs="Calibri"/>
                <w:sz w:val="19"/>
                <w:szCs w:val="19"/>
              </w:rPr>
              <w:t xml:space="preserve">, </w:t>
            </w:r>
            <w:r w:rsidRPr="00591DF4">
              <w:rPr>
                <w:rFonts w:cs="Calibri"/>
                <w:b/>
                <w:i/>
                <w:sz w:val="19"/>
                <w:szCs w:val="19"/>
              </w:rPr>
              <w:t xml:space="preserve">Synchaeta pectinata </w:t>
            </w:r>
            <w:r w:rsidRPr="00591DF4">
              <w:rPr>
                <w:rFonts w:cs="Calibri"/>
                <w:b/>
                <w:sz w:val="19"/>
                <w:szCs w:val="19"/>
              </w:rPr>
              <w:t xml:space="preserve">[med-lg], </w:t>
            </w:r>
            <w:r w:rsidRPr="00591DF4">
              <w:rPr>
                <w:rFonts w:cs="Calibri"/>
                <w:b/>
                <w:i/>
                <w:sz w:val="19"/>
                <w:szCs w:val="19"/>
              </w:rPr>
              <w:t>Synchaeta</w:t>
            </w:r>
            <w:r w:rsidRPr="00591DF4">
              <w:rPr>
                <w:rFonts w:cs="Calibri"/>
                <w:b/>
                <w:sz w:val="19"/>
                <w:szCs w:val="19"/>
              </w:rPr>
              <w:t xml:space="preserve"> sp. b [sm., cf. oblonga]</w:t>
            </w:r>
            <w:r w:rsidRPr="00591DF4">
              <w:rPr>
                <w:rFonts w:cs="Calibri"/>
                <w:sz w:val="19"/>
                <w:szCs w:val="19"/>
              </w:rPr>
              <w:t xml:space="preserve">, </w:t>
            </w:r>
            <w:r w:rsidRPr="00591DF4">
              <w:rPr>
                <w:rFonts w:cs="Calibri"/>
                <w:i/>
                <w:sz w:val="19"/>
                <w:szCs w:val="19"/>
              </w:rPr>
              <w:t>Codonaria</w:t>
            </w:r>
            <w:r w:rsidRPr="00591DF4">
              <w:rPr>
                <w:rFonts w:cs="Calibri"/>
                <w:sz w:val="19"/>
                <w:szCs w:val="19"/>
              </w:rPr>
              <w:t xml:space="preserve"> sp., </w:t>
            </w:r>
            <w:r w:rsidRPr="00591DF4">
              <w:rPr>
                <w:rFonts w:cs="Calibri"/>
                <w:i/>
                <w:sz w:val="19"/>
                <w:szCs w:val="19"/>
              </w:rPr>
              <w:t xml:space="preserve">Keratella lenzi </w:t>
            </w:r>
            <w:r w:rsidRPr="00591DF4">
              <w:rPr>
                <w:rFonts w:cs="Calibri"/>
                <w:sz w:val="19"/>
                <w:szCs w:val="19"/>
              </w:rPr>
              <w:t xml:space="preserve">and </w:t>
            </w:r>
            <w:r w:rsidRPr="00591DF4">
              <w:rPr>
                <w:rFonts w:cs="Calibri"/>
                <w:b/>
                <w:i/>
                <w:sz w:val="19"/>
                <w:szCs w:val="19"/>
              </w:rPr>
              <w:t xml:space="preserve">Synchaeta </w:t>
            </w:r>
            <w:r w:rsidRPr="00591DF4">
              <w:rPr>
                <w:rFonts w:cs="Calibri"/>
                <w:b/>
                <w:sz w:val="19"/>
                <w:szCs w:val="19"/>
              </w:rPr>
              <w:t>sp. c [tiny]</w:t>
            </w:r>
            <w:r w:rsidRPr="00591DF4">
              <w:rPr>
                <w:rFonts w:cs="Calibri"/>
                <w:sz w:val="19"/>
                <w:szCs w:val="19"/>
              </w:rPr>
              <w:t>.</w:t>
            </w:r>
          </w:p>
        </w:tc>
      </w:tr>
    </w:tbl>
    <w:p w14:paraId="21160CBA" w14:textId="32C4DC7D" w:rsidR="00BE5565" w:rsidRDefault="00BE5565" w:rsidP="007C0F7B">
      <w:pPr>
        <w:sectPr w:rsidR="00BE5565" w:rsidSect="006300EA">
          <w:pgSz w:w="16840" w:h="11900" w:orient="landscape" w:code="9"/>
          <w:pgMar w:top="1440" w:right="1440" w:bottom="1440" w:left="1440" w:header="709" w:footer="709" w:gutter="0"/>
          <w:cols w:space="708"/>
          <w:docGrid w:linePitch="360"/>
        </w:sectPr>
      </w:pPr>
    </w:p>
    <w:p w14:paraId="5AE0222D" w14:textId="01297A2D" w:rsidR="001D06D5" w:rsidRDefault="001D06D5" w:rsidP="001D06D5">
      <w:pPr>
        <w:rPr>
          <w:rFonts w:cstheme="minorHAnsi"/>
        </w:rPr>
      </w:pPr>
      <w:r w:rsidRPr="009B139E">
        <w:lastRenderedPageBreak/>
        <w:t xml:space="preserve">All environmental predictor variables for the microinvertebrate assemblage structure </w:t>
      </w:r>
      <w:r>
        <w:t>below Lock 1</w:t>
      </w:r>
      <w:r w:rsidRPr="009B139E">
        <w:t xml:space="preserve"> were significant</w:t>
      </w:r>
      <w:r>
        <w:t xml:space="preserve"> (Table G7)</w:t>
      </w:r>
      <w:r w:rsidRPr="009B139E">
        <w:t xml:space="preserve">. However, </w:t>
      </w:r>
      <w:r>
        <w:t xml:space="preserve">electrical conductivity </w:t>
      </w:r>
      <w:r w:rsidRPr="009B139E">
        <w:t xml:space="preserve">explained </w:t>
      </w:r>
      <w:r w:rsidR="00E303B9">
        <w:t>most (2</w:t>
      </w:r>
      <w:r>
        <w:t>3.0</w:t>
      </w:r>
      <w:r w:rsidRPr="009B139E">
        <w:t>%</w:t>
      </w:r>
      <w:r>
        <w:t>)</w:t>
      </w:r>
      <w:r w:rsidRPr="009B139E">
        <w:t xml:space="preserve"> of the variation</w:t>
      </w:r>
      <w:r>
        <w:t xml:space="preserve"> (Table G7)</w:t>
      </w:r>
      <w:r w:rsidRPr="009B139E">
        <w:t xml:space="preserve">. </w:t>
      </w:r>
      <w:r>
        <w:t>Electrical conductivity and river flow were</w:t>
      </w:r>
      <w:r w:rsidRPr="009B139E">
        <w:t xml:space="preserve"> the best environmental variable</w:t>
      </w:r>
      <w:r>
        <w:t>s</w:t>
      </w:r>
      <w:r w:rsidRPr="009B139E">
        <w:t xml:space="preserve"> to explain the horizontal separation of the data cloud, while water temperature best explained the vertical separation</w:t>
      </w:r>
      <w:r>
        <w:t xml:space="preserve"> (Figure G</w:t>
      </w:r>
      <w:r w:rsidR="00603C34">
        <w:t>9</w:t>
      </w:r>
      <w:r w:rsidRPr="009B139E">
        <w:t>).</w:t>
      </w:r>
      <w:r w:rsidRPr="003B594F">
        <w:rPr>
          <w:rFonts w:cstheme="minorHAnsi"/>
        </w:rPr>
        <w:t xml:space="preserve"> </w:t>
      </w:r>
    </w:p>
    <w:p w14:paraId="638C042B" w14:textId="77777777" w:rsidR="001D06D5" w:rsidRDefault="001D06D5" w:rsidP="00B46038">
      <w:pPr>
        <w:pStyle w:val="Captions"/>
      </w:pPr>
      <w:r>
        <w:t xml:space="preserve">Table G7. DistLM sequential results indicating which physico-chemical variable significantly contributed most the </w:t>
      </w:r>
      <w:r w:rsidRPr="009B139E">
        <w:t>relationship with the microinvertebrate data cloud for below</w:t>
      </w:r>
      <w:r>
        <w:t xml:space="preserve"> Lock 1</w:t>
      </w:r>
      <w:r w:rsidRPr="009B139E">
        <w:t>. * = groups significantly different.</w:t>
      </w:r>
    </w:p>
    <w:tbl>
      <w:tblPr>
        <w:tblStyle w:val="TableGrid"/>
        <w:tblW w:w="8926" w:type="dxa"/>
        <w:tblLook w:val="04A0" w:firstRow="1" w:lastRow="0" w:firstColumn="1" w:lastColumn="0" w:noHBand="0" w:noVBand="1"/>
      </w:tblPr>
      <w:tblGrid>
        <w:gridCol w:w="2038"/>
        <w:gridCol w:w="1802"/>
        <w:gridCol w:w="1802"/>
        <w:gridCol w:w="1802"/>
        <w:gridCol w:w="1482"/>
      </w:tblGrid>
      <w:tr w:rsidR="001D06D5" w:rsidRPr="00555A65" w14:paraId="0FA8D402" w14:textId="77777777" w:rsidTr="003070FD">
        <w:trPr>
          <w:trHeight w:val="283"/>
        </w:trPr>
        <w:tc>
          <w:tcPr>
            <w:tcW w:w="2038" w:type="dxa"/>
          </w:tcPr>
          <w:p w14:paraId="0D88CE13" w14:textId="77777777" w:rsidR="001D06D5" w:rsidRPr="00555A65" w:rsidRDefault="001D06D5" w:rsidP="00C365DC">
            <w:pPr>
              <w:spacing w:line="240" w:lineRule="auto"/>
              <w:contextualSpacing/>
              <w:rPr>
                <w:rFonts w:cstheme="minorHAnsi"/>
                <w:b/>
                <w:sz w:val="19"/>
                <w:szCs w:val="19"/>
              </w:rPr>
            </w:pPr>
            <w:r w:rsidRPr="00555A65">
              <w:rPr>
                <w:rFonts w:cstheme="minorHAnsi"/>
                <w:b/>
                <w:sz w:val="19"/>
                <w:szCs w:val="19"/>
              </w:rPr>
              <w:t>Variable</w:t>
            </w:r>
          </w:p>
        </w:tc>
        <w:tc>
          <w:tcPr>
            <w:tcW w:w="1802" w:type="dxa"/>
          </w:tcPr>
          <w:p w14:paraId="54566A52" w14:textId="77777777" w:rsidR="001D06D5" w:rsidRPr="00555A65" w:rsidRDefault="001D06D5" w:rsidP="00C365DC">
            <w:pPr>
              <w:spacing w:line="240" w:lineRule="auto"/>
              <w:contextualSpacing/>
              <w:rPr>
                <w:rFonts w:cstheme="minorHAnsi"/>
                <w:b/>
                <w:sz w:val="19"/>
                <w:szCs w:val="19"/>
              </w:rPr>
            </w:pPr>
            <w:r w:rsidRPr="00555A65">
              <w:rPr>
                <w:rFonts w:cstheme="minorHAnsi"/>
                <w:b/>
                <w:sz w:val="19"/>
                <w:szCs w:val="19"/>
              </w:rPr>
              <w:t>Pseudo-F</w:t>
            </w:r>
          </w:p>
        </w:tc>
        <w:tc>
          <w:tcPr>
            <w:tcW w:w="1802" w:type="dxa"/>
          </w:tcPr>
          <w:p w14:paraId="1239A734" w14:textId="77777777" w:rsidR="001D06D5" w:rsidRPr="00555A65" w:rsidRDefault="001D06D5" w:rsidP="00C365DC">
            <w:pPr>
              <w:spacing w:line="240" w:lineRule="auto"/>
              <w:contextualSpacing/>
              <w:rPr>
                <w:rFonts w:cstheme="minorHAnsi"/>
                <w:b/>
                <w:sz w:val="19"/>
                <w:szCs w:val="19"/>
              </w:rPr>
            </w:pPr>
            <w:r w:rsidRPr="00555A65">
              <w:rPr>
                <w:rFonts w:cstheme="minorHAnsi"/>
                <w:b/>
                <w:sz w:val="19"/>
                <w:szCs w:val="19"/>
              </w:rPr>
              <w:t>P</w:t>
            </w:r>
          </w:p>
        </w:tc>
        <w:tc>
          <w:tcPr>
            <w:tcW w:w="1802" w:type="dxa"/>
          </w:tcPr>
          <w:p w14:paraId="48D04072" w14:textId="77777777" w:rsidR="001D06D5" w:rsidRPr="00555A65" w:rsidRDefault="001D06D5" w:rsidP="00C365DC">
            <w:pPr>
              <w:spacing w:line="240" w:lineRule="auto"/>
              <w:contextualSpacing/>
              <w:rPr>
                <w:rFonts w:cstheme="minorHAnsi"/>
                <w:b/>
                <w:sz w:val="19"/>
                <w:szCs w:val="19"/>
              </w:rPr>
            </w:pPr>
            <w:r w:rsidRPr="00555A65">
              <w:rPr>
                <w:rFonts w:cstheme="minorHAnsi"/>
                <w:b/>
                <w:sz w:val="19"/>
                <w:szCs w:val="19"/>
              </w:rPr>
              <w:t>Prop.</w:t>
            </w:r>
          </w:p>
        </w:tc>
        <w:tc>
          <w:tcPr>
            <w:tcW w:w="1482" w:type="dxa"/>
          </w:tcPr>
          <w:p w14:paraId="784524FC" w14:textId="77777777" w:rsidR="001D06D5" w:rsidRPr="00555A65" w:rsidRDefault="001D06D5" w:rsidP="00C365DC">
            <w:pPr>
              <w:spacing w:line="240" w:lineRule="auto"/>
              <w:contextualSpacing/>
              <w:rPr>
                <w:rFonts w:cstheme="minorHAnsi"/>
                <w:b/>
                <w:sz w:val="19"/>
                <w:szCs w:val="19"/>
              </w:rPr>
            </w:pPr>
            <w:r w:rsidRPr="00555A65">
              <w:rPr>
                <w:rFonts w:cstheme="minorHAnsi"/>
                <w:b/>
                <w:sz w:val="19"/>
                <w:szCs w:val="19"/>
              </w:rPr>
              <w:t>Cumul.</w:t>
            </w:r>
          </w:p>
        </w:tc>
      </w:tr>
      <w:tr w:rsidR="001D06D5" w:rsidRPr="00555A65" w14:paraId="25FB3F12" w14:textId="77777777" w:rsidTr="003070FD">
        <w:trPr>
          <w:trHeight w:val="283"/>
        </w:trPr>
        <w:tc>
          <w:tcPr>
            <w:tcW w:w="2038" w:type="dxa"/>
          </w:tcPr>
          <w:p w14:paraId="5AD9F8F6"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Electrical conductivity</w:t>
            </w:r>
          </w:p>
        </w:tc>
        <w:tc>
          <w:tcPr>
            <w:tcW w:w="1802" w:type="dxa"/>
          </w:tcPr>
          <w:p w14:paraId="7730E3F5"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9.4699</w:t>
            </w:r>
          </w:p>
        </w:tc>
        <w:tc>
          <w:tcPr>
            <w:tcW w:w="1802" w:type="dxa"/>
          </w:tcPr>
          <w:p w14:paraId="29A6321B"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0.0001*</w:t>
            </w:r>
          </w:p>
        </w:tc>
        <w:tc>
          <w:tcPr>
            <w:tcW w:w="1802" w:type="dxa"/>
          </w:tcPr>
          <w:p w14:paraId="67DCF246"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0.22986</w:t>
            </w:r>
          </w:p>
        </w:tc>
        <w:tc>
          <w:tcPr>
            <w:tcW w:w="1482" w:type="dxa"/>
          </w:tcPr>
          <w:p w14:paraId="224757AD"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0.22986</w:t>
            </w:r>
          </w:p>
        </w:tc>
      </w:tr>
      <w:tr w:rsidR="001D06D5" w:rsidRPr="00555A65" w14:paraId="01BBCB14" w14:textId="77777777" w:rsidTr="003070FD">
        <w:trPr>
          <w:trHeight w:val="283"/>
        </w:trPr>
        <w:tc>
          <w:tcPr>
            <w:tcW w:w="2038" w:type="dxa"/>
          </w:tcPr>
          <w:p w14:paraId="32AF6A5C"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pH</w:t>
            </w:r>
          </w:p>
        </w:tc>
        <w:tc>
          <w:tcPr>
            <w:tcW w:w="1802" w:type="dxa"/>
          </w:tcPr>
          <w:p w14:paraId="0E901694"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4.43</w:t>
            </w:r>
          </w:p>
        </w:tc>
        <w:tc>
          <w:tcPr>
            <w:tcW w:w="1802" w:type="dxa"/>
          </w:tcPr>
          <w:p w14:paraId="48BEE65C"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0.0002*</w:t>
            </w:r>
          </w:p>
        </w:tc>
        <w:tc>
          <w:tcPr>
            <w:tcW w:w="1802" w:type="dxa"/>
          </w:tcPr>
          <w:p w14:paraId="5E9832E8"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0.096154</w:t>
            </w:r>
          </w:p>
        </w:tc>
        <w:tc>
          <w:tcPr>
            <w:tcW w:w="1482" w:type="dxa"/>
          </w:tcPr>
          <w:p w14:paraId="0FE5E62B"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0.32601</w:t>
            </w:r>
          </w:p>
        </w:tc>
      </w:tr>
      <w:tr w:rsidR="001D06D5" w:rsidRPr="00555A65" w14:paraId="1F22F51B" w14:textId="77777777" w:rsidTr="003070FD">
        <w:trPr>
          <w:trHeight w:val="283"/>
        </w:trPr>
        <w:tc>
          <w:tcPr>
            <w:tcW w:w="2038" w:type="dxa"/>
          </w:tcPr>
          <w:p w14:paraId="1C6A6E5F"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Water temperature</w:t>
            </w:r>
          </w:p>
        </w:tc>
        <w:tc>
          <w:tcPr>
            <w:tcW w:w="1802" w:type="dxa"/>
          </w:tcPr>
          <w:p w14:paraId="3A18FD85"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4.4247</w:t>
            </w:r>
          </w:p>
        </w:tc>
        <w:tc>
          <w:tcPr>
            <w:tcW w:w="1802" w:type="dxa"/>
          </w:tcPr>
          <w:p w14:paraId="6BC29AF9"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0.0005*</w:t>
            </w:r>
          </w:p>
        </w:tc>
        <w:tc>
          <w:tcPr>
            <w:tcW w:w="1802" w:type="dxa"/>
          </w:tcPr>
          <w:p w14:paraId="23C0437C"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0.085574</w:t>
            </w:r>
          </w:p>
        </w:tc>
        <w:tc>
          <w:tcPr>
            <w:tcW w:w="1482" w:type="dxa"/>
          </w:tcPr>
          <w:p w14:paraId="21E9BDCC"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0.41159</w:t>
            </w:r>
          </w:p>
        </w:tc>
      </w:tr>
      <w:tr w:rsidR="001D06D5" w:rsidRPr="00555A65" w14:paraId="5657EC39" w14:textId="77777777" w:rsidTr="003070FD">
        <w:trPr>
          <w:trHeight w:val="283"/>
        </w:trPr>
        <w:tc>
          <w:tcPr>
            <w:tcW w:w="2038" w:type="dxa"/>
          </w:tcPr>
          <w:p w14:paraId="1B21D6EA"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Turbidity</w:t>
            </w:r>
          </w:p>
        </w:tc>
        <w:tc>
          <w:tcPr>
            <w:tcW w:w="1802" w:type="dxa"/>
          </w:tcPr>
          <w:p w14:paraId="7C3E9B22"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4.2126</w:t>
            </w:r>
          </w:p>
        </w:tc>
        <w:tc>
          <w:tcPr>
            <w:tcW w:w="1802" w:type="dxa"/>
          </w:tcPr>
          <w:p w14:paraId="08D2562D"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0.0003*</w:t>
            </w:r>
          </w:p>
        </w:tc>
        <w:tc>
          <w:tcPr>
            <w:tcW w:w="1802" w:type="dxa"/>
          </w:tcPr>
          <w:p w14:paraId="0840A257"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0.072807</w:t>
            </w:r>
          </w:p>
        </w:tc>
        <w:tc>
          <w:tcPr>
            <w:tcW w:w="1482" w:type="dxa"/>
          </w:tcPr>
          <w:p w14:paraId="32A09A9B"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0.48440</w:t>
            </w:r>
          </w:p>
        </w:tc>
      </w:tr>
      <w:tr w:rsidR="001D06D5" w:rsidRPr="00555A65" w14:paraId="3F1CCC84" w14:textId="77777777" w:rsidTr="003070FD">
        <w:trPr>
          <w:trHeight w:val="283"/>
        </w:trPr>
        <w:tc>
          <w:tcPr>
            <w:tcW w:w="2038" w:type="dxa"/>
          </w:tcPr>
          <w:p w14:paraId="060E1E3A"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Dissolved oxygen</w:t>
            </w:r>
          </w:p>
        </w:tc>
        <w:tc>
          <w:tcPr>
            <w:tcW w:w="1802" w:type="dxa"/>
          </w:tcPr>
          <w:p w14:paraId="66AA508A"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2.1282</w:t>
            </w:r>
          </w:p>
        </w:tc>
        <w:tc>
          <w:tcPr>
            <w:tcW w:w="1802" w:type="dxa"/>
          </w:tcPr>
          <w:p w14:paraId="2EE0A430"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0.0311*</w:t>
            </w:r>
          </w:p>
        </w:tc>
        <w:tc>
          <w:tcPr>
            <w:tcW w:w="1802" w:type="dxa"/>
          </w:tcPr>
          <w:p w14:paraId="7B07880C"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0.066239</w:t>
            </w:r>
          </w:p>
        </w:tc>
        <w:tc>
          <w:tcPr>
            <w:tcW w:w="1482" w:type="dxa"/>
          </w:tcPr>
          <w:p w14:paraId="6AFB208E"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0.55063</w:t>
            </w:r>
          </w:p>
        </w:tc>
      </w:tr>
      <w:tr w:rsidR="001D06D5" w:rsidRPr="00555A65" w14:paraId="7CD0D5A7" w14:textId="77777777" w:rsidTr="003070FD">
        <w:trPr>
          <w:trHeight w:val="283"/>
        </w:trPr>
        <w:tc>
          <w:tcPr>
            <w:tcW w:w="2038" w:type="dxa"/>
          </w:tcPr>
          <w:p w14:paraId="4EDEB134" w14:textId="6F25CC1A" w:rsidR="001D06D5" w:rsidRPr="00555A65" w:rsidRDefault="00F56AD8" w:rsidP="00C365DC">
            <w:pPr>
              <w:spacing w:line="240" w:lineRule="auto"/>
              <w:contextualSpacing/>
              <w:rPr>
                <w:rFonts w:cstheme="minorHAnsi"/>
                <w:sz w:val="19"/>
                <w:szCs w:val="19"/>
              </w:rPr>
            </w:pPr>
            <w:r w:rsidRPr="00555A65">
              <w:rPr>
                <w:rFonts w:cstheme="minorHAnsi"/>
                <w:sz w:val="19"/>
                <w:szCs w:val="19"/>
              </w:rPr>
              <w:t>Mean DS</w:t>
            </w:r>
            <w:r w:rsidR="001D06D5" w:rsidRPr="00555A65">
              <w:rPr>
                <w:rFonts w:cstheme="minorHAnsi"/>
                <w:sz w:val="19"/>
                <w:szCs w:val="19"/>
              </w:rPr>
              <w:t xml:space="preserve"> Lock1 flow</w:t>
            </w:r>
          </w:p>
        </w:tc>
        <w:tc>
          <w:tcPr>
            <w:tcW w:w="1802" w:type="dxa"/>
          </w:tcPr>
          <w:p w14:paraId="5040FC25"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4.1981</w:t>
            </w:r>
          </w:p>
        </w:tc>
        <w:tc>
          <w:tcPr>
            <w:tcW w:w="1802" w:type="dxa"/>
          </w:tcPr>
          <w:p w14:paraId="6815F2A1"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0.0001*</w:t>
            </w:r>
          </w:p>
        </w:tc>
        <w:tc>
          <w:tcPr>
            <w:tcW w:w="1802" w:type="dxa"/>
          </w:tcPr>
          <w:p w14:paraId="2D09E680"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0.06461</w:t>
            </w:r>
          </w:p>
        </w:tc>
        <w:tc>
          <w:tcPr>
            <w:tcW w:w="1482" w:type="dxa"/>
          </w:tcPr>
          <w:p w14:paraId="6FDC986F" w14:textId="77777777" w:rsidR="001D06D5" w:rsidRPr="00555A65" w:rsidRDefault="001D06D5" w:rsidP="00C365DC">
            <w:pPr>
              <w:spacing w:line="240" w:lineRule="auto"/>
              <w:contextualSpacing/>
              <w:rPr>
                <w:rFonts w:cstheme="minorHAnsi"/>
                <w:sz w:val="19"/>
                <w:szCs w:val="19"/>
              </w:rPr>
            </w:pPr>
            <w:r w:rsidRPr="00555A65">
              <w:rPr>
                <w:rFonts w:cstheme="minorHAnsi"/>
                <w:sz w:val="19"/>
                <w:szCs w:val="19"/>
              </w:rPr>
              <w:t>0.61524</w:t>
            </w:r>
          </w:p>
        </w:tc>
      </w:tr>
    </w:tbl>
    <w:p w14:paraId="110E87BF" w14:textId="33250252" w:rsidR="00C04BD6" w:rsidRDefault="00C04BD6">
      <w:pPr>
        <w:spacing w:before="0" w:after="200" w:line="276" w:lineRule="auto"/>
        <w:jc w:val="left"/>
        <w:rPr>
          <w:rFonts w:cs="Tahoma"/>
          <w:sz w:val="20"/>
        </w:rPr>
      </w:pPr>
    </w:p>
    <w:p w14:paraId="686F4EC8" w14:textId="54EBAFCF" w:rsidR="001D06D5" w:rsidRPr="00AC5CE1" w:rsidRDefault="00D31BF6" w:rsidP="001D06D5">
      <w:pPr>
        <w:jc w:val="center"/>
        <w:rPr>
          <w:b/>
          <w:sz w:val="20"/>
          <w:highlight w:val="yellow"/>
        </w:rPr>
      </w:pPr>
      <w:r w:rsidRPr="00D31BF6">
        <w:rPr>
          <w:noProof/>
          <w:lang w:eastAsia="en-AU"/>
        </w:rPr>
        <w:drawing>
          <wp:inline distT="0" distB="0" distL="0" distR="0" wp14:anchorId="7AB4F3AF" wp14:editId="26DACE31">
            <wp:extent cx="4809600" cy="4023544"/>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4809600" cy="4023544"/>
                    </a:xfrm>
                    <a:prstGeom prst="rect">
                      <a:avLst/>
                    </a:prstGeom>
                    <a:noFill/>
                    <a:ln>
                      <a:noFill/>
                    </a:ln>
                  </pic:spPr>
                </pic:pic>
              </a:graphicData>
            </a:graphic>
          </wp:inline>
        </w:drawing>
      </w:r>
      <w:r w:rsidRPr="00D31BF6">
        <w:rPr>
          <w:highlight w:val="yellow"/>
        </w:rPr>
        <w:t xml:space="preserve"> </w:t>
      </w:r>
    </w:p>
    <w:p w14:paraId="40C9F85B" w14:textId="2B63B09C" w:rsidR="00D82F2B" w:rsidRPr="00D82F2B" w:rsidRDefault="001D06D5" w:rsidP="00B46038">
      <w:pPr>
        <w:pStyle w:val="Captions"/>
        <w:rPr>
          <w:i/>
          <w:color w:val="1F497D" w:themeColor="text2"/>
          <w:sz w:val="24"/>
          <w:szCs w:val="24"/>
        </w:rPr>
      </w:pPr>
      <w:r w:rsidRPr="007A613E">
        <w:t>Figure G</w:t>
      </w:r>
      <w:r w:rsidR="00603C34">
        <w:t>9</w:t>
      </w:r>
      <w:r w:rsidRPr="007A613E">
        <w:t>. dbRDA ordination of the fitted model of microinvertebrate assemblage data from below Lock 1 (based on Bray-Curtis measure of log transformed data) versus the predictor variables. The vector overlay indicates multiple partial correlations (correlation coefficient &gt; 0.2) between the predictor variables and dbRDA axes 1 and 2.</w:t>
      </w:r>
    </w:p>
    <w:p w14:paraId="71EEEBD8" w14:textId="30D095E6" w:rsidR="005905AF" w:rsidRPr="00146043" w:rsidRDefault="005905AF" w:rsidP="005905AF">
      <w:pPr>
        <w:rPr>
          <w:b/>
          <w:color w:val="1F497D" w:themeColor="text2"/>
          <w:sz w:val="26"/>
          <w:szCs w:val="26"/>
        </w:rPr>
      </w:pPr>
      <w:r w:rsidRPr="00146043">
        <w:rPr>
          <w:b/>
          <w:color w:val="1F497D" w:themeColor="text2"/>
          <w:sz w:val="26"/>
          <w:szCs w:val="26"/>
        </w:rPr>
        <w:lastRenderedPageBreak/>
        <w:t>Qualitative (</w:t>
      </w:r>
      <w:r w:rsidR="00BC0BA6" w:rsidRPr="00146043">
        <w:rPr>
          <w:b/>
          <w:color w:val="1F497D" w:themeColor="text2"/>
          <w:sz w:val="26"/>
          <w:szCs w:val="26"/>
        </w:rPr>
        <w:t>n</w:t>
      </w:r>
      <w:r w:rsidRPr="00146043">
        <w:rPr>
          <w:b/>
          <w:color w:val="1F497D" w:themeColor="text2"/>
          <w:sz w:val="26"/>
          <w:szCs w:val="26"/>
        </w:rPr>
        <w:t>et tow) vs. quantitative sam</w:t>
      </w:r>
      <w:r w:rsidR="00BC0BA6" w:rsidRPr="00146043">
        <w:rPr>
          <w:b/>
          <w:color w:val="1F497D" w:themeColor="text2"/>
          <w:sz w:val="26"/>
          <w:szCs w:val="26"/>
        </w:rPr>
        <w:t>p</w:t>
      </w:r>
      <w:r w:rsidRPr="00146043">
        <w:rPr>
          <w:b/>
          <w:color w:val="1F497D" w:themeColor="text2"/>
          <w:sz w:val="26"/>
          <w:szCs w:val="26"/>
        </w:rPr>
        <w:t>ling (Haney trap)</w:t>
      </w:r>
    </w:p>
    <w:p w14:paraId="1F914AF8" w14:textId="77777777" w:rsidR="0082076A" w:rsidRDefault="005905AF" w:rsidP="00BC03D9">
      <w:r>
        <w:t xml:space="preserve">In view of the relatively small volume represented by 9 L Haney traps, a concurrent 37 µm-mesh net tow was taken on each sampling date to determine if the larger volume collected would sample more ‘rare’ species, and therefore provide higher </w:t>
      </w:r>
      <w:r w:rsidR="00E07DF1">
        <w:t>taxa</w:t>
      </w:r>
      <w:r>
        <w:t xml:space="preserve"> richness estimates. </w:t>
      </w:r>
      <w:r w:rsidR="00E07DF1">
        <w:t>Taxa</w:t>
      </w:r>
      <w:r>
        <w:t xml:space="preserve"> richness from the first and last sampling events are shown in Figure G</w:t>
      </w:r>
      <w:r w:rsidR="00603C34">
        <w:t>10</w:t>
      </w:r>
      <w:r>
        <w:t xml:space="preserve">, as an example only. </w:t>
      </w:r>
    </w:p>
    <w:p w14:paraId="50317262" w14:textId="61384A23" w:rsidR="00301825" w:rsidRDefault="0082076A" w:rsidP="00BC03D9">
      <w:r w:rsidRPr="004D6365">
        <w:t xml:space="preserve">Higher diversities of microinvertebrate taxa were expected for </w:t>
      </w:r>
      <w:r w:rsidR="00070899" w:rsidRPr="004D6365">
        <w:t xml:space="preserve">net </w:t>
      </w:r>
      <w:r w:rsidRPr="004D6365">
        <w:t>tow samples</w:t>
      </w:r>
      <w:r w:rsidR="004D6365">
        <w:t xml:space="preserve"> compared to trap samples,</w:t>
      </w:r>
      <w:r w:rsidRPr="004D6365">
        <w:t xml:space="preserve"> because of a larger volume that was sampled</w:t>
      </w:r>
      <w:r w:rsidR="004D6365">
        <w:t xml:space="preserve"> with the tows</w:t>
      </w:r>
      <w:r w:rsidRPr="004D6365">
        <w:t xml:space="preserve">. </w:t>
      </w:r>
      <w:r w:rsidR="00070899" w:rsidRPr="004D6365">
        <w:t>They</w:t>
      </w:r>
      <w:r w:rsidR="00BC03D9" w:rsidRPr="004D6365">
        <w:t xml:space="preserve"> consistently collected more species at every site during the early October trip (Figure G10)</w:t>
      </w:r>
      <w:r w:rsidR="004D6365">
        <w:t>. However,</w:t>
      </w:r>
      <w:r w:rsidR="00BC03D9" w:rsidRPr="004D6365">
        <w:t xml:space="preserve"> </w:t>
      </w:r>
      <w:r w:rsidR="004D6365">
        <w:t>d</w:t>
      </w:r>
      <w:r w:rsidR="00BC03D9" w:rsidRPr="004D6365">
        <w:t xml:space="preserve">uring the late January trip, </w:t>
      </w:r>
      <w:r w:rsidR="004D6365">
        <w:t>tra</w:t>
      </w:r>
      <w:r w:rsidR="00BC03D9" w:rsidRPr="004D6365">
        <w:t>ps consistently collected more species.</w:t>
      </w:r>
      <w:r w:rsidR="004D6365">
        <w:t xml:space="preserve"> </w:t>
      </w:r>
      <w:r w:rsidR="00070899" w:rsidRPr="004D6365">
        <w:t>A possible explanation for this is turbidity, which was high in October and</w:t>
      </w:r>
      <w:r w:rsidR="00301825" w:rsidRPr="004D6365">
        <w:t xml:space="preserve"> low in January</w:t>
      </w:r>
      <w:r w:rsidR="00B93815">
        <w:t xml:space="preserve"> (Figure G11)</w:t>
      </w:r>
      <w:r w:rsidR="00301825" w:rsidRPr="004D6365">
        <w:t xml:space="preserve">, and </w:t>
      </w:r>
      <w:r w:rsidR="00070899" w:rsidRPr="004D6365">
        <w:t xml:space="preserve">the </w:t>
      </w:r>
      <w:r w:rsidR="00301825" w:rsidRPr="004D6365">
        <w:t>known vertical migration of the microinvert</w:t>
      </w:r>
      <w:r w:rsidR="004D6365" w:rsidRPr="004D6365">
        <w:t>ebrate</w:t>
      </w:r>
      <w:r w:rsidR="00301825" w:rsidRPr="004D6365">
        <w:t xml:space="preserve"> assemblage</w:t>
      </w:r>
      <w:r w:rsidR="00070899" w:rsidRPr="004D6365">
        <w:t xml:space="preserve">. </w:t>
      </w:r>
      <w:r w:rsidR="004D6365" w:rsidRPr="004D6365">
        <w:t>To avoid predation, microinvertebrates may have occurred deeper in the water column during clearer conditions in January, relative to October. Surface sampling with the net tow during January likely underestimated diversity, while the trap sampling</w:t>
      </w:r>
      <w:r w:rsidR="00301825" w:rsidRPr="004D6365">
        <w:t xml:space="preserve"> aggregated </w:t>
      </w:r>
      <w:r w:rsidR="004D6365">
        <w:t xml:space="preserve">both </w:t>
      </w:r>
      <w:r w:rsidR="00301825" w:rsidRPr="004D6365">
        <w:t>surficial and deeper assemblages.</w:t>
      </w:r>
    </w:p>
    <w:p w14:paraId="30EC739F" w14:textId="5618355D" w:rsidR="005905AF" w:rsidRDefault="0017382D" w:rsidP="009A197C">
      <w:pPr>
        <w:jc w:val="center"/>
      </w:pPr>
      <w:r w:rsidRPr="0017382D">
        <w:rPr>
          <w:noProof/>
          <w:lang w:eastAsia="en-AU"/>
        </w:rPr>
        <w:drawing>
          <wp:inline distT="0" distB="0" distL="0" distR="0" wp14:anchorId="4F5717D6" wp14:editId="28107C24">
            <wp:extent cx="4282454" cy="3124200"/>
            <wp:effectExtent l="0" t="0" r="381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6" cstate="email">
                      <a:extLst>
                        <a:ext uri="{28A0092B-C50C-407E-A947-70E740481C1C}">
                          <a14:useLocalDpi xmlns:a14="http://schemas.microsoft.com/office/drawing/2010/main"/>
                        </a:ext>
                      </a:extLst>
                    </a:blip>
                    <a:srcRect t="3533" r="3067"/>
                    <a:stretch/>
                  </pic:blipFill>
                  <pic:spPr bwMode="auto">
                    <a:xfrm>
                      <a:off x="0" y="0"/>
                      <a:ext cx="4295694" cy="3133859"/>
                    </a:xfrm>
                    <a:prstGeom prst="rect">
                      <a:avLst/>
                    </a:prstGeom>
                    <a:noFill/>
                    <a:ln>
                      <a:noFill/>
                    </a:ln>
                    <a:extLst>
                      <a:ext uri="{53640926-AAD7-44D8-BBD7-CCE9431645EC}">
                        <a14:shadowObscured xmlns:a14="http://schemas.microsoft.com/office/drawing/2010/main"/>
                      </a:ext>
                    </a:extLst>
                  </pic:spPr>
                </pic:pic>
              </a:graphicData>
            </a:graphic>
          </wp:inline>
        </w:drawing>
      </w:r>
      <w:r w:rsidRPr="0017382D">
        <w:t xml:space="preserve"> </w:t>
      </w:r>
    </w:p>
    <w:p w14:paraId="4256C264" w14:textId="21CB6708" w:rsidR="005905AF" w:rsidRDefault="005905AF" w:rsidP="00B46038">
      <w:pPr>
        <w:pStyle w:val="Captions"/>
      </w:pPr>
      <w:r w:rsidRPr="005905AF">
        <w:t>Figure G</w:t>
      </w:r>
      <w:r w:rsidR="00603C34">
        <w:t>10</w:t>
      </w:r>
      <w:r w:rsidRPr="005905AF">
        <w:t xml:space="preserve">. </w:t>
      </w:r>
      <w:r w:rsidR="00D77421">
        <w:t>M</w:t>
      </w:r>
      <w:r w:rsidR="00C23831">
        <w:t>ean taxa</w:t>
      </w:r>
      <w:r w:rsidRPr="005905AF">
        <w:t xml:space="preserve"> richness </w:t>
      </w:r>
      <w:r w:rsidR="00D77421">
        <w:t xml:space="preserve">(± S.E.) </w:t>
      </w:r>
      <w:r w:rsidRPr="005905AF">
        <w:t xml:space="preserve">of net tows vs </w:t>
      </w:r>
      <w:r w:rsidR="00C23831">
        <w:t xml:space="preserve">Haney </w:t>
      </w:r>
      <w:r w:rsidRPr="005905AF">
        <w:t>trap volumes from</w:t>
      </w:r>
      <w:r w:rsidR="00F56AD8">
        <w:t xml:space="preserve"> sites below</w:t>
      </w:r>
      <w:r w:rsidRPr="005905AF">
        <w:t xml:space="preserve"> Lock 6 </w:t>
      </w:r>
      <w:r w:rsidR="00C23831">
        <w:t>and Lock 1 on the first trip (6</w:t>
      </w:r>
      <w:r w:rsidR="002233AF">
        <w:t>–</w:t>
      </w:r>
      <w:r w:rsidRPr="005905AF">
        <w:t>7</w:t>
      </w:r>
      <w:r w:rsidR="00C23831">
        <w:t xml:space="preserve"> October 20</w:t>
      </w:r>
      <w:r w:rsidRPr="005905AF">
        <w:t>15) and last trip (20</w:t>
      </w:r>
      <w:r w:rsidR="002233AF">
        <w:t>–</w:t>
      </w:r>
      <w:r w:rsidRPr="005905AF">
        <w:t>21 Jan</w:t>
      </w:r>
      <w:r w:rsidR="00C23831">
        <w:t>uary 20</w:t>
      </w:r>
      <w:r w:rsidRPr="005905AF">
        <w:t>16).</w:t>
      </w:r>
    </w:p>
    <w:p w14:paraId="7DEF29BF" w14:textId="3EA63445" w:rsidR="004D6365" w:rsidRDefault="0017382D" w:rsidP="00D77421">
      <w:pPr>
        <w:jc w:val="center"/>
        <w:rPr>
          <w:b/>
          <w:color w:val="1F497D" w:themeColor="text2"/>
          <w:sz w:val="26"/>
          <w:szCs w:val="26"/>
        </w:rPr>
      </w:pPr>
      <w:r w:rsidRPr="0017382D">
        <w:rPr>
          <w:noProof/>
          <w:lang w:eastAsia="en-AU"/>
        </w:rPr>
        <w:lastRenderedPageBreak/>
        <w:drawing>
          <wp:inline distT="0" distB="0" distL="0" distR="0" wp14:anchorId="099E0593" wp14:editId="1491609D">
            <wp:extent cx="5123773" cy="2803585"/>
            <wp:effectExtent l="0" t="0" r="127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7" cstate="email">
                      <a:extLst>
                        <a:ext uri="{28A0092B-C50C-407E-A947-70E740481C1C}">
                          <a14:useLocalDpi xmlns:a14="http://schemas.microsoft.com/office/drawing/2010/main"/>
                        </a:ext>
                      </a:extLst>
                    </a:blip>
                    <a:srcRect t="5525" r="3418" b="4695"/>
                    <a:stretch/>
                  </pic:blipFill>
                  <pic:spPr bwMode="auto">
                    <a:xfrm>
                      <a:off x="0" y="0"/>
                      <a:ext cx="5124091" cy="2803759"/>
                    </a:xfrm>
                    <a:prstGeom prst="rect">
                      <a:avLst/>
                    </a:prstGeom>
                    <a:noFill/>
                    <a:ln>
                      <a:noFill/>
                    </a:ln>
                    <a:extLst>
                      <a:ext uri="{53640926-AAD7-44D8-BBD7-CCE9431645EC}">
                        <a14:shadowObscured xmlns:a14="http://schemas.microsoft.com/office/drawing/2010/main"/>
                      </a:ext>
                    </a:extLst>
                  </pic:spPr>
                </pic:pic>
              </a:graphicData>
            </a:graphic>
          </wp:inline>
        </w:drawing>
      </w:r>
      <w:r w:rsidRPr="0017382D">
        <w:t xml:space="preserve"> </w:t>
      </w:r>
    </w:p>
    <w:p w14:paraId="1A4D5919" w14:textId="133C6850" w:rsidR="00EF74BD" w:rsidRDefault="00D77421" w:rsidP="00B46038">
      <w:pPr>
        <w:pStyle w:val="Captions"/>
      </w:pPr>
      <w:r>
        <w:t>Figure G11. Mean turbidity (± S.E.)</w:t>
      </w:r>
      <w:r w:rsidR="002233AF">
        <w:t xml:space="preserve"> at sites below Lock 6 (blue symbols) and Lock 1 (red symbols) from October 2015 to January 2016.</w:t>
      </w:r>
    </w:p>
    <w:p w14:paraId="2633BD14" w14:textId="77777777" w:rsidR="00C04BD6" w:rsidRDefault="00C04BD6" w:rsidP="00D17DE6">
      <w:pPr>
        <w:rPr>
          <w:b/>
          <w:color w:val="1F497D" w:themeColor="text2"/>
          <w:sz w:val="26"/>
          <w:szCs w:val="26"/>
        </w:rPr>
      </w:pPr>
    </w:p>
    <w:p w14:paraId="7C5C8C8F" w14:textId="77777777" w:rsidR="00C04BD6" w:rsidRDefault="00C04BD6">
      <w:pPr>
        <w:spacing w:before="0" w:after="200" w:line="276" w:lineRule="auto"/>
        <w:jc w:val="left"/>
        <w:rPr>
          <w:b/>
          <w:color w:val="1F497D" w:themeColor="text2"/>
          <w:sz w:val="26"/>
          <w:szCs w:val="26"/>
        </w:rPr>
      </w:pPr>
      <w:r>
        <w:rPr>
          <w:b/>
          <w:color w:val="1F497D" w:themeColor="text2"/>
          <w:sz w:val="26"/>
          <w:szCs w:val="26"/>
        </w:rPr>
        <w:br w:type="page"/>
      </w:r>
    </w:p>
    <w:p w14:paraId="627DC8C5" w14:textId="6BCD0255" w:rsidR="001C6CF0" w:rsidRPr="00146043" w:rsidRDefault="001C6CF0" w:rsidP="00D17DE6">
      <w:pPr>
        <w:rPr>
          <w:b/>
          <w:color w:val="1F497D" w:themeColor="text2"/>
          <w:sz w:val="26"/>
          <w:szCs w:val="26"/>
        </w:rPr>
      </w:pPr>
      <w:r w:rsidRPr="00146043">
        <w:rPr>
          <w:b/>
          <w:color w:val="1F497D" w:themeColor="text2"/>
          <w:sz w:val="26"/>
          <w:szCs w:val="26"/>
        </w:rPr>
        <w:lastRenderedPageBreak/>
        <w:t>Larval gut-content</w:t>
      </w:r>
    </w:p>
    <w:p w14:paraId="29D3713F" w14:textId="48C166E5" w:rsidR="003D371F" w:rsidRPr="00B96AA9" w:rsidRDefault="003D371F" w:rsidP="003D371F">
      <w:pPr>
        <w:rPr>
          <w:highlight w:val="yellow"/>
        </w:rPr>
      </w:pPr>
      <w:r w:rsidRPr="00C01F06">
        <w:t xml:space="preserve">This component of Category 3 Microinvertebrates aimed to determine if Commonwealth environmental water contributed to the timing of microinvertebrate productivity and presence of key species in relation to diet of golden perch larvae. Due to low sample sizes of golden perch </w:t>
      </w:r>
      <w:r>
        <w:t xml:space="preserve">post-larvae </w:t>
      </w:r>
      <w:r w:rsidRPr="00C01F06">
        <w:t>(</w:t>
      </w:r>
      <w:r w:rsidRPr="00C01F06">
        <w:rPr>
          <w:i/>
        </w:rPr>
        <w:t>n</w:t>
      </w:r>
      <w:r w:rsidRPr="00C01F06">
        <w:t xml:space="preserve"> = </w:t>
      </w:r>
      <w:r>
        <w:t>1</w:t>
      </w:r>
      <w:r w:rsidRPr="00C01F06">
        <w:t>), larvae of other large-bodied species were included in the gut-content analysis. Gut contents of golden perch (</w:t>
      </w:r>
      <w:r w:rsidRPr="00C01F06">
        <w:rPr>
          <w:i/>
        </w:rPr>
        <w:t>n</w:t>
      </w:r>
      <w:r w:rsidRPr="00C01F06">
        <w:t xml:space="preserve"> = </w:t>
      </w:r>
      <w:r>
        <w:t>1</w:t>
      </w:r>
      <w:r w:rsidRPr="00C01F06">
        <w:t xml:space="preserve">), </w:t>
      </w:r>
      <w:r>
        <w:t>silver perch (</w:t>
      </w:r>
      <w:r w:rsidRPr="00C9746A">
        <w:rPr>
          <w:i/>
        </w:rPr>
        <w:t>n</w:t>
      </w:r>
      <w:r>
        <w:t xml:space="preserve"> = 1), </w:t>
      </w:r>
      <w:r w:rsidRPr="00C01F06">
        <w:t>Murray cod (</w:t>
      </w:r>
      <w:r w:rsidRPr="00C01F06">
        <w:rPr>
          <w:i/>
        </w:rPr>
        <w:t>n</w:t>
      </w:r>
      <w:r w:rsidRPr="00C01F06">
        <w:t xml:space="preserve"> = </w:t>
      </w:r>
      <w:r>
        <w:t>29</w:t>
      </w:r>
      <w:r w:rsidRPr="00C01F06">
        <w:t>) and freshwater catfish (</w:t>
      </w:r>
      <w:r w:rsidRPr="00C01F06">
        <w:rPr>
          <w:i/>
        </w:rPr>
        <w:t>n</w:t>
      </w:r>
      <w:r w:rsidRPr="00C01F06">
        <w:t> = </w:t>
      </w:r>
      <w:r>
        <w:t>14</w:t>
      </w:r>
      <w:r w:rsidRPr="00C01F06">
        <w:t>) post-larvae collected opportunistically through larval fish sampl</w:t>
      </w:r>
      <w:r w:rsidR="001474B1">
        <w:t>ing as part of Category 3 Fish Spawning and R</w:t>
      </w:r>
      <w:r w:rsidRPr="00C01F06">
        <w:t>ecruitment (Table G</w:t>
      </w:r>
      <w:r>
        <w:t>8</w:t>
      </w:r>
      <w:r w:rsidRPr="00C01F06">
        <w:t xml:space="preserve">) were analysed using traditional taxonomic methods. </w:t>
      </w:r>
      <w:r w:rsidRPr="00BD56E2">
        <w:t xml:space="preserve">Unlike the other </w:t>
      </w:r>
      <w:r>
        <w:t xml:space="preserve">three </w:t>
      </w:r>
      <w:r w:rsidRPr="00BD56E2">
        <w:t xml:space="preserve">species, most Murray cod (21/29) </w:t>
      </w:r>
      <w:r>
        <w:t xml:space="preserve">individuals had empty </w:t>
      </w:r>
      <w:r w:rsidRPr="00BD56E2">
        <w:t>guts</w:t>
      </w:r>
      <w:r>
        <w:t xml:space="preserve"> (Table G8)</w:t>
      </w:r>
      <w:r w:rsidRPr="00BD56E2">
        <w:t xml:space="preserve">. The </w:t>
      </w:r>
      <w:r>
        <w:t>calanoid copepod</w:t>
      </w:r>
      <w:r w:rsidRPr="00BD56E2">
        <w:t xml:space="preserve">, </w:t>
      </w:r>
      <w:r w:rsidRPr="003D371F">
        <w:rPr>
          <w:i/>
        </w:rPr>
        <w:t>Boeckella triarticulata</w:t>
      </w:r>
      <w:r w:rsidRPr="00BD56E2">
        <w:t>, was the only prey that was consumed by all four species (Table G9).</w:t>
      </w:r>
      <w:r>
        <w:t xml:space="preserve"> There were 13 individuals of this species present in the only post-larval golden perch collected, during early December 2015. By number, calanoid and cyclopoid copepods collectively made up 81.3% of the diet composition for larval Murray cod, while chydorid cladocerans made up almost half (46.9%) of the diet of larval freshwater catfish.</w:t>
      </w:r>
    </w:p>
    <w:p w14:paraId="623C36E0" w14:textId="7DED1634" w:rsidR="00DC205F" w:rsidRDefault="003D371F" w:rsidP="001D06D5">
      <w:r>
        <w:t xml:space="preserve">Based on qualitative investigation, there was no clear association of larval diet composition with sampling events or location. </w:t>
      </w:r>
      <w:r w:rsidRPr="003D371F">
        <w:rPr>
          <w:bCs/>
        </w:rPr>
        <w:t>Similar to the previous year, low sample sizes of larvae and patchiness of samples at temporal and spatial scales in 2015/16 (</w:t>
      </w:r>
      <w:r w:rsidRPr="003D371F">
        <w:t>Table G8</w:t>
      </w:r>
      <w:r w:rsidRPr="003D371F">
        <w:rPr>
          <w:bCs/>
        </w:rPr>
        <w:t>) did not allow for a quantitative comparison of fish diet to ambient microinvertebrate prey composition to determine feeding selectivity</w:t>
      </w:r>
      <w:r>
        <w:rPr>
          <w:bCs/>
        </w:rPr>
        <w:t xml:space="preserve"> or temporal variation in feeding</w:t>
      </w:r>
      <w:r w:rsidRPr="003D371F">
        <w:rPr>
          <w:bCs/>
        </w:rPr>
        <w:t>. In turn, the contribution of Commonwealth environmental water on the dietary composition of large-bodied fish larvae could not be evaluated.</w:t>
      </w:r>
      <w:r w:rsidR="00F66CAC">
        <w:rPr>
          <w:bCs/>
        </w:rPr>
        <w:t xml:space="preserve"> </w:t>
      </w:r>
      <w:r w:rsidR="00F66CAC" w:rsidRPr="00F66CAC">
        <w:rPr>
          <w:bCs/>
        </w:rPr>
        <w:t xml:space="preserve">However, most prey in diet were typical of those from littoral margins, </w:t>
      </w:r>
      <w:r w:rsidR="00F66CAC">
        <w:rPr>
          <w:bCs/>
        </w:rPr>
        <w:t xml:space="preserve">which could have been </w:t>
      </w:r>
      <w:r w:rsidR="00F66CAC" w:rsidRPr="00F66CAC">
        <w:rPr>
          <w:bCs/>
        </w:rPr>
        <w:t xml:space="preserve">flushed </w:t>
      </w:r>
      <w:r w:rsidR="00F66CAC">
        <w:rPr>
          <w:bCs/>
        </w:rPr>
        <w:t>into the main channel following a suite of management interventions that occurred at the time (e.g. weir pool raising, Appendix B).</w:t>
      </w:r>
    </w:p>
    <w:p w14:paraId="3B120ADD" w14:textId="77777777" w:rsidR="00DC205F" w:rsidRDefault="00DC205F" w:rsidP="00B46038">
      <w:pPr>
        <w:pStyle w:val="Captions"/>
      </w:pPr>
    </w:p>
    <w:p w14:paraId="3E3791CF" w14:textId="77777777" w:rsidR="00DC205F" w:rsidRDefault="00DC205F">
      <w:pPr>
        <w:spacing w:before="0" w:after="200" w:line="276" w:lineRule="auto"/>
        <w:rPr>
          <w:rFonts w:eastAsia="MS Mincho" w:cs="Arial"/>
          <w:b/>
          <w:bCs/>
          <w:color w:val="auto"/>
          <w:kern w:val="0"/>
          <w:sz w:val="20"/>
          <w:lang w:val="en-US"/>
        </w:rPr>
      </w:pPr>
      <w:r>
        <w:br w:type="page"/>
      </w:r>
    </w:p>
    <w:p w14:paraId="7BC8146B" w14:textId="7A12D410" w:rsidR="003D371F" w:rsidRDefault="003D371F" w:rsidP="00B46038">
      <w:pPr>
        <w:pStyle w:val="Captions"/>
      </w:pPr>
      <w:r>
        <w:lastRenderedPageBreak/>
        <w:t xml:space="preserve">Table G8. Catch details for post-larval fish that were analysed for gut-content. Lock 1, 1A and 1B sites are situated 5, 7 and 9 km </w:t>
      </w:r>
      <w:r w:rsidR="009F6005">
        <w:t>below</w:t>
      </w:r>
      <w:r>
        <w:t xml:space="preserve"> Lock 1. Similarly, Lock 6, 6A and 6B sites are situated 5, 7 and 9 km </w:t>
      </w:r>
      <w:r w:rsidR="009F6005">
        <w:t>below</w:t>
      </w:r>
      <w:r>
        <w:t xml:space="preserve"> Lock 6. Two pre-larval fish (i.e. 4.7 mm golden perch and 4.8 mm Murray cod) were not analysed for gut-content. The presence of food in guts is indicated by x. Total lengths (TL) were rounded to the nearest mm.</w:t>
      </w:r>
    </w:p>
    <w:tbl>
      <w:tblPr>
        <w:tblW w:w="0" w:type="auto"/>
        <w:tblLook w:val="04A0" w:firstRow="1" w:lastRow="0" w:firstColumn="1" w:lastColumn="0" w:noHBand="0" w:noVBand="1"/>
      </w:tblPr>
      <w:tblGrid>
        <w:gridCol w:w="1869"/>
        <w:gridCol w:w="935"/>
        <w:gridCol w:w="539"/>
        <w:gridCol w:w="1225"/>
        <w:gridCol w:w="1391"/>
      </w:tblGrid>
      <w:tr w:rsidR="003D371F" w:rsidRPr="00555A65" w14:paraId="6BACC409" w14:textId="77777777" w:rsidTr="00555A65">
        <w:trPr>
          <w:trHeight w:val="23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44787" w14:textId="77777777" w:rsidR="003D371F" w:rsidRPr="00555A65" w:rsidRDefault="003D371F" w:rsidP="003D371F">
            <w:pPr>
              <w:spacing w:before="0" w:after="0" w:line="240" w:lineRule="auto"/>
              <w:jc w:val="left"/>
              <w:rPr>
                <w:rFonts w:cs="Calibri"/>
                <w:b/>
                <w:bCs/>
                <w:kern w:val="0"/>
                <w:sz w:val="19"/>
                <w:szCs w:val="19"/>
                <w:lang w:eastAsia="en-AU"/>
              </w:rPr>
            </w:pPr>
            <w:r w:rsidRPr="00555A65">
              <w:rPr>
                <w:rFonts w:cs="Calibri"/>
                <w:b/>
                <w:bCs/>
                <w:kern w:val="0"/>
                <w:sz w:val="19"/>
                <w:szCs w:val="19"/>
                <w:lang w:eastAsia="en-AU"/>
              </w:rPr>
              <w:t>Species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5F8ED39" w14:textId="77777777" w:rsidR="003D371F" w:rsidRPr="00555A65" w:rsidRDefault="003D371F" w:rsidP="003D371F">
            <w:pPr>
              <w:spacing w:before="0" w:after="0" w:line="240" w:lineRule="auto"/>
              <w:jc w:val="center"/>
              <w:rPr>
                <w:rFonts w:cs="Calibri"/>
                <w:b/>
                <w:bCs/>
                <w:kern w:val="0"/>
                <w:sz w:val="19"/>
                <w:szCs w:val="19"/>
                <w:lang w:eastAsia="en-AU"/>
              </w:rPr>
            </w:pPr>
            <w:r w:rsidRPr="00555A65">
              <w:rPr>
                <w:rFonts w:cs="Calibri"/>
                <w:b/>
                <w:bCs/>
                <w:kern w:val="0"/>
                <w:sz w:val="19"/>
                <w:szCs w:val="19"/>
                <w:lang w:eastAsia="en-AU"/>
              </w:rPr>
              <w:t>TL (mm)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B15BC2" w14:textId="77777777" w:rsidR="003D371F" w:rsidRPr="00555A65" w:rsidRDefault="003D371F" w:rsidP="003D371F">
            <w:pPr>
              <w:spacing w:before="0" w:after="0" w:line="240" w:lineRule="auto"/>
              <w:jc w:val="center"/>
              <w:rPr>
                <w:rFonts w:cs="Calibri"/>
                <w:b/>
                <w:bCs/>
                <w:kern w:val="0"/>
                <w:sz w:val="19"/>
                <w:szCs w:val="19"/>
                <w:lang w:eastAsia="en-AU"/>
              </w:rPr>
            </w:pPr>
            <w:r w:rsidRPr="00555A65">
              <w:rPr>
                <w:rFonts w:cs="Calibri"/>
                <w:b/>
                <w:bCs/>
                <w:kern w:val="0"/>
                <w:sz w:val="19"/>
                <w:szCs w:val="19"/>
                <w:lang w:eastAsia="en-AU"/>
              </w:rPr>
              <w:t>Site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19CFDB" w14:textId="77777777" w:rsidR="003D371F" w:rsidRPr="00555A65" w:rsidRDefault="003D371F" w:rsidP="003D371F">
            <w:pPr>
              <w:spacing w:before="0" w:after="0" w:line="240" w:lineRule="auto"/>
              <w:jc w:val="left"/>
              <w:rPr>
                <w:rFonts w:cs="Calibri"/>
                <w:b/>
                <w:bCs/>
                <w:kern w:val="0"/>
                <w:sz w:val="19"/>
                <w:szCs w:val="19"/>
                <w:lang w:eastAsia="en-AU"/>
              </w:rPr>
            </w:pPr>
            <w:r w:rsidRPr="00555A65">
              <w:rPr>
                <w:rFonts w:cs="Calibri"/>
                <w:b/>
                <w:bCs/>
                <w:kern w:val="0"/>
                <w:sz w:val="19"/>
                <w:szCs w:val="19"/>
                <w:lang w:eastAsia="en-AU"/>
              </w:rPr>
              <w:t>Date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D47EF1C" w14:textId="77777777" w:rsidR="003D371F" w:rsidRPr="00555A65" w:rsidRDefault="003D371F" w:rsidP="003D371F">
            <w:pPr>
              <w:spacing w:before="0" w:after="0" w:line="240" w:lineRule="auto"/>
              <w:jc w:val="center"/>
              <w:rPr>
                <w:rFonts w:cs="Calibri"/>
                <w:b/>
                <w:bCs/>
                <w:kern w:val="0"/>
                <w:sz w:val="19"/>
                <w:szCs w:val="19"/>
                <w:lang w:eastAsia="en-AU"/>
              </w:rPr>
            </w:pPr>
            <w:r w:rsidRPr="00555A65">
              <w:rPr>
                <w:rFonts w:cs="Calibri"/>
                <w:b/>
                <w:bCs/>
                <w:kern w:val="0"/>
                <w:sz w:val="19"/>
                <w:szCs w:val="19"/>
                <w:lang w:eastAsia="en-AU"/>
              </w:rPr>
              <w:t>Gut contents</w:t>
            </w:r>
          </w:p>
        </w:tc>
      </w:tr>
      <w:tr w:rsidR="003D371F" w:rsidRPr="00555A65" w14:paraId="5D89B6AC"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E97651"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Silver perch</w:t>
            </w:r>
          </w:p>
        </w:tc>
        <w:tc>
          <w:tcPr>
            <w:tcW w:w="0" w:type="auto"/>
            <w:tcBorders>
              <w:top w:val="nil"/>
              <w:left w:val="nil"/>
              <w:bottom w:val="single" w:sz="4" w:space="0" w:color="auto"/>
              <w:right w:val="single" w:sz="4" w:space="0" w:color="auto"/>
            </w:tcBorders>
            <w:shd w:val="clear" w:color="auto" w:fill="auto"/>
            <w:noWrap/>
            <w:vAlign w:val="bottom"/>
            <w:hideMark/>
          </w:tcPr>
          <w:p w14:paraId="606CF4BD"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30</w:t>
            </w:r>
          </w:p>
        </w:tc>
        <w:tc>
          <w:tcPr>
            <w:tcW w:w="0" w:type="auto"/>
            <w:tcBorders>
              <w:top w:val="nil"/>
              <w:left w:val="nil"/>
              <w:bottom w:val="single" w:sz="4" w:space="0" w:color="auto"/>
              <w:right w:val="single" w:sz="4" w:space="0" w:color="auto"/>
            </w:tcBorders>
            <w:shd w:val="clear" w:color="auto" w:fill="auto"/>
            <w:noWrap/>
            <w:vAlign w:val="bottom"/>
            <w:hideMark/>
          </w:tcPr>
          <w:p w14:paraId="4EF5E567"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4A6E8C17"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01/12/2015</w:t>
            </w:r>
          </w:p>
        </w:tc>
        <w:tc>
          <w:tcPr>
            <w:tcW w:w="0" w:type="auto"/>
            <w:tcBorders>
              <w:top w:val="nil"/>
              <w:left w:val="nil"/>
              <w:bottom w:val="single" w:sz="4" w:space="0" w:color="auto"/>
              <w:right w:val="single" w:sz="4" w:space="0" w:color="auto"/>
            </w:tcBorders>
            <w:shd w:val="clear" w:color="auto" w:fill="auto"/>
            <w:noWrap/>
            <w:vAlign w:val="bottom"/>
            <w:hideMark/>
          </w:tcPr>
          <w:p w14:paraId="0E0128DF"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x</w:t>
            </w:r>
          </w:p>
        </w:tc>
      </w:tr>
      <w:tr w:rsidR="003D371F" w:rsidRPr="00555A65" w14:paraId="19FCFBD1"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31BF27"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Golden perch</w:t>
            </w:r>
          </w:p>
        </w:tc>
        <w:tc>
          <w:tcPr>
            <w:tcW w:w="0" w:type="auto"/>
            <w:tcBorders>
              <w:top w:val="nil"/>
              <w:left w:val="nil"/>
              <w:bottom w:val="single" w:sz="4" w:space="0" w:color="auto"/>
              <w:right w:val="single" w:sz="4" w:space="0" w:color="auto"/>
            </w:tcBorders>
            <w:shd w:val="clear" w:color="auto" w:fill="auto"/>
            <w:noWrap/>
            <w:vAlign w:val="bottom"/>
            <w:hideMark/>
          </w:tcPr>
          <w:p w14:paraId="1A7EE667"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1159CFD8"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3D873D74"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01/12/2015</w:t>
            </w:r>
          </w:p>
        </w:tc>
        <w:tc>
          <w:tcPr>
            <w:tcW w:w="0" w:type="auto"/>
            <w:tcBorders>
              <w:top w:val="nil"/>
              <w:left w:val="nil"/>
              <w:bottom w:val="single" w:sz="4" w:space="0" w:color="auto"/>
              <w:right w:val="single" w:sz="4" w:space="0" w:color="auto"/>
            </w:tcBorders>
            <w:shd w:val="clear" w:color="auto" w:fill="auto"/>
            <w:noWrap/>
            <w:vAlign w:val="bottom"/>
            <w:hideMark/>
          </w:tcPr>
          <w:p w14:paraId="084D5686"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x</w:t>
            </w:r>
          </w:p>
        </w:tc>
      </w:tr>
      <w:tr w:rsidR="003D371F" w:rsidRPr="00555A65" w14:paraId="60AE609E"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55500E"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78ECD55E"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30C25E67"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2BAC5496"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20/10/2015</w:t>
            </w:r>
          </w:p>
        </w:tc>
        <w:tc>
          <w:tcPr>
            <w:tcW w:w="0" w:type="auto"/>
            <w:tcBorders>
              <w:top w:val="nil"/>
              <w:left w:val="nil"/>
              <w:bottom w:val="single" w:sz="4" w:space="0" w:color="auto"/>
              <w:right w:val="single" w:sz="4" w:space="0" w:color="auto"/>
            </w:tcBorders>
            <w:shd w:val="clear" w:color="auto" w:fill="auto"/>
            <w:noWrap/>
            <w:vAlign w:val="bottom"/>
            <w:hideMark/>
          </w:tcPr>
          <w:p w14:paraId="0D35B6B1"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2E1EDCE8"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BD6FB5"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2A733238"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205A626A"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467E4EB4"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20/10/2015</w:t>
            </w:r>
          </w:p>
        </w:tc>
        <w:tc>
          <w:tcPr>
            <w:tcW w:w="0" w:type="auto"/>
            <w:tcBorders>
              <w:top w:val="nil"/>
              <w:left w:val="nil"/>
              <w:bottom w:val="single" w:sz="4" w:space="0" w:color="auto"/>
              <w:right w:val="single" w:sz="4" w:space="0" w:color="auto"/>
            </w:tcBorders>
            <w:shd w:val="clear" w:color="auto" w:fill="auto"/>
            <w:noWrap/>
            <w:vAlign w:val="bottom"/>
            <w:hideMark/>
          </w:tcPr>
          <w:p w14:paraId="769E3331"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42467E68"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0D7EBA"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2DC3AC98"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46C102FC"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6B</w:t>
            </w:r>
          </w:p>
        </w:tc>
        <w:tc>
          <w:tcPr>
            <w:tcW w:w="0" w:type="auto"/>
            <w:tcBorders>
              <w:top w:val="nil"/>
              <w:left w:val="nil"/>
              <w:bottom w:val="single" w:sz="4" w:space="0" w:color="auto"/>
              <w:right w:val="single" w:sz="4" w:space="0" w:color="auto"/>
            </w:tcBorders>
            <w:shd w:val="clear" w:color="auto" w:fill="auto"/>
            <w:noWrap/>
            <w:vAlign w:val="bottom"/>
            <w:hideMark/>
          </w:tcPr>
          <w:p w14:paraId="759C4720"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20/10/2015</w:t>
            </w:r>
          </w:p>
        </w:tc>
        <w:tc>
          <w:tcPr>
            <w:tcW w:w="0" w:type="auto"/>
            <w:tcBorders>
              <w:top w:val="nil"/>
              <w:left w:val="nil"/>
              <w:bottom w:val="single" w:sz="4" w:space="0" w:color="auto"/>
              <w:right w:val="single" w:sz="4" w:space="0" w:color="auto"/>
            </w:tcBorders>
            <w:shd w:val="clear" w:color="auto" w:fill="auto"/>
            <w:noWrap/>
            <w:vAlign w:val="bottom"/>
            <w:hideMark/>
          </w:tcPr>
          <w:p w14:paraId="07617EB4"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01DA37B7"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6C2C68"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41F05657"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3C2D292A"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2B90F6C4"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21/10/2015</w:t>
            </w:r>
          </w:p>
        </w:tc>
        <w:tc>
          <w:tcPr>
            <w:tcW w:w="0" w:type="auto"/>
            <w:tcBorders>
              <w:top w:val="nil"/>
              <w:left w:val="nil"/>
              <w:bottom w:val="single" w:sz="4" w:space="0" w:color="auto"/>
              <w:right w:val="single" w:sz="4" w:space="0" w:color="auto"/>
            </w:tcBorders>
            <w:shd w:val="clear" w:color="auto" w:fill="auto"/>
            <w:noWrap/>
            <w:vAlign w:val="bottom"/>
            <w:hideMark/>
          </w:tcPr>
          <w:p w14:paraId="7357941E"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6DC30F9C"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821DA"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06576EC9"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6341BD2E"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6C037556"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02/11/2015</w:t>
            </w:r>
          </w:p>
        </w:tc>
        <w:tc>
          <w:tcPr>
            <w:tcW w:w="0" w:type="auto"/>
            <w:tcBorders>
              <w:top w:val="nil"/>
              <w:left w:val="nil"/>
              <w:bottom w:val="single" w:sz="4" w:space="0" w:color="auto"/>
              <w:right w:val="single" w:sz="4" w:space="0" w:color="auto"/>
            </w:tcBorders>
            <w:shd w:val="clear" w:color="auto" w:fill="auto"/>
            <w:noWrap/>
            <w:vAlign w:val="bottom"/>
            <w:hideMark/>
          </w:tcPr>
          <w:p w14:paraId="5BB94619"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580F8626"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3ACE67"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3E0D33A3"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1B82D58D"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054733D4"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02/11/2015</w:t>
            </w:r>
          </w:p>
        </w:tc>
        <w:tc>
          <w:tcPr>
            <w:tcW w:w="0" w:type="auto"/>
            <w:tcBorders>
              <w:top w:val="nil"/>
              <w:left w:val="nil"/>
              <w:bottom w:val="single" w:sz="4" w:space="0" w:color="auto"/>
              <w:right w:val="single" w:sz="4" w:space="0" w:color="auto"/>
            </w:tcBorders>
            <w:shd w:val="clear" w:color="auto" w:fill="auto"/>
            <w:noWrap/>
            <w:vAlign w:val="bottom"/>
            <w:hideMark/>
          </w:tcPr>
          <w:p w14:paraId="179C08EF"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x</w:t>
            </w:r>
          </w:p>
        </w:tc>
      </w:tr>
      <w:tr w:rsidR="003D371F" w:rsidRPr="00555A65" w14:paraId="4C4B210D"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9A4B06"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483D229C"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6C65970E"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1060F2DE"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02/11/2015</w:t>
            </w:r>
          </w:p>
        </w:tc>
        <w:tc>
          <w:tcPr>
            <w:tcW w:w="0" w:type="auto"/>
            <w:tcBorders>
              <w:top w:val="nil"/>
              <w:left w:val="nil"/>
              <w:bottom w:val="single" w:sz="4" w:space="0" w:color="auto"/>
              <w:right w:val="single" w:sz="4" w:space="0" w:color="auto"/>
            </w:tcBorders>
            <w:shd w:val="clear" w:color="auto" w:fill="auto"/>
            <w:noWrap/>
            <w:vAlign w:val="bottom"/>
            <w:hideMark/>
          </w:tcPr>
          <w:p w14:paraId="7251EF02"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x</w:t>
            </w:r>
          </w:p>
        </w:tc>
      </w:tr>
      <w:tr w:rsidR="003D371F" w:rsidRPr="00555A65" w14:paraId="355CEF06"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3FDD57"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221B48D8"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0BC6523A"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524D20AF"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02/11/2015</w:t>
            </w:r>
          </w:p>
        </w:tc>
        <w:tc>
          <w:tcPr>
            <w:tcW w:w="0" w:type="auto"/>
            <w:tcBorders>
              <w:top w:val="nil"/>
              <w:left w:val="nil"/>
              <w:bottom w:val="single" w:sz="4" w:space="0" w:color="auto"/>
              <w:right w:val="single" w:sz="4" w:space="0" w:color="auto"/>
            </w:tcBorders>
            <w:shd w:val="clear" w:color="auto" w:fill="auto"/>
            <w:noWrap/>
            <w:vAlign w:val="bottom"/>
            <w:hideMark/>
          </w:tcPr>
          <w:p w14:paraId="73EBBA74"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576519DF"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4A8ED3"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4C55FFBB"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1A4082ED"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37EB7758"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02/11/2015</w:t>
            </w:r>
          </w:p>
        </w:tc>
        <w:tc>
          <w:tcPr>
            <w:tcW w:w="0" w:type="auto"/>
            <w:tcBorders>
              <w:top w:val="nil"/>
              <w:left w:val="nil"/>
              <w:bottom w:val="single" w:sz="4" w:space="0" w:color="auto"/>
              <w:right w:val="single" w:sz="4" w:space="0" w:color="auto"/>
            </w:tcBorders>
            <w:shd w:val="clear" w:color="auto" w:fill="auto"/>
            <w:noWrap/>
            <w:vAlign w:val="bottom"/>
            <w:hideMark/>
          </w:tcPr>
          <w:p w14:paraId="5F4E3C1D"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5DFD584E"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9E6B15"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447EF41F"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55682DE4"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18B55B7F"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02/11/2015</w:t>
            </w:r>
          </w:p>
        </w:tc>
        <w:tc>
          <w:tcPr>
            <w:tcW w:w="0" w:type="auto"/>
            <w:tcBorders>
              <w:top w:val="nil"/>
              <w:left w:val="nil"/>
              <w:bottom w:val="single" w:sz="4" w:space="0" w:color="auto"/>
              <w:right w:val="single" w:sz="4" w:space="0" w:color="auto"/>
            </w:tcBorders>
            <w:shd w:val="clear" w:color="auto" w:fill="auto"/>
            <w:noWrap/>
            <w:vAlign w:val="bottom"/>
            <w:hideMark/>
          </w:tcPr>
          <w:p w14:paraId="0083DE8C"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7830A449"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31920F"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17BD3A12"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5169783D"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5636A2BC"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02/11/2015</w:t>
            </w:r>
          </w:p>
        </w:tc>
        <w:tc>
          <w:tcPr>
            <w:tcW w:w="0" w:type="auto"/>
            <w:tcBorders>
              <w:top w:val="nil"/>
              <w:left w:val="nil"/>
              <w:bottom w:val="single" w:sz="4" w:space="0" w:color="auto"/>
              <w:right w:val="single" w:sz="4" w:space="0" w:color="auto"/>
            </w:tcBorders>
            <w:shd w:val="clear" w:color="auto" w:fill="auto"/>
            <w:noWrap/>
            <w:vAlign w:val="bottom"/>
            <w:hideMark/>
          </w:tcPr>
          <w:p w14:paraId="090DF9B1"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192DB313"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1B6C11"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200DC994"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4BFB00EA"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775EFC27"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02/11/2015</w:t>
            </w:r>
          </w:p>
        </w:tc>
        <w:tc>
          <w:tcPr>
            <w:tcW w:w="0" w:type="auto"/>
            <w:tcBorders>
              <w:top w:val="nil"/>
              <w:left w:val="nil"/>
              <w:bottom w:val="single" w:sz="4" w:space="0" w:color="auto"/>
              <w:right w:val="single" w:sz="4" w:space="0" w:color="auto"/>
            </w:tcBorders>
            <w:shd w:val="clear" w:color="auto" w:fill="auto"/>
            <w:noWrap/>
            <w:vAlign w:val="bottom"/>
            <w:hideMark/>
          </w:tcPr>
          <w:p w14:paraId="11FC5AA2"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x</w:t>
            </w:r>
          </w:p>
        </w:tc>
      </w:tr>
      <w:tr w:rsidR="003D371F" w:rsidRPr="00555A65" w14:paraId="7A3CAA59"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3B988D"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4E5818FC"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24C36B7E"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77FF827C"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03/11/2015</w:t>
            </w:r>
          </w:p>
        </w:tc>
        <w:tc>
          <w:tcPr>
            <w:tcW w:w="0" w:type="auto"/>
            <w:tcBorders>
              <w:top w:val="nil"/>
              <w:left w:val="nil"/>
              <w:bottom w:val="single" w:sz="4" w:space="0" w:color="auto"/>
              <w:right w:val="single" w:sz="4" w:space="0" w:color="auto"/>
            </w:tcBorders>
            <w:shd w:val="clear" w:color="auto" w:fill="auto"/>
            <w:noWrap/>
            <w:vAlign w:val="bottom"/>
            <w:hideMark/>
          </w:tcPr>
          <w:p w14:paraId="203DB45A"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18C9F0C9"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600761"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7307CF34"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0DA4FC39"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0D6CD3C7"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03/11/2015</w:t>
            </w:r>
          </w:p>
        </w:tc>
        <w:tc>
          <w:tcPr>
            <w:tcW w:w="0" w:type="auto"/>
            <w:tcBorders>
              <w:top w:val="nil"/>
              <w:left w:val="nil"/>
              <w:bottom w:val="single" w:sz="4" w:space="0" w:color="auto"/>
              <w:right w:val="single" w:sz="4" w:space="0" w:color="auto"/>
            </w:tcBorders>
            <w:shd w:val="clear" w:color="auto" w:fill="auto"/>
            <w:noWrap/>
            <w:vAlign w:val="bottom"/>
            <w:hideMark/>
          </w:tcPr>
          <w:p w14:paraId="23052E32"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30644DE3"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27007A"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7149F74C"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3DA11A8B"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68840AC1"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03/11/2015</w:t>
            </w:r>
          </w:p>
        </w:tc>
        <w:tc>
          <w:tcPr>
            <w:tcW w:w="0" w:type="auto"/>
            <w:tcBorders>
              <w:top w:val="nil"/>
              <w:left w:val="nil"/>
              <w:bottom w:val="single" w:sz="4" w:space="0" w:color="auto"/>
              <w:right w:val="single" w:sz="4" w:space="0" w:color="auto"/>
            </w:tcBorders>
            <w:shd w:val="clear" w:color="auto" w:fill="auto"/>
            <w:noWrap/>
            <w:vAlign w:val="bottom"/>
            <w:hideMark/>
          </w:tcPr>
          <w:p w14:paraId="2C9D7A29"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405BF884"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0CD2E3"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6E0304A3"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04D5C792"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1855E450"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03/11/2015</w:t>
            </w:r>
          </w:p>
        </w:tc>
        <w:tc>
          <w:tcPr>
            <w:tcW w:w="0" w:type="auto"/>
            <w:tcBorders>
              <w:top w:val="nil"/>
              <w:left w:val="nil"/>
              <w:bottom w:val="single" w:sz="4" w:space="0" w:color="auto"/>
              <w:right w:val="single" w:sz="4" w:space="0" w:color="auto"/>
            </w:tcBorders>
            <w:shd w:val="clear" w:color="auto" w:fill="auto"/>
            <w:noWrap/>
            <w:vAlign w:val="bottom"/>
            <w:hideMark/>
          </w:tcPr>
          <w:p w14:paraId="32249459"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78C4095E"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59C628"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4613BD14"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7E498C37"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66952605"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03/11/2015</w:t>
            </w:r>
          </w:p>
        </w:tc>
        <w:tc>
          <w:tcPr>
            <w:tcW w:w="0" w:type="auto"/>
            <w:tcBorders>
              <w:top w:val="nil"/>
              <w:left w:val="nil"/>
              <w:bottom w:val="single" w:sz="4" w:space="0" w:color="auto"/>
              <w:right w:val="single" w:sz="4" w:space="0" w:color="auto"/>
            </w:tcBorders>
            <w:shd w:val="clear" w:color="auto" w:fill="auto"/>
            <w:noWrap/>
            <w:vAlign w:val="bottom"/>
            <w:hideMark/>
          </w:tcPr>
          <w:p w14:paraId="02E07A64"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5286AB3E"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A86074"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3D88EB94"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48C25166"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61B99E94"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03/11/2015</w:t>
            </w:r>
          </w:p>
        </w:tc>
        <w:tc>
          <w:tcPr>
            <w:tcW w:w="0" w:type="auto"/>
            <w:tcBorders>
              <w:top w:val="nil"/>
              <w:left w:val="nil"/>
              <w:bottom w:val="single" w:sz="4" w:space="0" w:color="auto"/>
              <w:right w:val="single" w:sz="4" w:space="0" w:color="auto"/>
            </w:tcBorders>
            <w:shd w:val="clear" w:color="auto" w:fill="auto"/>
            <w:noWrap/>
            <w:vAlign w:val="bottom"/>
            <w:hideMark/>
          </w:tcPr>
          <w:p w14:paraId="29057C84"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x</w:t>
            </w:r>
          </w:p>
        </w:tc>
      </w:tr>
      <w:tr w:rsidR="003D371F" w:rsidRPr="00555A65" w14:paraId="5DE74BC3"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645AD1"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0BFCCFFB"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7CC391AB"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75B843E1"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03/11/2015</w:t>
            </w:r>
          </w:p>
        </w:tc>
        <w:tc>
          <w:tcPr>
            <w:tcW w:w="0" w:type="auto"/>
            <w:tcBorders>
              <w:top w:val="nil"/>
              <w:left w:val="nil"/>
              <w:bottom w:val="single" w:sz="4" w:space="0" w:color="auto"/>
              <w:right w:val="single" w:sz="4" w:space="0" w:color="auto"/>
            </w:tcBorders>
            <w:shd w:val="clear" w:color="auto" w:fill="auto"/>
            <w:noWrap/>
            <w:vAlign w:val="bottom"/>
            <w:hideMark/>
          </w:tcPr>
          <w:p w14:paraId="39110B32"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x</w:t>
            </w:r>
          </w:p>
        </w:tc>
      </w:tr>
      <w:tr w:rsidR="003D371F" w:rsidRPr="00555A65" w14:paraId="2F77C02D"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526670"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2D308E10"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3AC6B835"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1A</w:t>
            </w:r>
          </w:p>
        </w:tc>
        <w:tc>
          <w:tcPr>
            <w:tcW w:w="0" w:type="auto"/>
            <w:tcBorders>
              <w:top w:val="nil"/>
              <w:left w:val="nil"/>
              <w:bottom w:val="single" w:sz="4" w:space="0" w:color="auto"/>
              <w:right w:val="single" w:sz="4" w:space="0" w:color="auto"/>
            </w:tcBorders>
            <w:shd w:val="clear" w:color="auto" w:fill="auto"/>
            <w:noWrap/>
            <w:vAlign w:val="bottom"/>
            <w:hideMark/>
          </w:tcPr>
          <w:p w14:paraId="74958C29"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03/11/2015</w:t>
            </w:r>
          </w:p>
        </w:tc>
        <w:tc>
          <w:tcPr>
            <w:tcW w:w="0" w:type="auto"/>
            <w:tcBorders>
              <w:top w:val="nil"/>
              <w:left w:val="nil"/>
              <w:bottom w:val="single" w:sz="4" w:space="0" w:color="auto"/>
              <w:right w:val="single" w:sz="4" w:space="0" w:color="auto"/>
            </w:tcBorders>
            <w:shd w:val="clear" w:color="auto" w:fill="auto"/>
            <w:noWrap/>
            <w:vAlign w:val="bottom"/>
            <w:hideMark/>
          </w:tcPr>
          <w:p w14:paraId="282F08F7"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7E0FE861"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144D06"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45DBAE61"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17BD98DB"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1A</w:t>
            </w:r>
          </w:p>
        </w:tc>
        <w:tc>
          <w:tcPr>
            <w:tcW w:w="0" w:type="auto"/>
            <w:tcBorders>
              <w:top w:val="nil"/>
              <w:left w:val="nil"/>
              <w:bottom w:val="single" w:sz="4" w:space="0" w:color="auto"/>
              <w:right w:val="single" w:sz="4" w:space="0" w:color="auto"/>
            </w:tcBorders>
            <w:shd w:val="clear" w:color="auto" w:fill="auto"/>
            <w:noWrap/>
            <w:vAlign w:val="bottom"/>
            <w:hideMark/>
          </w:tcPr>
          <w:p w14:paraId="5F9DC653"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03/11/2015</w:t>
            </w:r>
          </w:p>
        </w:tc>
        <w:tc>
          <w:tcPr>
            <w:tcW w:w="0" w:type="auto"/>
            <w:tcBorders>
              <w:top w:val="nil"/>
              <w:left w:val="nil"/>
              <w:bottom w:val="single" w:sz="4" w:space="0" w:color="auto"/>
              <w:right w:val="single" w:sz="4" w:space="0" w:color="auto"/>
            </w:tcBorders>
            <w:shd w:val="clear" w:color="auto" w:fill="auto"/>
            <w:noWrap/>
            <w:vAlign w:val="bottom"/>
            <w:hideMark/>
          </w:tcPr>
          <w:p w14:paraId="42CE43E8"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43DE8E04"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52CDEB"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5AB293CD"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0FDCFABD"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2B8BE147"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17/11/2015</w:t>
            </w:r>
          </w:p>
        </w:tc>
        <w:tc>
          <w:tcPr>
            <w:tcW w:w="0" w:type="auto"/>
            <w:tcBorders>
              <w:top w:val="nil"/>
              <w:left w:val="nil"/>
              <w:bottom w:val="single" w:sz="4" w:space="0" w:color="auto"/>
              <w:right w:val="single" w:sz="4" w:space="0" w:color="auto"/>
            </w:tcBorders>
            <w:shd w:val="clear" w:color="auto" w:fill="auto"/>
            <w:noWrap/>
            <w:vAlign w:val="bottom"/>
            <w:hideMark/>
          </w:tcPr>
          <w:p w14:paraId="304E389C"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4CCBBDC5"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FB0505"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77FC7B49"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2C12A3FF"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622A2681"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16/11/2015</w:t>
            </w:r>
          </w:p>
        </w:tc>
        <w:tc>
          <w:tcPr>
            <w:tcW w:w="0" w:type="auto"/>
            <w:tcBorders>
              <w:top w:val="nil"/>
              <w:left w:val="nil"/>
              <w:bottom w:val="single" w:sz="4" w:space="0" w:color="auto"/>
              <w:right w:val="single" w:sz="4" w:space="0" w:color="auto"/>
            </w:tcBorders>
            <w:shd w:val="clear" w:color="auto" w:fill="auto"/>
            <w:noWrap/>
            <w:vAlign w:val="bottom"/>
            <w:hideMark/>
          </w:tcPr>
          <w:p w14:paraId="06141DE6"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x</w:t>
            </w:r>
          </w:p>
        </w:tc>
      </w:tr>
      <w:tr w:rsidR="003D371F" w:rsidRPr="00555A65" w14:paraId="733C84E2"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3C17C4"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7F6894F0"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6A26BA1D"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6ABEDF59"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16/11/2015</w:t>
            </w:r>
          </w:p>
        </w:tc>
        <w:tc>
          <w:tcPr>
            <w:tcW w:w="0" w:type="auto"/>
            <w:tcBorders>
              <w:top w:val="nil"/>
              <w:left w:val="nil"/>
              <w:bottom w:val="single" w:sz="4" w:space="0" w:color="auto"/>
              <w:right w:val="single" w:sz="4" w:space="0" w:color="auto"/>
            </w:tcBorders>
            <w:shd w:val="clear" w:color="auto" w:fill="auto"/>
            <w:noWrap/>
            <w:vAlign w:val="bottom"/>
            <w:hideMark/>
          </w:tcPr>
          <w:p w14:paraId="378B39FE"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310A7BF7"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C2DA78"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15441DEA"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713C5845"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33134D19"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16/11/2015</w:t>
            </w:r>
          </w:p>
        </w:tc>
        <w:tc>
          <w:tcPr>
            <w:tcW w:w="0" w:type="auto"/>
            <w:tcBorders>
              <w:top w:val="nil"/>
              <w:left w:val="nil"/>
              <w:bottom w:val="single" w:sz="4" w:space="0" w:color="auto"/>
              <w:right w:val="single" w:sz="4" w:space="0" w:color="auto"/>
            </w:tcBorders>
            <w:shd w:val="clear" w:color="auto" w:fill="auto"/>
            <w:noWrap/>
            <w:vAlign w:val="bottom"/>
            <w:hideMark/>
          </w:tcPr>
          <w:p w14:paraId="06817FA4"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15A82888"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426DD8"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617D03BC"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14051E56"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23699752"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16/11/2015</w:t>
            </w:r>
          </w:p>
        </w:tc>
        <w:tc>
          <w:tcPr>
            <w:tcW w:w="0" w:type="auto"/>
            <w:tcBorders>
              <w:top w:val="nil"/>
              <w:left w:val="nil"/>
              <w:bottom w:val="single" w:sz="4" w:space="0" w:color="auto"/>
              <w:right w:val="single" w:sz="4" w:space="0" w:color="auto"/>
            </w:tcBorders>
            <w:shd w:val="clear" w:color="auto" w:fill="auto"/>
            <w:noWrap/>
            <w:vAlign w:val="bottom"/>
            <w:hideMark/>
          </w:tcPr>
          <w:p w14:paraId="24DEE29B"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x</w:t>
            </w:r>
          </w:p>
        </w:tc>
      </w:tr>
      <w:tr w:rsidR="003D371F" w:rsidRPr="00555A65" w14:paraId="2800CA65"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27A32C"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5EABD0E9"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007A534A"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6FD9ECC9"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16/11/2015</w:t>
            </w:r>
          </w:p>
        </w:tc>
        <w:tc>
          <w:tcPr>
            <w:tcW w:w="0" w:type="auto"/>
            <w:tcBorders>
              <w:top w:val="nil"/>
              <w:left w:val="nil"/>
              <w:bottom w:val="single" w:sz="4" w:space="0" w:color="auto"/>
              <w:right w:val="single" w:sz="4" w:space="0" w:color="auto"/>
            </w:tcBorders>
            <w:shd w:val="clear" w:color="auto" w:fill="auto"/>
            <w:noWrap/>
            <w:vAlign w:val="bottom"/>
            <w:hideMark/>
          </w:tcPr>
          <w:p w14:paraId="165DCFFD"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6E2AC58E"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6141FC"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4B2D2A5A"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1EBE9551"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1072F701"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16/11/2015</w:t>
            </w:r>
          </w:p>
        </w:tc>
        <w:tc>
          <w:tcPr>
            <w:tcW w:w="0" w:type="auto"/>
            <w:tcBorders>
              <w:top w:val="nil"/>
              <w:left w:val="nil"/>
              <w:bottom w:val="single" w:sz="4" w:space="0" w:color="auto"/>
              <w:right w:val="single" w:sz="4" w:space="0" w:color="auto"/>
            </w:tcBorders>
            <w:shd w:val="clear" w:color="auto" w:fill="auto"/>
            <w:noWrap/>
            <w:vAlign w:val="bottom"/>
            <w:hideMark/>
          </w:tcPr>
          <w:p w14:paraId="257AAC25"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x</w:t>
            </w:r>
          </w:p>
        </w:tc>
      </w:tr>
      <w:tr w:rsidR="003D371F" w:rsidRPr="00555A65" w14:paraId="4EC41F54"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E9C8AD"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Murray cod</w:t>
            </w:r>
          </w:p>
        </w:tc>
        <w:tc>
          <w:tcPr>
            <w:tcW w:w="0" w:type="auto"/>
            <w:tcBorders>
              <w:top w:val="nil"/>
              <w:left w:val="nil"/>
              <w:bottom w:val="single" w:sz="4" w:space="0" w:color="auto"/>
              <w:right w:val="single" w:sz="4" w:space="0" w:color="auto"/>
            </w:tcBorders>
            <w:shd w:val="clear" w:color="auto" w:fill="auto"/>
            <w:noWrap/>
            <w:vAlign w:val="bottom"/>
            <w:hideMark/>
          </w:tcPr>
          <w:p w14:paraId="18C48ADD"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470FF70F"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4A85CBD2"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16/11/2015</w:t>
            </w:r>
          </w:p>
        </w:tc>
        <w:tc>
          <w:tcPr>
            <w:tcW w:w="0" w:type="auto"/>
            <w:tcBorders>
              <w:top w:val="nil"/>
              <w:left w:val="nil"/>
              <w:bottom w:val="single" w:sz="4" w:space="0" w:color="auto"/>
              <w:right w:val="single" w:sz="4" w:space="0" w:color="auto"/>
            </w:tcBorders>
            <w:shd w:val="clear" w:color="auto" w:fill="auto"/>
            <w:noWrap/>
            <w:vAlign w:val="bottom"/>
            <w:hideMark/>
          </w:tcPr>
          <w:p w14:paraId="09E91B2C"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3BC41406"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F2CA22"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Freshwater catfish</w:t>
            </w:r>
          </w:p>
        </w:tc>
        <w:tc>
          <w:tcPr>
            <w:tcW w:w="0" w:type="auto"/>
            <w:tcBorders>
              <w:top w:val="nil"/>
              <w:left w:val="nil"/>
              <w:bottom w:val="single" w:sz="4" w:space="0" w:color="auto"/>
              <w:right w:val="single" w:sz="4" w:space="0" w:color="auto"/>
            </w:tcBorders>
            <w:shd w:val="clear" w:color="auto" w:fill="auto"/>
            <w:noWrap/>
            <w:vAlign w:val="bottom"/>
            <w:hideMark/>
          </w:tcPr>
          <w:p w14:paraId="0141546B"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42504D16"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1DAA1206"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17/11/2015</w:t>
            </w:r>
          </w:p>
        </w:tc>
        <w:tc>
          <w:tcPr>
            <w:tcW w:w="0" w:type="auto"/>
            <w:tcBorders>
              <w:top w:val="nil"/>
              <w:left w:val="nil"/>
              <w:bottom w:val="single" w:sz="4" w:space="0" w:color="auto"/>
              <w:right w:val="single" w:sz="4" w:space="0" w:color="auto"/>
            </w:tcBorders>
            <w:shd w:val="clear" w:color="auto" w:fill="auto"/>
            <w:noWrap/>
            <w:vAlign w:val="bottom"/>
            <w:hideMark/>
          </w:tcPr>
          <w:p w14:paraId="208224A2"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3CB60A64"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40F45B"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Freshwater catfish</w:t>
            </w:r>
          </w:p>
        </w:tc>
        <w:tc>
          <w:tcPr>
            <w:tcW w:w="0" w:type="auto"/>
            <w:tcBorders>
              <w:top w:val="nil"/>
              <w:left w:val="nil"/>
              <w:bottom w:val="single" w:sz="4" w:space="0" w:color="auto"/>
              <w:right w:val="single" w:sz="4" w:space="0" w:color="auto"/>
            </w:tcBorders>
            <w:shd w:val="clear" w:color="auto" w:fill="auto"/>
            <w:noWrap/>
            <w:vAlign w:val="bottom"/>
            <w:hideMark/>
          </w:tcPr>
          <w:p w14:paraId="12EB4085"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6616F2B9"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196A9D31"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17/11/2015</w:t>
            </w:r>
          </w:p>
        </w:tc>
        <w:tc>
          <w:tcPr>
            <w:tcW w:w="0" w:type="auto"/>
            <w:tcBorders>
              <w:top w:val="nil"/>
              <w:left w:val="nil"/>
              <w:bottom w:val="single" w:sz="4" w:space="0" w:color="auto"/>
              <w:right w:val="single" w:sz="4" w:space="0" w:color="auto"/>
            </w:tcBorders>
            <w:shd w:val="clear" w:color="auto" w:fill="auto"/>
            <w:noWrap/>
            <w:vAlign w:val="bottom"/>
            <w:hideMark/>
          </w:tcPr>
          <w:p w14:paraId="2A1D2F8D"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x</w:t>
            </w:r>
          </w:p>
        </w:tc>
      </w:tr>
      <w:tr w:rsidR="003D371F" w:rsidRPr="00555A65" w14:paraId="0464600F"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B973D3"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Freshwater catfish</w:t>
            </w:r>
          </w:p>
        </w:tc>
        <w:tc>
          <w:tcPr>
            <w:tcW w:w="0" w:type="auto"/>
            <w:tcBorders>
              <w:top w:val="nil"/>
              <w:left w:val="nil"/>
              <w:bottom w:val="single" w:sz="4" w:space="0" w:color="auto"/>
              <w:right w:val="single" w:sz="4" w:space="0" w:color="auto"/>
            </w:tcBorders>
            <w:shd w:val="clear" w:color="auto" w:fill="auto"/>
            <w:noWrap/>
            <w:vAlign w:val="bottom"/>
            <w:hideMark/>
          </w:tcPr>
          <w:p w14:paraId="1B9D22CC"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764CA7F9"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75D500AD"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17/11/2015</w:t>
            </w:r>
          </w:p>
        </w:tc>
        <w:tc>
          <w:tcPr>
            <w:tcW w:w="0" w:type="auto"/>
            <w:tcBorders>
              <w:top w:val="nil"/>
              <w:left w:val="nil"/>
              <w:bottom w:val="single" w:sz="4" w:space="0" w:color="auto"/>
              <w:right w:val="single" w:sz="4" w:space="0" w:color="auto"/>
            </w:tcBorders>
            <w:shd w:val="clear" w:color="auto" w:fill="auto"/>
            <w:noWrap/>
            <w:vAlign w:val="bottom"/>
            <w:hideMark/>
          </w:tcPr>
          <w:p w14:paraId="0787EB8E"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x</w:t>
            </w:r>
          </w:p>
        </w:tc>
      </w:tr>
      <w:tr w:rsidR="003D371F" w:rsidRPr="00555A65" w14:paraId="2398E051"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C5DF24"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Freshwater catfish</w:t>
            </w:r>
          </w:p>
        </w:tc>
        <w:tc>
          <w:tcPr>
            <w:tcW w:w="0" w:type="auto"/>
            <w:tcBorders>
              <w:top w:val="nil"/>
              <w:left w:val="nil"/>
              <w:bottom w:val="single" w:sz="4" w:space="0" w:color="auto"/>
              <w:right w:val="single" w:sz="4" w:space="0" w:color="auto"/>
            </w:tcBorders>
            <w:shd w:val="clear" w:color="auto" w:fill="auto"/>
            <w:noWrap/>
            <w:vAlign w:val="bottom"/>
            <w:hideMark/>
          </w:tcPr>
          <w:p w14:paraId="570E2AB0"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55888E22"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72C19347"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16/11/2015</w:t>
            </w:r>
          </w:p>
        </w:tc>
        <w:tc>
          <w:tcPr>
            <w:tcW w:w="0" w:type="auto"/>
            <w:tcBorders>
              <w:top w:val="nil"/>
              <w:left w:val="nil"/>
              <w:bottom w:val="single" w:sz="4" w:space="0" w:color="auto"/>
              <w:right w:val="single" w:sz="4" w:space="0" w:color="auto"/>
            </w:tcBorders>
            <w:shd w:val="clear" w:color="auto" w:fill="auto"/>
            <w:noWrap/>
            <w:vAlign w:val="bottom"/>
            <w:hideMark/>
          </w:tcPr>
          <w:p w14:paraId="073BFE56"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38921DA1"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E24A4F"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Freshwater catfish</w:t>
            </w:r>
          </w:p>
        </w:tc>
        <w:tc>
          <w:tcPr>
            <w:tcW w:w="0" w:type="auto"/>
            <w:tcBorders>
              <w:top w:val="nil"/>
              <w:left w:val="nil"/>
              <w:bottom w:val="single" w:sz="4" w:space="0" w:color="auto"/>
              <w:right w:val="single" w:sz="4" w:space="0" w:color="auto"/>
            </w:tcBorders>
            <w:shd w:val="clear" w:color="auto" w:fill="auto"/>
            <w:noWrap/>
            <w:vAlign w:val="bottom"/>
            <w:hideMark/>
          </w:tcPr>
          <w:p w14:paraId="16498C19"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1E9054EE"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2216EAA1"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18/11/2015</w:t>
            </w:r>
          </w:p>
        </w:tc>
        <w:tc>
          <w:tcPr>
            <w:tcW w:w="0" w:type="auto"/>
            <w:tcBorders>
              <w:top w:val="nil"/>
              <w:left w:val="nil"/>
              <w:bottom w:val="single" w:sz="4" w:space="0" w:color="auto"/>
              <w:right w:val="single" w:sz="4" w:space="0" w:color="auto"/>
            </w:tcBorders>
            <w:shd w:val="clear" w:color="auto" w:fill="auto"/>
            <w:noWrap/>
            <w:vAlign w:val="bottom"/>
            <w:hideMark/>
          </w:tcPr>
          <w:p w14:paraId="6433F6DB"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x</w:t>
            </w:r>
          </w:p>
        </w:tc>
      </w:tr>
      <w:tr w:rsidR="003D371F" w:rsidRPr="00555A65" w14:paraId="53997CE9"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877CCF"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Freshwater catfish</w:t>
            </w:r>
          </w:p>
        </w:tc>
        <w:tc>
          <w:tcPr>
            <w:tcW w:w="0" w:type="auto"/>
            <w:tcBorders>
              <w:top w:val="nil"/>
              <w:left w:val="nil"/>
              <w:bottom w:val="single" w:sz="4" w:space="0" w:color="auto"/>
              <w:right w:val="single" w:sz="4" w:space="0" w:color="auto"/>
            </w:tcBorders>
            <w:shd w:val="clear" w:color="auto" w:fill="auto"/>
            <w:noWrap/>
            <w:vAlign w:val="bottom"/>
            <w:hideMark/>
          </w:tcPr>
          <w:p w14:paraId="60CBEA70"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09EDB158"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7EB92A99"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16/11/2015</w:t>
            </w:r>
          </w:p>
        </w:tc>
        <w:tc>
          <w:tcPr>
            <w:tcW w:w="0" w:type="auto"/>
            <w:tcBorders>
              <w:top w:val="nil"/>
              <w:left w:val="nil"/>
              <w:bottom w:val="single" w:sz="4" w:space="0" w:color="auto"/>
              <w:right w:val="single" w:sz="4" w:space="0" w:color="auto"/>
            </w:tcBorders>
            <w:shd w:val="clear" w:color="auto" w:fill="auto"/>
            <w:noWrap/>
            <w:vAlign w:val="bottom"/>
            <w:hideMark/>
          </w:tcPr>
          <w:p w14:paraId="20A4212D"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x</w:t>
            </w:r>
          </w:p>
        </w:tc>
      </w:tr>
      <w:tr w:rsidR="003D371F" w:rsidRPr="00555A65" w14:paraId="1AB947C3"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59CE03"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Freshwater catfish</w:t>
            </w:r>
          </w:p>
        </w:tc>
        <w:tc>
          <w:tcPr>
            <w:tcW w:w="0" w:type="auto"/>
            <w:tcBorders>
              <w:top w:val="nil"/>
              <w:left w:val="nil"/>
              <w:bottom w:val="single" w:sz="4" w:space="0" w:color="auto"/>
              <w:right w:val="single" w:sz="4" w:space="0" w:color="auto"/>
            </w:tcBorders>
            <w:shd w:val="clear" w:color="auto" w:fill="auto"/>
            <w:noWrap/>
            <w:vAlign w:val="bottom"/>
            <w:hideMark/>
          </w:tcPr>
          <w:p w14:paraId="0A411AFD"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7EB523D6"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062CD756"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16/11/2015</w:t>
            </w:r>
          </w:p>
        </w:tc>
        <w:tc>
          <w:tcPr>
            <w:tcW w:w="0" w:type="auto"/>
            <w:tcBorders>
              <w:top w:val="nil"/>
              <w:left w:val="nil"/>
              <w:bottom w:val="single" w:sz="4" w:space="0" w:color="auto"/>
              <w:right w:val="single" w:sz="4" w:space="0" w:color="auto"/>
            </w:tcBorders>
            <w:shd w:val="clear" w:color="auto" w:fill="auto"/>
            <w:noWrap/>
            <w:vAlign w:val="bottom"/>
            <w:hideMark/>
          </w:tcPr>
          <w:p w14:paraId="014DA4D6"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68F7298B"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02C926"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Freshwater catfish</w:t>
            </w:r>
          </w:p>
        </w:tc>
        <w:tc>
          <w:tcPr>
            <w:tcW w:w="0" w:type="auto"/>
            <w:tcBorders>
              <w:top w:val="nil"/>
              <w:left w:val="nil"/>
              <w:bottom w:val="single" w:sz="4" w:space="0" w:color="auto"/>
              <w:right w:val="single" w:sz="4" w:space="0" w:color="auto"/>
            </w:tcBorders>
            <w:shd w:val="clear" w:color="auto" w:fill="auto"/>
            <w:noWrap/>
            <w:vAlign w:val="bottom"/>
            <w:hideMark/>
          </w:tcPr>
          <w:p w14:paraId="72EB9CD1"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53EBF68F"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1E5EB6E0"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16/11/2015</w:t>
            </w:r>
          </w:p>
        </w:tc>
        <w:tc>
          <w:tcPr>
            <w:tcW w:w="0" w:type="auto"/>
            <w:tcBorders>
              <w:top w:val="nil"/>
              <w:left w:val="nil"/>
              <w:bottom w:val="single" w:sz="4" w:space="0" w:color="auto"/>
              <w:right w:val="single" w:sz="4" w:space="0" w:color="auto"/>
            </w:tcBorders>
            <w:shd w:val="clear" w:color="auto" w:fill="auto"/>
            <w:noWrap/>
            <w:vAlign w:val="bottom"/>
            <w:hideMark/>
          </w:tcPr>
          <w:p w14:paraId="329A6A92"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x</w:t>
            </w:r>
          </w:p>
        </w:tc>
      </w:tr>
      <w:tr w:rsidR="003D371F" w:rsidRPr="00555A65" w14:paraId="20FFBC56"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01B6C6"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Freshwater catfish</w:t>
            </w:r>
          </w:p>
        </w:tc>
        <w:tc>
          <w:tcPr>
            <w:tcW w:w="0" w:type="auto"/>
            <w:tcBorders>
              <w:top w:val="nil"/>
              <w:left w:val="nil"/>
              <w:bottom w:val="single" w:sz="4" w:space="0" w:color="auto"/>
              <w:right w:val="single" w:sz="4" w:space="0" w:color="auto"/>
            </w:tcBorders>
            <w:shd w:val="clear" w:color="auto" w:fill="auto"/>
            <w:noWrap/>
            <w:vAlign w:val="bottom"/>
            <w:hideMark/>
          </w:tcPr>
          <w:p w14:paraId="75CDBEBD"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711B5FC1"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42355C22"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18/11/2015</w:t>
            </w:r>
          </w:p>
        </w:tc>
        <w:tc>
          <w:tcPr>
            <w:tcW w:w="0" w:type="auto"/>
            <w:tcBorders>
              <w:top w:val="nil"/>
              <w:left w:val="nil"/>
              <w:bottom w:val="single" w:sz="4" w:space="0" w:color="auto"/>
              <w:right w:val="single" w:sz="4" w:space="0" w:color="auto"/>
            </w:tcBorders>
            <w:shd w:val="clear" w:color="auto" w:fill="auto"/>
            <w:noWrap/>
            <w:vAlign w:val="bottom"/>
            <w:hideMark/>
          </w:tcPr>
          <w:p w14:paraId="141C6948"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x</w:t>
            </w:r>
          </w:p>
        </w:tc>
      </w:tr>
      <w:tr w:rsidR="003D371F" w:rsidRPr="00555A65" w14:paraId="17E4FF0C"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E8E62B"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Freshwater catfish</w:t>
            </w:r>
          </w:p>
        </w:tc>
        <w:tc>
          <w:tcPr>
            <w:tcW w:w="0" w:type="auto"/>
            <w:tcBorders>
              <w:top w:val="nil"/>
              <w:left w:val="nil"/>
              <w:bottom w:val="single" w:sz="4" w:space="0" w:color="auto"/>
              <w:right w:val="single" w:sz="4" w:space="0" w:color="auto"/>
            </w:tcBorders>
            <w:shd w:val="clear" w:color="auto" w:fill="auto"/>
            <w:noWrap/>
            <w:vAlign w:val="bottom"/>
            <w:hideMark/>
          </w:tcPr>
          <w:p w14:paraId="3AD2B891"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40FF6E50"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1A</w:t>
            </w:r>
          </w:p>
        </w:tc>
        <w:tc>
          <w:tcPr>
            <w:tcW w:w="0" w:type="auto"/>
            <w:tcBorders>
              <w:top w:val="nil"/>
              <w:left w:val="nil"/>
              <w:bottom w:val="single" w:sz="4" w:space="0" w:color="auto"/>
              <w:right w:val="single" w:sz="4" w:space="0" w:color="auto"/>
            </w:tcBorders>
            <w:shd w:val="clear" w:color="auto" w:fill="auto"/>
            <w:noWrap/>
            <w:vAlign w:val="bottom"/>
            <w:hideMark/>
          </w:tcPr>
          <w:p w14:paraId="2237D286"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18/11/2015</w:t>
            </w:r>
          </w:p>
        </w:tc>
        <w:tc>
          <w:tcPr>
            <w:tcW w:w="0" w:type="auto"/>
            <w:tcBorders>
              <w:top w:val="nil"/>
              <w:left w:val="nil"/>
              <w:bottom w:val="single" w:sz="4" w:space="0" w:color="auto"/>
              <w:right w:val="single" w:sz="4" w:space="0" w:color="auto"/>
            </w:tcBorders>
            <w:shd w:val="clear" w:color="auto" w:fill="auto"/>
            <w:noWrap/>
            <w:vAlign w:val="bottom"/>
            <w:hideMark/>
          </w:tcPr>
          <w:p w14:paraId="529421E4"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x</w:t>
            </w:r>
          </w:p>
        </w:tc>
      </w:tr>
      <w:tr w:rsidR="003D371F" w:rsidRPr="00555A65" w14:paraId="608BDC9D"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193352"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Freshwater catfish</w:t>
            </w:r>
          </w:p>
        </w:tc>
        <w:tc>
          <w:tcPr>
            <w:tcW w:w="0" w:type="auto"/>
            <w:tcBorders>
              <w:top w:val="nil"/>
              <w:left w:val="nil"/>
              <w:bottom w:val="single" w:sz="4" w:space="0" w:color="auto"/>
              <w:right w:val="single" w:sz="4" w:space="0" w:color="auto"/>
            </w:tcBorders>
            <w:shd w:val="clear" w:color="auto" w:fill="auto"/>
            <w:noWrap/>
            <w:vAlign w:val="bottom"/>
            <w:hideMark/>
          </w:tcPr>
          <w:p w14:paraId="2CD2A0F7"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2775E4D8"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1B</w:t>
            </w:r>
          </w:p>
        </w:tc>
        <w:tc>
          <w:tcPr>
            <w:tcW w:w="0" w:type="auto"/>
            <w:tcBorders>
              <w:top w:val="nil"/>
              <w:left w:val="nil"/>
              <w:bottom w:val="single" w:sz="4" w:space="0" w:color="auto"/>
              <w:right w:val="single" w:sz="4" w:space="0" w:color="auto"/>
            </w:tcBorders>
            <w:shd w:val="clear" w:color="auto" w:fill="auto"/>
            <w:noWrap/>
            <w:vAlign w:val="bottom"/>
            <w:hideMark/>
          </w:tcPr>
          <w:p w14:paraId="70D90663"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18/11/2015</w:t>
            </w:r>
          </w:p>
        </w:tc>
        <w:tc>
          <w:tcPr>
            <w:tcW w:w="0" w:type="auto"/>
            <w:tcBorders>
              <w:top w:val="nil"/>
              <w:left w:val="nil"/>
              <w:bottom w:val="single" w:sz="4" w:space="0" w:color="auto"/>
              <w:right w:val="single" w:sz="4" w:space="0" w:color="auto"/>
            </w:tcBorders>
            <w:shd w:val="clear" w:color="auto" w:fill="auto"/>
            <w:noWrap/>
            <w:vAlign w:val="bottom"/>
            <w:hideMark/>
          </w:tcPr>
          <w:p w14:paraId="50D6EE96"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5B1B5083"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9B50FE"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Freshwater catfish</w:t>
            </w:r>
          </w:p>
        </w:tc>
        <w:tc>
          <w:tcPr>
            <w:tcW w:w="0" w:type="auto"/>
            <w:tcBorders>
              <w:top w:val="nil"/>
              <w:left w:val="nil"/>
              <w:bottom w:val="single" w:sz="4" w:space="0" w:color="auto"/>
              <w:right w:val="single" w:sz="4" w:space="0" w:color="auto"/>
            </w:tcBorders>
            <w:shd w:val="clear" w:color="auto" w:fill="auto"/>
            <w:noWrap/>
            <w:vAlign w:val="bottom"/>
            <w:hideMark/>
          </w:tcPr>
          <w:p w14:paraId="117F17F0"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21</w:t>
            </w:r>
          </w:p>
        </w:tc>
        <w:tc>
          <w:tcPr>
            <w:tcW w:w="0" w:type="auto"/>
            <w:tcBorders>
              <w:top w:val="nil"/>
              <w:left w:val="nil"/>
              <w:bottom w:val="single" w:sz="4" w:space="0" w:color="auto"/>
              <w:right w:val="single" w:sz="4" w:space="0" w:color="auto"/>
            </w:tcBorders>
            <w:shd w:val="clear" w:color="auto" w:fill="auto"/>
            <w:noWrap/>
            <w:vAlign w:val="bottom"/>
            <w:hideMark/>
          </w:tcPr>
          <w:p w14:paraId="53C608CF"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6F4CD6FF"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30/11/2015</w:t>
            </w:r>
          </w:p>
        </w:tc>
        <w:tc>
          <w:tcPr>
            <w:tcW w:w="0" w:type="auto"/>
            <w:tcBorders>
              <w:top w:val="nil"/>
              <w:left w:val="nil"/>
              <w:bottom w:val="single" w:sz="4" w:space="0" w:color="auto"/>
              <w:right w:val="single" w:sz="4" w:space="0" w:color="auto"/>
            </w:tcBorders>
            <w:shd w:val="clear" w:color="auto" w:fill="auto"/>
            <w:noWrap/>
            <w:vAlign w:val="bottom"/>
            <w:hideMark/>
          </w:tcPr>
          <w:p w14:paraId="71E0E0C1"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x</w:t>
            </w:r>
          </w:p>
        </w:tc>
      </w:tr>
      <w:tr w:rsidR="003D371F" w:rsidRPr="00555A65" w14:paraId="268497B7"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EC89EE"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Freshwater catfish</w:t>
            </w:r>
          </w:p>
        </w:tc>
        <w:tc>
          <w:tcPr>
            <w:tcW w:w="0" w:type="auto"/>
            <w:tcBorders>
              <w:top w:val="nil"/>
              <w:left w:val="nil"/>
              <w:bottom w:val="single" w:sz="4" w:space="0" w:color="auto"/>
              <w:right w:val="single" w:sz="4" w:space="0" w:color="auto"/>
            </w:tcBorders>
            <w:shd w:val="clear" w:color="auto" w:fill="auto"/>
            <w:noWrap/>
            <w:vAlign w:val="bottom"/>
            <w:hideMark/>
          </w:tcPr>
          <w:p w14:paraId="2A744F39"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4B0FF66D"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3E6DA0B2"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15/12/2015</w:t>
            </w:r>
          </w:p>
        </w:tc>
        <w:tc>
          <w:tcPr>
            <w:tcW w:w="0" w:type="auto"/>
            <w:tcBorders>
              <w:top w:val="nil"/>
              <w:left w:val="nil"/>
              <w:bottom w:val="single" w:sz="4" w:space="0" w:color="auto"/>
              <w:right w:val="single" w:sz="4" w:space="0" w:color="auto"/>
            </w:tcBorders>
            <w:shd w:val="clear" w:color="auto" w:fill="auto"/>
            <w:noWrap/>
            <w:vAlign w:val="bottom"/>
            <w:hideMark/>
          </w:tcPr>
          <w:p w14:paraId="0EBA9220"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 </w:t>
            </w:r>
          </w:p>
        </w:tc>
      </w:tr>
      <w:tr w:rsidR="003D371F" w:rsidRPr="00555A65" w14:paraId="5179E9E7" w14:textId="77777777" w:rsidTr="00555A65">
        <w:trPr>
          <w:trHeight w:val="2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BD02E6" w14:textId="77777777" w:rsidR="003D371F" w:rsidRPr="00555A65" w:rsidRDefault="003D371F" w:rsidP="003D371F">
            <w:pPr>
              <w:spacing w:before="0" w:after="0" w:line="240" w:lineRule="auto"/>
              <w:jc w:val="left"/>
              <w:rPr>
                <w:rFonts w:cs="Calibri"/>
                <w:kern w:val="0"/>
                <w:sz w:val="19"/>
                <w:szCs w:val="19"/>
                <w:lang w:eastAsia="en-AU"/>
              </w:rPr>
            </w:pPr>
            <w:r w:rsidRPr="00555A65">
              <w:rPr>
                <w:rFonts w:cs="Calibri"/>
                <w:kern w:val="0"/>
                <w:sz w:val="19"/>
                <w:szCs w:val="19"/>
                <w:lang w:eastAsia="en-AU"/>
              </w:rPr>
              <w:t>Freshwater catfish</w:t>
            </w:r>
          </w:p>
        </w:tc>
        <w:tc>
          <w:tcPr>
            <w:tcW w:w="0" w:type="auto"/>
            <w:tcBorders>
              <w:top w:val="nil"/>
              <w:left w:val="nil"/>
              <w:bottom w:val="single" w:sz="4" w:space="0" w:color="auto"/>
              <w:right w:val="single" w:sz="4" w:space="0" w:color="auto"/>
            </w:tcBorders>
            <w:shd w:val="clear" w:color="auto" w:fill="auto"/>
            <w:noWrap/>
            <w:vAlign w:val="bottom"/>
            <w:hideMark/>
          </w:tcPr>
          <w:p w14:paraId="39250CF8"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5D6F50A5"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1275BFE2" w14:textId="77777777" w:rsidR="003D371F" w:rsidRPr="00555A65" w:rsidRDefault="003D371F" w:rsidP="003D371F">
            <w:pPr>
              <w:spacing w:before="0" w:after="0" w:line="240" w:lineRule="auto"/>
              <w:jc w:val="right"/>
              <w:rPr>
                <w:rFonts w:cs="Calibri"/>
                <w:kern w:val="0"/>
                <w:sz w:val="19"/>
                <w:szCs w:val="19"/>
                <w:lang w:eastAsia="en-AU"/>
              </w:rPr>
            </w:pPr>
            <w:r w:rsidRPr="00555A65">
              <w:rPr>
                <w:rFonts w:cs="Calibri"/>
                <w:kern w:val="0"/>
                <w:sz w:val="19"/>
                <w:szCs w:val="19"/>
                <w:lang w:eastAsia="en-AU"/>
              </w:rPr>
              <w:t>15/12/2015</w:t>
            </w:r>
          </w:p>
        </w:tc>
        <w:tc>
          <w:tcPr>
            <w:tcW w:w="0" w:type="auto"/>
            <w:tcBorders>
              <w:top w:val="nil"/>
              <w:left w:val="nil"/>
              <w:bottom w:val="single" w:sz="4" w:space="0" w:color="auto"/>
              <w:right w:val="single" w:sz="4" w:space="0" w:color="auto"/>
            </w:tcBorders>
            <w:shd w:val="clear" w:color="auto" w:fill="auto"/>
            <w:noWrap/>
            <w:vAlign w:val="bottom"/>
            <w:hideMark/>
          </w:tcPr>
          <w:p w14:paraId="4A4EF0D5" w14:textId="77777777" w:rsidR="003D371F" w:rsidRPr="00555A65" w:rsidRDefault="003D371F" w:rsidP="003D371F">
            <w:pPr>
              <w:spacing w:before="0" w:after="0" w:line="240" w:lineRule="auto"/>
              <w:jc w:val="center"/>
              <w:rPr>
                <w:rFonts w:cs="Calibri"/>
                <w:kern w:val="0"/>
                <w:sz w:val="19"/>
                <w:szCs w:val="19"/>
                <w:lang w:eastAsia="en-AU"/>
              </w:rPr>
            </w:pPr>
            <w:r w:rsidRPr="00555A65">
              <w:rPr>
                <w:rFonts w:cs="Calibri"/>
                <w:kern w:val="0"/>
                <w:sz w:val="19"/>
                <w:szCs w:val="19"/>
                <w:lang w:eastAsia="en-AU"/>
              </w:rPr>
              <w:t>x</w:t>
            </w:r>
          </w:p>
        </w:tc>
      </w:tr>
    </w:tbl>
    <w:p w14:paraId="28A01EE0" w14:textId="77777777" w:rsidR="00555A65" w:rsidRDefault="00555A65" w:rsidP="00B46038">
      <w:pPr>
        <w:pStyle w:val="Captions"/>
      </w:pPr>
    </w:p>
    <w:p w14:paraId="2A85FCCC" w14:textId="7FD2D010" w:rsidR="003D371F" w:rsidRPr="00924185" w:rsidRDefault="003D371F" w:rsidP="00B46038">
      <w:pPr>
        <w:pStyle w:val="Captions"/>
      </w:pPr>
      <w:r w:rsidRPr="00924185">
        <w:lastRenderedPageBreak/>
        <w:t>Table G9. Summary of gut content analysis of post-larval silver perch (</w:t>
      </w:r>
      <w:r w:rsidRPr="00924185">
        <w:rPr>
          <w:i/>
        </w:rPr>
        <w:t>n</w:t>
      </w:r>
      <w:r w:rsidRPr="00924185">
        <w:t xml:space="preserve"> = 1; total length (TL) = 30 mm) golden perch (</w:t>
      </w:r>
      <w:r w:rsidRPr="00924185">
        <w:rPr>
          <w:i/>
        </w:rPr>
        <w:t>n</w:t>
      </w:r>
      <w:r w:rsidRPr="00924185">
        <w:t xml:space="preserve"> = 1; TL = 13 mm), Murray cod (</w:t>
      </w:r>
      <w:r w:rsidRPr="00924185">
        <w:rPr>
          <w:i/>
        </w:rPr>
        <w:t>n</w:t>
      </w:r>
      <w:r w:rsidRPr="00924185">
        <w:t xml:space="preserve"> = 8; TL = 10–12 mm) and freshwater catfish (</w:t>
      </w:r>
      <w:r w:rsidRPr="00924185">
        <w:rPr>
          <w:i/>
        </w:rPr>
        <w:t>n</w:t>
      </w:r>
      <w:r w:rsidRPr="00924185">
        <w:t> = 9; TL = 15–21 mm). %N represents the numerical proportion of a prey item towards the total within each species.</w:t>
      </w:r>
    </w:p>
    <w:tbl>
      <w:tblPr>
        <w:tblW w:w="4875" w:type="pct"/>
        <w:tblLayout w:type="fixed"/>
        <w:tblLook w:val="04A0" w:firstRow="1" w:lastRow="0" w:firstColumn="1" w:lastColumn="0" w:noHBand="0" w:noVBand="1"/>
      </w:tblPr>
      <w:tblGrid>
        <w:gridCol w:w="2268"/>
        <w:gridCol w:w="991"/>
        <w:gridCol w:w="569"/>
        <w:gridCol w:w="991"/>
        <w:gridCol w:w="710"/>
        <w:gridCol w:w="991"/>
        <w:gridCol w:w="569"/>
        <w:gridCol w:w="991"/>
        <w:gridCol w:w="705"/>
      </w:tblGrid>
      <w:tr w:rsidR="003D371F" w:rsidRPr="005D6B6A" w14:paraId="71216412" w14:textId="77777777" w:rsidTr="003D371F">
        <w:trPr>
          <w:trHeight w:val="227"/>
        </w:trPr>
        <w:tc>
          <w:tcPr>
            <w:tcW w:w="1291" w:type="pct"/>
            <w:tcBorders>
              <w:top w:val="single" w:sz="4" w:space="0" w:color="auto"/>
              <w:left w:val="single" w:sz="4" w:space="0" w:color="auto"/>
              <w:bottom w:val="nil"/>
              <w:right w:val="single" w:sz="4" w:space="0" w:color="auto"/>
            </w:tcBorders>
            <w:shd w:val="clear" w:color="auto" w:fill="auto"/>
            <w:noWrap/>
            <w:vAlign w:val="bottom"/>
            <w:hideMark/>
          </w:tcPr>
          <w:p w14:paraId="713FEA4F"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887" w:type="pct"/>
            <w:gridSpan w:val="2"/>
            <w:tcBorders>
              <w:top w:val="single" w:sz="4" w:space="0" w:color="auto"/>
              <w:left w:val="nil"/>
              <w:bottom w:val="nil"/>
              <w:right w:val="single" w:sz="4" w:space="0" w:color="000000"/>
            </w:tcBorders>
            <w:shd w:val="clear" w:color="auto" w:fill="auto"/>
            <w:noWrap/>
            <w:vAlign w:val="bottom"/>
            <w:hideMark/>
          </w:tcPr>
          <w:p w14:paraId="3C0CCE7D" w14:textId="77777777" w:rsidR="003D371F" w:rsidRPr="005D6B6A" w:rsidRDefault="003D371F" w:rsidP="003D371F">
            <w:pPr>
              <w:spacing w:before="0" w:after="0" w:line="240" w:lineRule="auto"/>
              <w:contextualSpacing/>
              <w:jc w:val="left"/>
              <w:rPr>
                <w:rFonts w:cs="Calibri"/>
                <w:b/>
                <w:bCs/>
                <w:kern w:val="0"/>
                <w:sz w:val="17"/>
                <w:szCs w:val="17"/>
                <w:lang w:eastAsia="en-AU"/>
              </w:rPr>
            </w:pPr>
            <w:r w:rsidRPr="005D6B6A">
              <w:rPr>
                <w:rFonts w:cs="Calibri"/>
                <w:b/>
                <w:bCs/>
                <w:kern w:val="0"/>
                <w:sz w:val="17"/>
                <w:szCs w:val="17"/>
                <w:lang w:eastAsia="en-AU"/>
              </w:rPr>
              <w:t>Silver perch</w:t>
            </w:r>
          </w:p>
        </w:tc>
        <w:tc>
          <w:tcPr>
            <w:tcW w:w="967" w:type="pct"/>
            <w:gridSpan w:val="2"/>
            <w:tcBorders>
              <w:top w:val="single" w:sz="4" w:space="0" w:color="auto"/>
              <w:left w:val="nil"/>
              <w:bottom w:val="nil"/>
              <w:right w:val="single" w:sz="4" w:space="0" w:color="000000"/>
            </w:tcBorders>
            <w:shd w:val="clear" w:color="auto" w:fill="auto"/>
            <w:noWrap/>
            <w:vAlign w:val="bottom"/>
            <w:hideMark/>
          </w:tcPr>
          <w:p w14:paraId="525A5991" w14:textId="77777777" w:rsidR="003D371F" w:rsidRPr="005D6B6A" w:rsidRDefault="003D371F" w:rsidP="003D371F">
            <w:pPr>
              <w:spacing w:before="0" w:after="0" w:line="240" w:lineRule="auto"/>
              <w:contextualSpacing/>
              <w:jc w:val="left"/>
              <w:rPr>
                <w:rFonts w:cs="Calibri"/>
                <w:b/>
                <w:bCs/>
                <w:kern w:val="0"/>
                <w:sz w:val="17"/>
                <w:szCs w:val="17"/>
                <w:lang w:eastAsia="en-AU"/>
              </w:rPr>
            </w:pPr>
            <w:r w:rsidRPr="005D6B6A">
              <w:rPr>
                <w:rFonts w:cs="Calibri"/>
                <w:b/>
                <w:bCs/>
                <w:kern w:val="0"/>
                <w:sz w:val="17"/>
                <w:szCs w:val="17"/>
                <w:lang w:eastAsia="en-AU"/>
              </w:rPr>
              <w:t>Golden perch</w:t>
            </w:r>
          </w:p>
        </w:tc>
        <w:tc>
          <w:tcPr>
            <w:tcW w:w="887" w:type="pct"/>
            <w:gridSpan w:val="2"/>
            <w:tcBorders>
              <w:top w:val="single" w:sz="4" w:space="0" w:color="auto"/>
              <w:left w:val="nil"/>
              <w:bottom w:val="nil"/>
              <w:right w:val="single" w:sz="4" w:space="0" w:color="auto"/>
            </w:tcBorders>
            <w:shd w:val="clear" w:color="auto" w:fill="auto"/>
            <w:noWrap/>
            <w:vAlign w:val="bottom"/>
            <w:hideMark/>
          </w:tcPr>
          <w:p w14:paraId="6F2AE671" w14:textId="77777777" w:rsidR="003D371F" w:rsidRPr="005D6B6A" w:rsidRDefault="003D371F" w:rsidP="003D371F">
            <w:pPr>
              <w:spacing w:before="0" w:after="0" w:line="240" w:lineRule="auto"/>
              <w:contextualSpacing/>
              <w:jc w:val="left"/>
              <w:rPr>
                <w:rFonts w:cs="Calibri"/>
                <w:b/>
                <w:bCs/>
                <w:kern w:val="0"/>
                <w:sz w:val="17"/>
                <w:szCs w:val="17"/>
                <w:lang w:eastAsia="en-AU"/>
              </w:rPr>
            </w:pPr>
            <w:r w:rsidRPr="005D6B6A">
              <w:rPr>
                <w:rFonts w:cs="Calibri"/>
                <w:b/>
                <w:bCs/>
                <w:kern w:val="0"/>
                <w:sz w:val="17"/>
                <w:szCs w:val="17"/>
                <w:lang w:eastAsia="en-AU"/>
              </w:rPr>
              <w:t>Murray cod</w:t>
            </w:r>
          </w:p>
        </w:tc>
        <w:tc>
          <w:tcPr>
            <w:tcW w:w="967" w:type="pct"/>
            <w:gridSpan w:val="2"/>
            <w:tcBorders>
              <w:top w:val="single" w:sz="4" w:space="0" w:color="auto"/>
              <w:left w:val="single" w:sz="4" w:space="0" w:color="auto"/>
              <w:bottom w:val="nil"/>
              <w:right w:val="single" w:sz="4" w:space="0" w:color="000000"/>
            </w:tcBorders>
            <w:shd w:val="clear" w:color="auto" w:fill="auto"/>
            <w:noWrap/>
            <w:vAlign w:val="bottom"/>
            <w:hideMark/>
          </w:tcPr>
          <w:p w14:paraId="5BD763ED" w14:textId="77777777" w:rsidR="003D371F" w:rsidRPr="005D6B6A" w:rsidRDefault="003D371F" w:rsidP="003D371F">
            <w:pPr>
              <w:spacing w:before="0" w:after="0" w:line="240" w:lineRule="auto"/>
              <w:contextualSpacing/>
              <w:jc w:val="left"/>
              <w:rPr>
                <w:rFonts w:cs="Calibri"/>
                <w:b/>
                <w:bCs/>
                <w:kern w:val="0"/>
                <w:sz w:val="17"/>
                <w:szCs w:val="17"/>
                <w:lang w:eastAsia="en-AU"/>
              </w:rPr>
            </w:pPr>
            <w:r w:rsidRPr="005D6B6A">
              <w:rPr>
                <w:rFonts w:cs="Calibri"/>
                <w:b/>
                <w:bCs/>
                <w:kern w:val="0"/>
                <w:sz w:val="17"/>
                <w:szCs w:val="17"/>
                <w:lang w:eastAsia="en-AU"/>
              </w:rPr>
              <w:t>Freshwater catfish</w:t>
            </w:r>
          </w:p>
        </w:tc>
      </w:tr>
      <w:tr w:rsidR="003D371F" w:rsidRPr="005D6B6A" w14:paraId="1C5F2F2A"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2908F2BD" w14:textId="77777777" w:rsidR="003D371F" w:rsidRPr="005D6B6A" w:rsidRDefault="003D371F" w:rsidP="003D371F">
            <w:pPr>
              <w:spacing w:before="0" w:after="0" w:line="240" w:lineRule="auto"/>
              <w:contextualSpacing/>
              <w:jc w:val="left"/>
              <w:rPr>
                <w:rFonts w:cs="Calibri"/>
                <w:b/>
                <w:bCs/>
                <w:kern w:val="0"/>
                <w:sz w:val="17"/>
                <w:szCs w:val="17"/>
                <w:lang w:eastAsia="en-AU"/>
              </w:rPr>
            </w:pPr>
            <w:r w:rsidRPr="005D6B6A">
              <w:rPr>
                <w:rFonts w:cs="Calibri"/>
                <w:b/>
                <w:bCs/>
                <w:kern w:val="0"/>
                <w:sz w:val="17"/>
                <w:szCs w:val="17"/>
                <w:lang w:eastAsia="en-AU"/>
              </w:rPr>
              <w:t>Prey</w:t>
            </w:r>
          </w:p>
        </w:tc>
        <w:tc>
          <w:tcPr>
            <w:tcW w:w="564" w:type="pct"/>
            <w:tcBorders>
              <w:top w:val="nil"/>
              <w:left w:val="nil"/>
              <w:bottom w:val="nil"/>
              <w:right w:val="nil"/>
            </w:tcBorders>
            <w:shd w:val="clear" w:color="auto" w:fill="auto"/>
            <w:noWrap/>
            <w:vAlign w:val="bottom"/>
            <w:hideMark/>
          </w:tcPr>
          <w:p w14:paraId="5754FB39"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Presence</w:t>
            </w:r>
          </w:p>
        </w:tc>
        <w:tc>
          <w:tcPr>
            <w:tcW w:w="324" w:type="pct"/>
            <w:tcBorders>
              <w:top w:val="nil"/>
              <w:left w:val="nil"/>
              <w:bottom w:val="nil"/>
              <w:right w:val="single" w:sz="4" w:space="0" w:color="auto"/>
            </w:tcBorders>
            <w:shd w:val="clear" w:color="auto" w:fill="auto"/>
            <w:noWrap/>
            <w:vAlign w:val="bottom"/>
            <w:hideMark/>
          </w:tcPr>
          <w:p w14:paraId="7236AD3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%N</w:t>
            </w:r>
          </w:p>
        </w:tc>
        <w:tc>
          <w:tcPr>
            <w:tcW w:w="564" w:type="pct"/>
            <w:tcBorders>
              <w:top w:val="nil"/>
              <w:left w:val="nil"/>
              <w:bottom w:val="nil"/>
              <w:right w:val="nil"/>
            </w:tcBorders>
            <w:shd w:val="clear" w:color="auto" w:fill="auto"/>
            <w:noWrap/>
            <w:vAlign w:val="bottom"/>
            <w:hideMark/>
          </w:tcPr>
          <w:p w14:paraId="36A1272C"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Presence</w:t>
            </w:r>
          </w:p>
        </w:tc>
        <w:tc>
          <w:tcPr>
            <w:tcW w:w="404" w:type="pct"/>
            <w:tcBorders>
              <w:top w:val="nil"/>
              <w:left w:val="nil"/>
              <w:bottom w:val="nil"/>
              <w:right w:val="single" w:sz="4" w:space="0" w:color="auto"/>
            </w:tcBorders>
            <w:shd w:val="clear" w:color="auto" w:fill="auto"/>
            <w:noWrap/>
            <w:vAlign w:val="bottom"/>
            <w:hideMark/>
          </w:tcPr>
          <w:p w14:paraId="5F68A25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%N</w:t>
            </w:r>
          </w:p>
        </w:tc>
        <w:tc>
          <w:tcPr>
            <w:tcW w:w="564" w:type="pct"/>
            <w:tcBorders>
              <w:top w:val="nil"/>
              <w:left w:val="nil"/>
              <w:bottom w:val="nil"/>
              <w:right w:val="nil"/>
            </w:tcBorders>
            <w:shd w:val="clear" w:color="auto" w:fill="auto"/>
            <w:noWrap/>
            <w:vAlign w:val="bottom"/>
            <w:hideMark/>
          </w:tcPr>
          <w:p w14:paraId="4C29D2C1"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Presence</w:t>
            </w:r>
          </w:p>
        </w:tc>
        <w:tc>
          <w:tcPr>
            <w:tcW w:w="324" w:type="pct"/>
            <w:tcBorders>
              <w:top w:val="nil"/>
              <w:left w:val="nil"/>
              <w:bottom w:val="nil"/>
              <w:right w:val="single" w:sz="4" w:space="0" w:color="auto"/>
            </w:tcBorders>
            <w:shd w:val="clear" w:color="auto" w:fill="auto"/>
            <w:noWrap/>
            <w:vAlign w:val="bottom"/>
            <w:hideMark/>
          </w:tcPr>
          <w:p w14:paraId="7B871173"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%N</w:t>
            </w:r>
          </w:p>
        </w:tc>
        <w:tc>
          <w:tcPr>
            <w:tcW w:w="564" w:type="pct"/>
            <w:tcBorders>
              <w:top w:val="nil"/>
              <w:left w:val="nil"/>
              <w:bottom w:val="nil"/>
              <w:right w:val="nil"/>
            </w:tcBorders>
            <w:shd w:val="clear" w:color="auto" w:fill="auto"/>
            <w:noWrap/>
            <w:vAlign w:val="bottom"/>
            <w:hideMark/>
          </w:tcPr>
          <w:p w14:paraId="07B552BB"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Presence</w:t>
            </w:r>
          </w:p>
        </w:tc>
        <w:tc>
          <w:tcPr>
            <w:tcW w:w="404" w:type="pct"/>
            <w:tcBorders>
              <w:top w:val="nil"/>
              <w:left w:val="nil"/>
              <w:bottom w:val="nil"/>
              <w:right w:val="single" w:sz="4" w:space="0" w:color="auto"/>
            </w:tcBorders>
            <w:shd w:val="clear" w:color="auto" w:fill="auto"/>
            <w:noWrap/>
            <w:vAlign w:val="bottom"/>
            <w:hideMark/>
          </w:tcPr>
          <w:p w14:paraId="52337D6A"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%N</w:t>
            </w:r>
          </w:p>
        </w:tc>
      </w:tr>
      <w:tr w:rsidR="003D371F" w:rsidRPr="005D6B6A" w14:paraId="2B3BA326" w14:textId="77777777" w:rsidTr="003D371F">
        <w:trPr>
          <w:trHeight w:val="227"/>
        </w:trPr>
        <w:tc>
          <w:tcPr>
            <w:tcW w:w="1291" w:type="pct"/>
            <w:tcBorders>
              <w:top w:val="single" w:sz="4" w:space="0" w:color="auto"/>
              <w:left w:val="single" w:sz="4" w:space="0" w:color="auto"/>
              <w:bottom w:val="nil"/>
              <w:right w:val="single" w:sz="4" w:space="0" w:color="auto"/>
            </w:tcBorders>
            <w:shd w:val="clear" w:color="auto" w:fill="auto"/>
            <w:noWrap/>
            <w:vAlign w:val="bottom"/>
            <w:hideMark/>
          </w:tcPr>
          <w:p w14:paraId="0AA12811" w14:textId="77777777" w:rsidR="003D371F" w:rsidRPr="005D6B6A" w:rsidRDefault="003D371F" w:rsidP="003D371F">
            <w:pPr>
              <w:spacing w:before="0" w:after="0" w:line="240" w:lineRule="auto"/>
              <w:contextualSpacing/>
              <w:jc w:val="left"/>
              <w:rPr>
                <w:rFonts w:cs="Calibri"/>
                <w:b/>
                <w:bCs/>
                <w:kern w:val="0"/>
                <w:sz w:val="17"/>
                <w:szCs w:val="17"/>
                <w:lang w:eastAsia="en-AU"/>
              </w:rPr>
            </w:pPr>
            <w:r w:rsidRPr="005D6B6A">
              <w:rPr>
                <w:rFonts w:cs="Calibri"/>
                <w:b/>
                <w:bCs/>
                <w:kern w:val="0"/>
                <w:sz w:val="17"/>
                <w:szCs w:val="17"/>
                <w:lang w:eastAsia="en-AU"/>
              </w:rPr>
              <w:t>Copepoda</w:t>
            </w:r>
          </w:p>
        </w:tc>
        <w:tc>
          <w:tcPr>
            <w:tcW w:w="564" w:type="pct"/>
            <w:tcBorders>
              <w:top w:val="single" w:sz="4" w:space="0" w:color="auto"/>
              <w:left w:val="nil"/>
              <w:bottom w:val="nil"/>
              <w:right w:val="nil"/>
            </w:tcBorders>
            <w:shd w:val="clear" w:color="auto" w:fill="auto"/>
            <w:noWrap/>
            <w:vAlign w:val="bottom"/>
            <w:hideMark/>
          </w:tcPr>
          <w:p w14:paraId="638AC46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single" w:sz="4" w:space="0" w:color="auto"/>
              <w:left w:val="nil"/>
              <w:bottom w:val="nil"/>
              <w:right w:val="single" w:sz="4" w:space="0" w:color="auto"/>
            </w:tcBorders>
            <w:shd w:val="clear" w:color="auto" w:fill="auto"/>
            <w:noWrap/>
            <w:vAlign w:val="bottom"/>
            <w:hideMark/>
          </w:tcPr>
          <w:p w14:paraId="5D9E88E6"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single" w:sz="4" w:space="0" w:color="auto"/>
              <w:left w:val="nil"/>
              <w:bottom w:val="nil"/>
              <w:right w:val="nil"/>
            </w:tcBorders>
            <w:shd w:val="clear" w:color="auto" w:fill="auto"/>
            <w:noWrap/>
            <w:vAlign w:val="bottom"/>
            <w:hideMark/>
          </w:tcPr>
          <w:p w14:paraId="25F6D0B3"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single" w:sz="4" w:space="0" w:color="auto"/>
              <w:left w:val="nil"/>
              <w:bottom w:val="nil"/>
              <w:right w:val="single" w:sz="4" w:space="0" w:color="auto"/>
            </w:tcBorders>
            <w:shd w:val="clear" w:color="auto" w:fill="auto"/>
            <w:noWrap/>
            <w:vAlign w:val="bottom"/>
            <w:hideMark/>
          </w:tcPr>
          <w:p w14:paraId="08B12126"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single" w:sz="4" w:space="0" w:color="auto"/>
              <w:left w:val="nil"/>
              <w:bottom w:val="nil"/>
              <w:right w:val="nil"/>
            </w:tcBorders>
            <w:shd w:val="clear" w:color="auto" w:fill="auto"/>
            <w:noWrap/>
            <w:vAlign w:val="bottom"/>
            <w:hideMark/>
          </w:tcPr>
          <w:p w14:paraId="0E51522D"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single" w:sz="4" w:space="0" w:color="auto"/>
              <w:left w:val="nil"/>
              <w:bottom w:val="nil"/>
              <w:right w:val="single" w:sz="4" w:space="0" w:color="auto"/>
            </w:tcBorders>
            <w:shd w:val="clear" w:color="auto" w:fill="auto"/>
            <w:noWrap/>
            <w:vAlign w:val="bottom"/>
            <w:hideMark/>
          </w:tcPr>
          <w:p w14:paraId="60CA31A2"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single" w:sz="4" w:space="0" w:color="auto"/>
              <w:left w:val="nil"/>
              <w:bottom w:val="nil"/>
              <w:right w:val="nil"/>
            </w:tcBorders>
            <w:shd w:val="clear" w:color="auto" w:fill="auto"/>
            <w:noWrap/>
            <w:vAlign w:val="bottom"/>
            <w:hideMark/>
          </w:tcPr>
          <w:p w14:paraId="47DEF0EA"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single" w:sz="4" w:space="0" w:color="auto"/>
              <w:left w:val="nil"/>
              <w:bottom w:val="nil"/>
              <w:right w:val="single" w:sz="4" w:space="0" w:color="auto"/>
            </w:tcBorders>
            <w:shd w:val="clear" w:color="auto" w:fill="auto"/>
            <w:noWrap/>
            <w:vAlign w:val="bottom"/>
            <w:hideMark/>
          </w:tcPr>
          <w:p w14:paraId="4ECD0B69"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3107505C"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29EEA0C7"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xml:space="preserve"> Copepoda unid.</w:t>
            </w:r>
          </w:p>
        </w:tc>
        <w:tc>
          <w:tcPr>
            <w:tcW w:w="564" w:type="pct"/>
            <w:tcBorders>
              <w:top w:val="nil"/>
              <w:left w:val="nil"/>
              <w:bottom w:val="nil"/>
              <w:right w:val="nil"/>
            </w:tcBorders>
            <w:shd w:val="clear" w:color="auto" w:fill="auto"/>
            <w:noWrap/>
            <w:vAlign w:val="bottom"/>
            <w:hideMark/>
          </w:tcPr>
          <w:p w14:paraId="429AC012"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45C73AD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0729552D"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57B5579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62EF320C"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0D5FD48C"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3069BEB3"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1/9</w:t>
            </w:r>
          </w:p>
        </w:tc>
        <w:tc>
          <w:tcPr>
            <w:tcW w:w="404" w:type="pct"/>
            <w:tcBorders>
              <w:top w:val="nil"/>
              <w:left w:val="nil"/>
              <w:bottom w:val="nil"/>
              <w:right w:val="single" w:sz="4" w:space="0" w:color="auto"/>
            </w:tcBorders>
            <w:shd w:val="clear" w:color="auto" w:fill="auto"/>
            <w:noWrap/>
            <w:vAlign w:val="bottom"/>
            <w:hideMark/>
          </w:tcPr>
          <w:p w14:paraId="63C5A993"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2.0</w:t>
            </w:r>
          </w:p>
        </w:tc>
      </w:tr>
      <w:tr w:rsidR="003D371F" w:rsidRPr="005D6B6A" w14:paraId="754D0FD1"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00A298B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xml:space="preserve"> Calanoida</w:t>
            </w:r>
          </w:p>
        </w:tc>
        <w:tc>
          <w:tcPr>
            <w:tcW w:w="564" w:type="pct"/>
            <w:tcBorders>
              <w:top w:val="nil"/>
              <w:left w:val="nil"/>
              <w:bottom w:val="nil"/>
              <w:right w:val="nil"/>
            </w:tcBorders>
            <w:shd w:val="clear" w:color="auto" w:fill="auto"/>
            <w:noWrap/>
            <w:vAlign w:val="bottom"/>
            <w:hideMark/>
          </w:tcPr>
          <w:p w14:paraId="78CA50CA"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048A5631"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4A1937B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447C58BA"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7164B634"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3FAED28A"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30CFD67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3063875F"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01BB5B86"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2864A9A2"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xml:space="preserve">   </w:t>
            </w:r>
            <w:r w:rsidRPr="005D6B6A">
              <w:rPr>
                <w:rFonts w:cs="Calibri"/>
                <w:i/>
                <w:iCs/>
                <w:kern w:val="0"/>
                <w:sz w:val="17"/>
                <w:szCs w:val="17"/>
                <w:lang w:eastAsia="en-AU"/>
              </w:rPr>
              <w:t xml:space="preserve">Boeckella </w:t>
            </w:r>
            <w:r w:rsidRPr="005D6B6A">
              <w:rPr>
                <w:rFonts w:cs="Calibri"/>
                <w:kern w:val="0"/>
                <w:sz w:val="17"/>
                <w:szCs w:val="17"/>
                <w:lang w:eastAsia="en-AU"/>
              </w:rPr>
              <w:t>sp.</w:t>
            </w:r>
          </w:p>
        </w:tc>
        <w:tc>
          <w:tcPr>
            <w:tcW w:w="564" w:type="pct"/>
            <w:tcBorders>
              <w:top w:val="nil"/>
              <w:left w:val="nil"/>
              <w:bottom w:val="nil"/>
              <w:right w:val="nil"/>
            </w:tcBorders>
            <w:shd w:val="clear" w:color="auto" w:fill="auto"/>
            <w:noWrap/>
            <w:vAlign w:val="bottom"/>
            <w:hideMark/>
          </w:tcPr>
          <w:p w14:paraId="38CC6420"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1429E2EA"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25F2E2D5"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71F4C537"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563EC5E4"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413A9FDC"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01138135"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2/9</w:t>
            </w:r>
          </w:p>
        </w:tc>
        <w:tc>
          <w:tcPr>
            <w:tcW w:w="404" w:type="pct"/>
            <w:tcBorders>
              <w:top w:val="nil"/>
              <w:left w:val="nil"/>
              <w:bottom w:val="nil"/>
              <w:right w:val="single" w:sz="4" w:space="0" w:color="auto"/>
            </w:tcBorders>
            <w:shd w:val="clear" w:color="auto" w:fill="auto"/>
            <w:noWrap/>
            <w:vAlign w:val="bottom"/>
            <w:hideMark/>
          </w:tcPr>
          <w:p w14:paraId="64509044"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16.3</w:t>
            </w:r>
          </w:p>
        </w:tc>
      </w:tr>
      <w:tr w:rsidR="003D371F" w:rsidRPr="005D6B6A" w14:paraId="1130BA63"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0BB2C1F4"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xml:space="preserve">   </w:t>
            </w:r>
            <w:r w:rsidRPr="005D6B6A">
              <w:rPr>
                <w:rFonts w:cs="Calibri"/>
                <w:i/>
                <w:iCs/>
                <w:kern w:val="0"/>
                <w:sz w:val="17"/>
                <w:szCs w:val="17"/>
                <w:lang w:eastAsia="en-AU"/>
              </w:rPr>
              <w:t>Boeckella triarticulata</w:t>
            </w:r>
          </w:p>
        </w:tc>
        <w:tc>
          <w:tcPr>
            <w:tcW w:w="564" w:type="pct"/>
            <w:tcBorders>
              <w:top w:val="nil"/>
              <w:left w:val="nil"/>
              <w:bottom w:val="nil"/>
              <w:right w:val="nil"/>
            </w:tcBorders>
            <w:shd w:val="clear" w:color="auto" w:fill="auto"/>
            <w:noWrap/>
            <w:vAlign w:val="bottom"/>
            <w:hideMark/>
          </w:tcPr>
          <w:p w14:paraId="63C76FC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1/1</w:t>
            </w:r>
          </w:p>
        </w:tc>
        <w:tc>
          <w:tcPr>
            <w:tcW w:w="324" w:type="pct"/>
            <w:tcBorders>
              <w:top w:val="nil"/>
              <w:left w:val="nil"/>
              <w:bottom w:val="nil"/>
              <w:right w:val="single" w:sz="4" w:space="0" w:color="auto"/>
            </w:tcBorders>
            <w:shd w:val="clear" w:color="auto" w:fill="auto"/>
            <w:noWrap/>
            <w:vAlign w:val="bottom"/>
            <w:hideMark/>
          </w:tcPr>
          <w:p w14:paraId="75190B37"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30.0</w:t>
            </w:r>
          </w:p>
        </w:tc>
        <w:tc>
          <w:tcPr>
            <w:tcW w:w="564" w:type="pct"/>
            <w:tcBorders>
              <w:top w:val="nil"/>
              <w:left w:val="nil"/>
              <w:bottom w:val="nil"/>
              <w:right w:val="nil"/>
            </w:tcBorders>
            <w:shd w:val="clear" w:color="auto" w:fill="auto"/>
            <w:noWrap/>
            <w:vAlign w:val="bottom"/>
            <w:hideMark/>
          </w:tcPr>
          <w:p w14:paraId="5CD0224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1/1</w:t>
            </w:r>
          </w:p>
        </w:tc>
        <w:tc>
          <w:tcPr>
            <w:tcW w:w="404" w:type="pct"/>
            <w:tcBorders>
              <w:top w:val="nil"/>
              <w:left w:val="nil"/>
              <w:bottom w:val="nil"/>
              <w:right w:val="single" w:sz="4" w:space="0" w:color="auto"/>
            </w:tcBorders>
            <w:shd w:val="clear" w:color="auto" w:fill="auto"/>
            <w:noWrap/>
            <w:vAlign w:val="bottom"/>
            <w:hideMark/>
          </w:tcPr>
          <w:p w14:paraId="37C0142D"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100.0</w:t>
            </w:r>
          </w:p>
        </w:tc>
        <w:tc>
          <w:tcPr>
            <w:tcW w:w="564" w:type="pct"/>
            <w:tcBorders>
              <w:top w:val="nil"/>
              <w:left w:val="nil"/>
              <w:bottom w:val="nil"/>
              <w:right w:val="nil"/>
            </w:tcBorders>
            <w:shd w:val="clear" w:color="auto" w:fill="auto"/>
            <w:noWrap/>
            <w:vAlign w:val="bottom"/>
            <w:hideMark/>
          </w:tcPr>
          <w:p w14:paraId="5ED2CB07"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2/8</w:t>
            </w:r>
          </w:p>
        </w:tc>
        <w:tc>
          <w:tcPr>
            <w:tcW w:w="324" w:type="pct"/>
            <w:tcBorders>
              <w:top w:val="nil"/>
              <w:left w:val="nil"/>
              <w:bottom w:val="nil"/>
              <w:right w:val="single" w:sz="4" w:space="0" w:color="auto"/>
            </w:tcBorders>
            <w:shd w:val="clear" w:color="auto" w:fill="auto"/>
            <w:noWrap/>
            <w:vAlign w:val="bottom"/>
            <w:hideMark/>
          </w:tcPr>
          <w:p w14:paraId="57C3ACB9"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12.5</w:t>
            </w:r>
          </w:p>
        </w:tc>
        <w:tc>
          <w:tcPr>
            <w:tcW w:w="564" w:type="pct"/>
            <w:tcBorders>
              <w:top w:val="nil"/>
              <w:left w:val="nil"/>
              <w:bottom w:val="nil"/>
              <w:right w:val="nil"/>
            </w:tcBorders>
            <w:shd w:val="clear" w:color="auto" w:fill="auto"/>
            <w:noWrap/>
            <w:vAlign w:val="bottom"/>
            <w:hideMark/>
          </w:tcPr>
          <w:p w14:paraId="08C6259A"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2/9</w:t>
            </w:r>
          </w:p>
        </w:tc>
        <w:tc>
          <w:tcPr>
            <w:tcW w:w="404" w:type="pct"/>
            <w:tcBorders>
              <w:top w:val="nil"/>
              <w:left w:val="nil"/>
              <w:bottom w:val="nil"/>
              <w:right w:val="single" w:sz="4" w:space="0" w:color="auto"/>
            </w:tcBorders>
            <w:shd w:val="clear" w:color="auto" w:fill="auto"/>
            <w:noWrap/>
            <w:vAlign w:val="bottom"/>
            <w:hideMark/>
          </w:tcPr>
          <w:p w14:paraId="349D4A1B"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6.1</w:t>
            </w:r>
          </w:p>
        </w:tc>
      </w:tr>
      <w:tr w:rsidR="003D371F" w:rsidRPr="005D6B6A" w14:paraId="513735D6"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156B33DF"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xml:space="preserve">   </w:t>
            </w:r>
            <w:r w:rsidRPr="005D6B6A">
              <w:rPr>
                <w:rFonts w:cs="Calibri"/>
                <w:i/>
                <w:iCs/>
                <w:kern w:val="0"/>
                <w:sz w:val="17"/>
                <w:szCs w:val="17"/>
                <w:lang w:eastAsia="en-AU"/>
              </w:rPr>
              <w:t>Calamoecia</w:t>
            </w:r>
            <w:r w:rsidRPr="005D6B6A">
              <w:rPr>
                <w:rFonts w:cs="Calibri"/>
                <w:kern w:val="0"/>
                <w:sz w:val="17"/>
                <w:szCs w:val="17"/>
                <w:lang w:eastAsia="en-AU"/>
              </w:rPr>
              <w:t xml:space="preserve"> sp. </w:t>
            </w:r>
          </w:p>
        </w:tc>
        <w:tc>
          <w:tcPr>
            <w:tcW w:w="564" w:type="pct"/>
            <w:tcBorders>
              <w:top w:val="nil"/>
              <w:left w:val="nil"/>
              <w:bottom w:val="nil"/>
              <w:right w:val="nil"/>
            </w:tcBorders>
            <w:shd w:val="clear" w:color="auto" w:fill="auto"/>
            <w:noWrap/>
            <w:vAlign w:val="bottom"/>
            <w:hideMark/>
          </w:tcPr>
          <w:p w14:paraId="4CB1A590"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1/1</w:t>
            </w:r>
          </w:p>
        </w:tc>
        <w:tc>
          <w:tcPr>
            <w:tcW w:w="324" w:type="pct"/>
            <w:tcBorders>
              <w:top w:val="nil"/>
              <w:left w:val="nil"/>
              <w:bottom w:val="nil"/>
              <w:right w:val="single" w:sz="4" w:space="0" w:color="auto"/>
            </w:tcBorders>
            <w:shd w:val="clear" w:color="auto" w:fill="auto"/>
            <w:noWrap/>
            <w:vAlign w:val="bottom"/>
            <w:hideMark/>
          </w:tcPr>
          <w:p w14:paraId="56295DF4"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10.0</w:t>
            </w:r>
          </w:p>
        </w:tc>
        <w:tc>
          <w:tcPr>
            <w:tcW w:w="564" w:type="pct"/>
            <w:tcBorders>
              <w:top w:val="nil"/>
              <w:left w:val="nil"/>
              <w:bottom w:val="nil"/>
              <w:right w:val="nil"/>
            </w:tcBorders>
            <w:shd w:val="clear" w:color="auto" w:fill="auto"/>
            <w:noWrap/>
            <w:vAlign w:val="bottom"/>
            <w:hideMark/>
          </w:tcPr>
          <w:p w14:paraId="0C062EEA"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64426F3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63B28C1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53B638A2"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10A7819C"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05240096"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29161980"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4E192730"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xml:space="preserve">   copepods</w:t>
            </w:r>
          </w:p>
        </w:tc>
        <w:tc>
          <w:tcPr>
            <w:tcW w:w="564" w:type="pct"/>
            <w:tcBorders>
              <w:top w:val="nil"/>
              <w:left w:val="nil"/>
              <w:bottom w:val="nil"/>
              <w:right w:val="nil"/>
            </w:tcBorders>
            <w:shd w:val="clear" w:color="auto" w:fill="auto"/>
            <w:noWrap/>
            <w:vAlign w:val="bottom"/>
            <w:hideMark/>
          </w:tcPr>
          <w:p w14:paraId="36012B1D"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65DFC6BB"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54D7F3E9"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7BB514C5"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6CEAD5A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1/8</w:t>
            </w:r>
          </w:p>
        </w:tc>
        <w:tc>
          <w:tcPr>
            <w:tcW w:w="324" w:type="pct"/>
            <w:tcBorders>
              <w:top w:val="nil"/>
              <w:left w:val="nil"/>
              <w:bottom w:val="nil"/>
              <w:right w:val="single" w:sz="4" w:space="0" w:color="auto"/>
            </w:tcBorders>
            <w:shd w:val="clear" w:color="auto" w:fill="auto"/>
            <w:noWrap/>
            <w:vAlign w:val="bottom"/>
            <w:hideMark/>
          </w:tcPr>
          <w:p w14:paraId="081467D4"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6.25</w:t>
            </w:r>
          </w:p>
        </w:tc>
        <w:tc>
          <w:tcPr>
            <w:tcW w:w="564" w:type="pct"/>
            <w:tcBorders>
              <w:top w:val="nil"/>
              <w:left w:val="nil"/>
              <w:bottom w:val="nil"/>
              <w:right w:val="nil"/>
            </w:tcBorders>
            <w:shd w:val="clear" w:color="auto" w:fill="auto"/>
            <w:noWrap/>
            <w:vAlign w:val="bottom"/>
            <w:hideMark/>
          </w:tcPr>
          <w:p w14:paraId="11DFEDFC"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56B99857"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7767189C"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4FDCF973"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xml:space="preserve">   copepodites</w:t>
            </w:r>
          </w:p>
        </w:tc>
        <w:tc>
          <w:tcPr>
            <w:tcW w:w="564" w:type="pct"/>
            <w:tcBorders>
              <w:top w:val="nil"/>
              <w:left w:val="nil"/>
              <w:bottom w:val="nil"/>
              <w:right w:val="nil"/>
            </w:tcBorders>
            <w:shd w:val="clear" w:color="auto" w:fill="auto"/>
            <w:noWrap/>
            <w:vAlign w:val="bottom"/>
            <w:hideMark/>
          </w:tcPr>
          <w:p w14:paraId="6B5A8239"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0A42AF8F"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3B55B553"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621A09B7"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1BF3A625"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1/8</w:t>
            </w:r>
          </w:p>
        </w:tc>
        <w:tc>
          <w:tcPr>
            <w:tcW w:w="324" w:type="pct"/>
            <w:tcBorders>
              <w:top w:val="nil"/>
              <w:left w:val="nil"/>
              <w:bottom w:val="nil"/>
              <w:right w:val="single" w:sz="4" w:space="0" w:color="auto"/>
            </w:tcBorders>
            <w:shd w:val="clear" w:color="auto" w:fill="auto"/>
            <w:noWrap/>
            <w:vAlign w:val="bottom"/>
            <w:hideMark/>
          </w:tcPr>
          <w:p w14:paraId="6D39AC29"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37.5</w:t>
            </w:r>
          </w:p>
        </w:tc>
        <w:tc>
          <w:tcPr>
            <w:tcW w:w="564" w:type="pct"/>
            <w:tcBorders>
              <w:top w:val="nil"/>
              <w:left w:val="nil"/>
              <w:bottom w:val="nil"/>
              <w:right w:val="nil"/>
            </w:tcBorders>
            <w:shd w:val="clear" w:color="auto" w:fill="auto"/>
            <w:noWrap/>
            <w:vAlign w:val="bottom"/>
            <w:hideMark/>
          </w:tcPr>
          <w:p w14:paraId="588E8F1D"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70152CDD"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1DC0DF9C"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49282277"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xml:space="preserve">   eggs</w:t>
            </w:r>
          </w:p>
        </w:tc>
        <w:tc>
          <w:tcPr>
            <w:tcW w:w="564" w:type="pct"/>
            <w:tcBorders>
              <w:top w:val="nil"/>
              <w:left w:val="nil"/>
              <w:bottom w:val="nil"/>
              <w:right w:val="nil"/>
            </w:tcBorders>
            <w:shd w:val="clear" w:color="auto" w:fill="auto"/>
            <w:noWrap/>
            <w:vAlign w:val="bottom"/>
            <w:hideMark/>
          </w:tcPr>
          <w:p w14:paraId="23BF0A92"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7305469F"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2C733BD2"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5BCABD15"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0BC4A7A6"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126036B1"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101EDE4C"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2/9</w:t>
            </w:r>
          </w:p>
        </w:tc>
        <w:tc>
          <w:tcPr>
            <w:tcW w:w="404" w:type="pct"/>
            <w:tcBorders>
              <w:top w:val="nil"/>
              <w:left w:val="nil"/>
              <w:bottom w:val="nil"/>
              <w:right w:val="single" w:sz="4" w:space="0" w:color="auto"/>
            </w:tcBorders>
            <w:shd w:val="clear" w:color="auto" w:fill="auto"/>
            <w:noWrap/>
            <w:vAlign w:val="bottom"/>
            <w:hideMark/>
          </w:tcPr>
          <w:p w14:paraId="0B42D3B8"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4.1</w:t>
            </w:r>
          </w:p>
        </w:tc>
      </w:tr>
      <w:tr w:rsidR="003D371F" w:rsidRPr="005D6B6A" w14:paraId="316BA785"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0B4F2C22"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xml:space="preserve"> Cyclopoida</w:t>
            </w:r>
          </w:p>
        </w:tc>
        <w:tc>
          <w:tcPr>
            <w:tcW w:w="564" w:type="pct"/>
            <w:tcBorders>
              <w:top w:val="nil"/>
              <w:left w:val="nil"/>
              <w:bottom w:val="nil"/>
              <w:right w:val="nil"/>
            </w:tcBorders>
            <w:shd w:val="clear" w:color="auto" w:fill="auto"/>
            <w:noWrap/>
            <w:vAlign w:val="bottom"/>
            <w:hideMark/>
          </w:tcPr>
          <w:p w14:paraId="775CBA43"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3B629919"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50981831"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75E4EDE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6A87E2E0"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7A17A67B"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785AA73B"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48CE67A9"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47D09CB3"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0A066D17"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xml:space="preserve">   </w:t>
            </w:r>
            <w:r w:rsidRPr="005D6B6A">
              <w:rPr>
                <w:rFonts w:cs="Calibri"/>
                <w:i/>
                <w:iCs/>
                <w:kern w:val="0"/>
                <w:sz w:val="17"/>
                <w:szCs w:val="17"/>
                <w:lang w:eastAsia="en-AU"/>
              </w:rPr>
              <w:t>Australocyclops australis</w:t>
            </w:r>
          </w:p>
        </w:tc>
        <w:tc>
          <w:tcPr>
            <w:tcW w:w="564" w:type="pct"/>
            <w:tcBorders>
              <w:top w:val="nil"/>
              <w:left w:val="nil"/>
              <w:bottom w:val="nil"/>
              <w:right w:val="nil"/>
            </w:tcBorders>
            <w:shd w:val="clear" w:color="auto" w:fill="auto"/>
            <w:noWrap/>
            <w:vAlign w:val="bottom"/>
            <w:hideMark/>
          </w:tcPr>
          <w:p w14:paraId="3393C1A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4679FE23"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51175AF5"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0809457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66BAC59D"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1/8</w:t>
            </w:r>
          </w:p>
        </w:tc>
        <w:tc>
          <w:tcPr>
            <w:tcW w:w="324" w:type="pct"/>
            <w:tcBorders>
              <w:top w:val="nil"/>
              <w:left w:val="nil"/>
              <w:bottom w:val="nil"/>
              <w:right w:val="single" w:sz="4" w:space="0" w:color="auto"/>
            </w:tcBorders>
            <w:shd w:val="clear" w:color="auto" w:fill="auto"/>
            <w:noWrap/>
            <w:vAlign w:val="bottom"/>
            <w:hideMark/>
          </w:tcPr>
          <w:p w14:paraId="263BFAA5"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6.25</w:t>
            </w:r>
          </w:p>
        </w:tc>
        <w:tc>
          <w:tcPr>
            <w:tcW w:w="564" w:type="pct"/>
            <w:tcBorders>
              <w:top w:val="nil"/>
              <w:left w:val="nil"/>
              <w:bottom w:val="nil"/>
              <w:right w:val="nil"/>
            </w:tcBorders>
            <w:shd w:val="clear" w:color="auto" w:fill="auto"/>
            <w:noWrap/>
            <w:vAlign w:val="bottom"/>
            <w:hideMark/>
          </w:tcPr>
          <w:p w14:paraId="660B40EA"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58C63AF5"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674FD713"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291854BF"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xml:space="preserve">   copepods</w:t>
            </w:r>
          </w:p>
        </w:tc>
        <w:tc>
          <w:tcPr>
            <w:tcW w:w="564" w:type="pct"/>
            <w:tcBorders>
              <w:top w:val="nil"/>
              <w:left w:val="nil"/>
              <w:bottom w:val="nil"/>
              <w:right w:val="nil"/>
            </w:tcBorders>
            <w:shd w:val="clear" w:color="auto" w:fill="auto"/>
            <w:noWrap/>
            <w:vAlign w:val="bottom"/>
            <w:hideMark/>
          </w:tcPr>
          <w:p w14:paraId="2577F56F"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1/1</w:t>
            </w:r>
          </w:p>
        </w:tc>
        <w:tc>
          <w:tcPr>
            <w:tcW w:w="324" w:type="pct"/>
            <w:tcBorders>
              <w:top w:val="nil"/>
              <w:left w:val="nil"/>
              <w:bottom w:val="nil"/>
              <w:right w:val="single" w:sz="4" w:space="0" w:color="auto"/>
            </w:tcBorders>
            <w:shd w:val="clear" w:color="auto" w:fill="auto"/>
            <w:noWrap/>
            <w:vAlign w:val="bottom"/>
            <w:hideMark/>
          </w:tcPr>
          <w:p w14:paraId="060F7932"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30.0</w:t>
            </w:r>
          </w:p>
        </w:tc>
        <w:tc>
          <w:tcPr>
            <w:tcW w:w="564" w:type="pct"/>
            <w:tcBorders>
              <w:top w:val="nil"/>
              <w:left w:val="nil"/>
              <w:bottom w:val="nil"/>
              <w:right w:val="nil"/>
            </w:tcBorders>
            <w:shd w:val="clear" w:color="auto" w:fill="auto"/>
            <w:noWrap/>
            <w:vAlign w:val="bottom"/>
            <w:hideMark/>
          </w:tcPr>
          <w:p w14:paraId="1AA92CC9"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6727E8A5"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0114E2A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1/8</w:t>
            </w:r>
          </w:p>
        </w:tc>
        <w:tc>
          <w:tcPr>
            <w:tcW w:w="324" w:type="pct"/>
            <w:tcBorders>
              <w:top w:val="nil"/>
              <w:left w:val="nil"/>
              <w:bottom w:val="nil"/>
              <w:right w:val="single" w:sz="4" w:space="0" w:color="auto"/>
            </w:tcBorders>
            <w:shd w:val="clear" w:color="auto" w:fill="auto"/>
            <w:noWrap/>
            <w:vAlign w:val="bottom"/>
            <w:hideMark/>
          </w:tcPr>
          <w:p w14:paraId="1948CD6F"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6.25</w:t>
            </w:r>
          </w:p>
        </w:tc>
        <w:tc>
          <w:tcPr>
            <w:tcW w:w="564" w:type="pct"/>
            <w:tcBorders>
              <w:top w:val="nil"/>
              <w:left w:val="nil"/>
              <w:bottom w:val="nil"/>
              <w:right w:val="nil"/>
            </w:tcBorders>
            <w:shd w:val="clear" w:color="auto" w:fill="auto"/>
            <w:noWrap/>
            <w:vAlign w:val="bottom"/>
            <w:hideMark/>
          </w:tcPr>
          <w:p w14:paraId="18FDD2DA"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5C8EA4A9"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612789B6"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7CFAD6C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xml:space="preserve">   copepodites</w:t>
            </w:r>
          </w:p>
        </w:tc>
        <w:tc>
          <w:tcPr>
            <w:tcW w:w="564" w:type="pct"/>
            <w:tcBorders>
              <w:top w:val="nil"/>
              <w:left w:val="nil"/>
              <w:bottom w:val="nil"/>
              <w:right w:val="nil"/>
            </w:tcBorders>
            <w:shd w:val="clear" w:color="auto" w:fill="auto"/>
            <w:noWrap/>
            <w:vAlign w:val="bottom"/>
            <w:hideMark/>
          </w:tcPr>
          <w:p w14:paraId="3E0F940C"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76AF69E5"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427E78B7"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08E9EE82"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116FA58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2/8</w:t>
            </w:r>
          </w:p>
        </w:tc>
        <w:tc>
          <w:tcPr>
            <w:tcW w:w="324" w:type="pct"/>
            <w:tcBorders>
              <w:top w:val="nil"/>
              <w:left w:val="nil"/>
              <w:bottom w:val="nil"/>
              <w:right w:val="single" w:sz="4" w:space="0" w:color="auto"/>
            </w:tcBorders>
            <w:shd w:val="clear" w:color="auto" w:fill="auto"/>
            <w:noWrap/>
            <w:vAlign w:val="bottom"/>
            <w:hideMark/>
          </w:tcPr>
          <w:p w14:paraId="032DFDA5"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12.5</w:t>
            </w:r>
          </w:p>
        </w:tc>
        <w:tc>
          <w:tcPr>
            <w:tcW w:w="564" w:type="pct"/>
            <w:tcBorders>
              <w:top w:val="nil"/>
              <w:left w:val="nil"/>
              <w:bottom w:val="nil"/>
              <w:right w:val="nil"/>
            </w:tcBorders>
            <w:shd w:val="clear" w:color="auto" w:fill="auto"/>
            <w:noWrap/>
            <w:vAlign w:val="bottom"/>
            <w:hideMark/>
          </w:tcPr>
          <w:p w14:paraId="16684F01"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1/9</w:t>
            </w:r>
          </w:p>
        </w:tc>
        <w:tc>
          <w:tcPr>
            <w:tcW w:w="404" w:type="pct"/>
            <w:tcBorders>
              <w:top w:val="nil"/>
              <w:left w:val="nil"/>
              <w:bottom w:val="nil"/>
              <w:right w:val="single" w:sz="4" w:space="0" w:color="auto"/>
            </w:tcBorders>
            <w:shd w:val="clear" w:color="auto" w:fill="auto"/>
            <w:noWrap/>
            <w:vAlign w:val="bottom"/>
            <w:hideMark/>
          </w:tcPr>
          <w:p w14:paraId="3AAB8559"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2.0</w:t>
            </w:r>
          </w:p>
        </w:tc>
      </w:tr>
      <w:tr w:rsidR="003D371F" w:rsidRPr="005D6B6A" w14:paraId="5071AC95"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44DAF7EA"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1F659BF5"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181CD894"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25AD5FB0"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073CA614"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3CBBF727"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12055B41"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728A760C"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44DF955B"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654AD594"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33F6B8E1" w14:textId="77777777" w:rsidR="003D371F" w:rsidRPr="005D6B6A" w:rsidRDefault="003D371F" w:rsidP="003D371F">
            <w:pPr>
              <w:spacing w:before="0" w:after="0" w:line="240" w:lineRule="auto"/>
              <w:contextualSpacing/>
              <w:jc w:val="left"/>
              <w:rPr>
                <w:rFonts w:cs="Calibri"/>
                <w:b/>
                <w:bCs/>
                <w:kern w:val="0"/>
                <w:sz w:val="17"/>
                <w:szCs w:val="17"/>
                <w:lang w:eastAsia="en-AU"/>
              </w:rPr>
            </w:pPr>
            <w:r w:rsidRPr="005D6B6A">
              <w:rPr>
                <w:rFonts w:cs="Calibri"/>
                <w:b/>
                <w:bCs/>
                <w:kern w:val="0"/>
                <w:sz w:val="17"/>
                <w:szCs w:val="17"/>
                <w:lang w:eastAsia="en-AU"/>
              </w:rPr>
              <w:t>Cladocera</w:t>
            </w:r>
          </w:p>
        </w:tc>
        <w:tc>
          <w:tcPr>
            <w:tcW w:w="564" w:type="pct"/>
            <w:tcBorders>
              <w:top w:val="nil"/>
              <w:left w:val="nil"/>
              <w:bottom w:val="nil"/>
              <w:right w:val="nil"/>
            </w:tcBorders>
            <w:shd w:val="clear" w:color="auto" w:fill="auto"/>
            <w:noWrap/>
            <w:vAlign w:val="bottom"/>
            <w:hideMark/>
          </w:tcPr>
          <w:p w14:paraId="1B1F670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1EC068D6"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5682A5CB"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6D1F449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639771FA"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43FC8047"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48D1F251"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3949F50D"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6349EDF9"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02F07127" w14:textId="77777777" w:rsidR="003D371F" w:rsidRPr="005D6B6A" w:rsidRDefault="003D371F" w:rsidP="003D371F">
            <w:pPr>
              <w:spacing w:before="0" w:after="0" w:line="240" w:lineRule="auto"/>
              <w:contextualSpacing/>
              <w:jc w:val="left"/>
              <w:rPr>
                <w:rFonts w:cs="Calibri"/>
                <w:i/>
                <w:iCs/>
                <w:kern w:val="0"/>
                <w:sz w:val="17"/>
                <w:szCs w:val="17"/>
                <w:lang w:eastAsia="en-AU"/>
              </w:rPr>
            </w:pPr>
            <w:r w:rsidRPr="005D6B6A">
              <w:rPr>
                <w:rFonts w:cs="Calibri"/>
                <w:i/>
                <w:iCs/>
                <w:kern w:val="0"/>
                <w:sz w:val="17"/>
                <w:szCs w:val="17"/>
                <w:lang w:eastAsia="en-AU"/>
              </w:rPr>
              <w:t xml:space="preserve">   Bosmina meridionalis</w:t>
            </w:r>
          </w:p>
        </w:tc>
        <w:tc>
          <w:tcPr>
            <w:tcW w:w="564" w:type="pct"/>
            <w:tcBorders>
              <w:top w:val="nil"/>
              <w:left w:val="nil"/>
              <w:bottom w:val="nil"/>
              <w:right w:val="nil"/>
            </w:tcBorders>
            <w:shd w:val="clear" w:color="auto" w:fill="auto"/>
            <w:noWrap/>
            <w:vAlign w:val="bottom"/>
            <w:hideMark/>
          </w:tcPr>
          <w:p w14:paraId="5D31853C"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4FD1451C"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2A552CBF"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20A2729B"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13136846"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1/8</w:t>
            </w:r>
          </w:p>
        </w:tc>
        <w:tc>
          <w:tcPr>
            <w:tcW w:w="324" w:type="pct"/>
            <w:tcBorders>
              <w:top w:val="nil"/>
              <w:left w:val="nil"/>
              <w:bottom w:val="nil"/>
              <w:right w:val="single" w:sz="4" w:space="0" w:color="auto"/>
            </w:tcBorders>
            <w:shd w:val="clear" w:color="auto" w:fill="auto"/>
            <w:noWrap/>
            <w:vAlign w:val="bottom"/>
            <w:hideMark/>
          </w:tcPr>
          <w:p w14:paraId="6A93EF3D"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6.25</w:t>
            </w:r>
          </w:p>
        </w:tc>
        <w:tc>
          <w:tcPr>
            <w:tcW w:w="564" w:type="pct"/>
            <w:tcBorders>
              <w:top w:val="nil"/>
              <w:left w:val="nil"/>
              <w:bottom w:val="nil"/>
              <w:right w:val="nil"/>
            </w:tcBorders>
            <w:shd w:val="clear" w:color="auto" w:fill="auto"/>
            <w:noWrap/>
            <w:vAlign w:val="bottom"/>
            <w:hideMark/>
          </w:tcPr>
          <w:p w14:paraId="484DDEA3"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6E62E722"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7FC634C8"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263B5595" w14:textId="77777777" w:rsidR="003D371F" w:rsidRPr="005D6B6A" w:rsidRDefault="003D371F" w:rsidP="003D371F">
            <w:pPr>
              <w:spacing w:before="0" w:after="0" w:line="240" w:lineRule="auto"/>
              <w:contextualSpacing/>
              <w:jc w:val="left"/>
              <w:rPr>
                <w:rFonts w:cs="Calibri"/>
                <w:i/>
                <w:iCs/>
                <w:kern w:val="0"/>
                <w:sz w:val="17"/>
                <w:szCs w:val="17"/>
                <w:lang w:eastAsia="en-AU"/>
              </w:rPr>
            </w:pPr>
            <w:r w:rsidRPr="005D6B6A">
              <w:rPr>
                <w:rFonts w:cs="Calibri"/>
                <w:i/>
                <w:iCs/>
                <w:kern w:val="0"/>
                <w:sz w:val="17"/>
                <w:szCs w:val="17"/>
                <w:lang w:eastAsia="en-AU"/>
              </w:rPr>
              <w:t xml:space="preserve">   Moina micrura</w:t>
            </w:r>
          </w:p>
        </w:tc>
        <w:tc>
          <w:tcPr>
            <w:tcW w:w="564" w:type="pct"/>
            <w:tcBorders>
              <w:top w:val="nil"/>
              <w:left w:val="nil"/>
              <w:bottom w:val="nil"/>
              <w:right w:val="nil"/>
            </w:tcBorders>
            <w:shd w:val="clear" w:color="auto" w:fill="auto"/>
            <w:noWrap/>
            <w:vAlign w:val="bottom"/>
            <w:hideMark/>
          </w:tcPr>
          <w:p w14:paraId="4D4EECBA"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67DC6CD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0E495D90"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2F9719C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52C4D789"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1/8</w:t>
            </w:r>
          </w:p>
        </w:tc>
        <w:tc>
          <w:tcPr>
            <w:tcW w:w="324" w:type="pct"/>
            <w:tcBorders>
              <w:top w:val="nil"/>
              <w:left w:val="nil"/>
              <w:bottom w:val="nil"/>
              <w:right w:val="single" w:sz="4" w:space="0" w:color="auto"/>
            </w:tcBorders>
            <w:shd w:val="clear" w:color="auto" w:fill="auto"/>
            <w:noWrap/>
            <w:vAlign w:val="bottom"/>
            <w:hideMark/>
          </w:tcPr>
          <w:p w14:paraId="648D805A"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6.25</w:t>
            </w:r>
          </w:p>
        </w:tc>
        <w:tc>
          <w:tcPr>
            <w:tcW w:w="564" w:type="pct"/>
            <w:tcBorders>
              <w:top w:val="nil"/>
              <w:left w:val="nil"/>
              <w:bottom w:val="nil"/>
              <w:right w:val="nil"/>
            </w:tcBorders>
            <w:shd w:val="clear" w:color="auto" w:fill="auto"/>
            <w:noWrap/>
            <w:vAlign w:val="bottom"/>
            <w:hideMark/>
          </w:tcPr>
          <w:p w14:paraId="2381F7E1"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4C0F3DE4"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32E091AF"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71E3DE81" w14:textId="77777777" w:rsidR="003D371F" w:rsidRPr="005D6B6A" w:rsidRDefault="003D371F" w:rsidP="003D371F">
            <w:pPr>
              <w:spacing w:before="0" w:after="0" w:line="240" w:lineRule="auto"/>
              <w:contextualSpacing/>
              <w:jc w:val="left"/>
              <w:rPr>
                <w:rFonts w:cs="Calibri"/>
                <w:i/>
                <w:iCs/>
                <w:kern w:val="0"/>
                <w:sz w:val="17"/>
                <w:szCs w:val="17"/>
                <w:lang w:eastAsia="en-AU"/>
              </w:rPr>
            </w:pPr>
            <w:r w:rsidRPr="005D6B6A">
              <w:rPr>
                <w:rFonts w:cs="Calibri"/>
                <w:i/>
                <w:iCs/>
                <w:kern w:val="0"/>
                <w:sz w:val="17"/>
                <w:szCs w:val="17"/>
                <w:lang w:eastAsia="en-AU"/>
              </w:rPr>
              <w:t xml:space="preserve">   Macrothrix </w:t>
            </w:r>
            <w:r w:rsidRPr="005D6B6A">
              <w:rPr>
                <w:rFonts w:cs="Calibri"/>
                <w:kern w:val="0"/>
                <w:sz w:val="17"/>
                <w:szCs w:val="17"/>
                <w:lang w:eastAsia="en-AU"/>
              </w:rPr>
              <w:t>sp.</w:t>
            </w:r>
          </w:p>
        </w:tc>
        <w:tc>
          <w:tcPr>
            <w:tcW w:w="564" w:type="pct"/>
            <w:tcBorders>
              <w:top w:val="nil"/>
              <w:left w:val="nil"/>
              <w:bottom w:val="nil"/>
              <w:right w:val="nil"/>
            </w:tcBorders>
            <w:shd w:val="clear" w:color="auto" w:fill="auto"/>
            <w:noWrap/>
            <w:vAlign w:val="bottom"/>
            <w:hideMark/>
          </w:tcPr>
          <w:p w14:paraId="4DDBF2D3"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09FF5B27"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24589A1F"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761D5E84"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5FBFE430"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1/8</w:t>
            </w:r>
          </w:p>
        </w:tc>
        <w:tc>
          <w:tcPr>
            <w:tcW w:w="324" w:type="pct"/>
            <w:tcBorders>
              <w:top w:val="nil"/>
              <w:left w:val="nil"/>
              <w:bottom w:val="nil"/>
              <w:right w:val="single" w:sz="4" w:space="0" w:color="auto"/>
            </w:tcBorders>
            <w:shd w:val="clear" w:color="auto" w:fill="auto"/>
            <w:noWrap/>
            <w:vAlign w:val="bottom"/>
            <w:hideMark/>
          </w:tcPr>
          <w:p w14:paraId="5FA1F78D"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6.25</w:t>
            </w:r>
          </w:p>
        </w:tc>
        <w:tc>
          <w:tcPr>
            <w:tcW w:w="564" w:type="pct"/>
            <w:tcBorders>
              <w:top w:val="nil"/>
              <w:left w:val="nil"/>
              <w:bottom w:val="nil"/>
              <w:right w:val="nil"/>
            </w:tcBorders>
            <w:shd w:val="clear" w:color="auto" w:fill="auto"/>
            <w:noWrap/>
            <w:vAlign w:val="bottom"/>
            <w:hideMark/>
          </w:tcPr>
          <w:p w14:paraId="63A2CE90"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77DB4B31"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0090D7A9"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6C41BC37" w14:textId="77777777" w:rsidR="003D371F" w:rsidRPr="005D6B6A" w:rsidRDefault="003D371F" w:rsidP="003D371F">
            <w:pPr>
              <w:spacing w:before="0" w:after="0" w:line="240" w:lineRule="auto"/>
              <w:contextualSpacing/>
              <w:jc w:val="left"/>
              <w:rPr>
                <w:rFonts w:cs="Calibri"/>
                <w:i/>
                <w:iCs/>
                <w:kern w:val="0"/>
                <w:sz w:val="17"/>
                <w:szCs w:val="17"/>
                <w:lang w:eastAsia="en-AU"/>
              </w:rPr>
            </w:pPr>
            <w:r w:rsidRPr="005D6B6A">
              <w:rPr>
                <w:rFonts w:cs="Calibri"/>
                <w:i/>
                <w:iCs/>
                <w:kern w:val="0"/>
                <w:sz w:val="17"/>
                <w:szCs w:val="17"/>
                <w:lang w:eastAsia="en-AU"/>
              </w:rPr>
              <w:t xml:space="preserve">   Ceriodaphnia </w:t>
            </w:r>
            <w:r w:rsidRPr="005D6B6A">
              <w:rPr>
                <w:rFonts w:cs="Calibri"/>
                <w:kern w:val="0"/>
                <w:sz w:val="17"/>
                <w:szCs w:val="17"/>
                <w:lang w:eastAsia="en-AU"/>
              </w:rPr>
              <w:t>sp.</w:t>
            </w:r>
          </w:p>
        </w:tc>
        <w:tc>
          <w:tcPr>
            <w:tcW w:w="564" w:type="pct"/>
            <w:tcBorders>
              <w:top w:val="nil"/>
              <w:left w:val="nil"/>
              <w:bottom w:val="nil"/>
              <w:right w:val="nil"/>
            </w:tcBorders>
            <w:shd w:val="clear" w:color="auto" w:fill="auto"/>
            <w:noWrap/>
            <w:vAlign w:val="bottom"/>
            <w:hideMark/>
          </w:tcPr>
          <w:p w14:paraId="30DE7B6C"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1/1</w:t>
            </w:r>
          </w:p>
        </w:tc>
        <w:tc>
          <w:tcPr>
            <w:tcW w:w="324" w:type="pct"/>
            <w:tcBorders>
              <w:top w:val="nil"/>
              <w:left w:val="nil"/>
              <w:bottom w:val="nil"/>
              <w:right w:val="single" w:sz="4" w:space="0" w:color="auto"/>
            </w:tcBorders>
            <w:shd w:val="clear" w:color="auto" w:fill="auto"/>
            <w:noWrap/>
            <w:vAlign w:val="bottom"/>
            <w:hideMark/>
          </w:tcPr>
          <w:p w14:paraId="6231B85F"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10.0</w:t>
            </w:r>
          </w:p>
        </w:tc>
        <w:tc>
          <w:tcPr>
            <w:tcW w:w="564" w:type="pct"/>
            <w:tcBorders>
              <w:top w:val="nil"/>
              <w:left w:val="nil"/>
              <w:bottom w:val="nil"/>
              <w:right w:val="nil"/>
            </w:tcBorders>
            <w:shd w:val="clear" w:color="auto" w:fill="auto"/>
            <w:noWrap/>
            <w:vAlign w:val="bottom"/>
            <w:hideMark/>
          </w:tcPr>
          <w:p w14:paraId="287B020F"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120AC25C"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41CEECC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3A5E98B0"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5A145E3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5A6F72B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7EB553ED"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4FAE2790"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xml:space="preserve">  Chydoridae</w:t>
            </w:r>
          </w:p>
        </w:tc>
        <w:tc>
          <w:tcPr>
            <w:tcW w:w="564" w:type="pct"/>
            <w:tcBorders>
              <w:top w:val="nil"/>
              <w:left w:val="nil"/>
              <w:bottom w:val="nil"/>
              <w:right w:val="nil"/>
            </w:tcBorders>
            <w:shd w:val="clear" w:color="auto" w:fill="auto"/>
            <w:noWrap/>
            <w:vAlign w:val="bottom"/>
            <w:hideMark/>
          </w:tcPr>
          <w:p w14:paraId="6730AFDB"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51D7431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4A36B894"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3053E813"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1DFAE05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3C7E4A3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53F2188A"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1/9</w:t>
            </w:r>
          </w:p>
        </w:tc>
        <w:tc>
          <w:tcPr>
            <w:tcW w:w="404" w:type="pct"/>
            <w:tcBorders>
              <w:top w:val="nil"/>
              <w:left w:val="nil"/>
              <w:bottom w:val="nil"/>
              <w:right w:val="single" w:sz="4" w:space="0" w:color="auto"/>
            </w:tcBorders>
            <w:shd w:val="clear" w:color="auto" w:fill="auto"/>
            <w:noWrap/>
            <w:vAlign w:val="bottom"/>
            <w:hideMark/>
          </w:tcPr>
          <w:p w14:paraId="09A449F1"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2.0</w:t>
            </w:r>
          </w:p>
        </w:tc>
      </w:tr>
      <w:tr w:rsidR="003D371F" w:rsidRPr="005D6B6A" w14:paraId="6819C870"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0D619FD7" w14:textId="77777777" w:rsidR="003D371F" w:rsidRPr="005D6B6A" w:rsidRDefault="003D371F" w:rsidP="003D371F">
            <w:pPr>
              <w:spacing w:before="0" w:after="0" w:line="240" w:lineRule="auto"/>
              <w:contextualSpacing/>
              <w:jc w:val="left"/>
              <w:rPr>
                <w:rFonts w:cs="Calibri"/>
                <w:i/>
                <w:iCs/>
                <w:kern w:val="0"/>
                <w:sz w:val="17"/>
                <w:szCs w:val="17"/>
                <w:lang w:eastAsia="en-AU"/>
              </w:rPr>
            </w:pPr>
            <w:r w:rsidRPr="005D6B6A">
              <w:rPr>
                <w:rFonts w:cs="Calibri"/>
                <w:i/>
                <w:iCs/>
                <w:kern w:val="0"/>
                <w:sz w:val="17"/>
                <w:szCs w:val="17"/>
                <w:lang w:eastAsia="en-AU"/>
              </w:rPr>
              <w:t xml:space="preserve">   Chydorus </w:t>
            </w:r>
            <w:r w:rsidRPr="005D6B6A">
              <w:rPr>
                <w:rFonts w:cs="Calibri"/>
                <w:kern w:val="0"/>
                <w:sz w:val="17"/>
                <w:szCs w:val="17"/>
                <w:lang w:eastAsia="en-AU"/>
              </w:rPr>
              <w:t>sp.</w:t>
            </w:r>
          </w:p>
        </w:tc>
        <w:tc>
          <w:tcPr>
            <w:tcW w:w="564" w:type="pct"/>
            <w:tcBorders>
              <w:top w:val="nil"/>
              <w:left w:val="nil"/>
              <w:bottom w:val="nil"/>
              <w:right w:val="nil"/>
            </w:tcBorders>
            <w:shd w:val="clear" w:color="auto" w:fill="auto"/>
            <w:noWrap/>
            <w:vAlign w:val="bottom"/>
            <w:hideMark/>
          </w:tcPr>
          <w:p w14:paraId="753DAE94"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5A5F5BCD"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1751A104"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319ACC41"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1A9A9D20"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388AA15A"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395CD389"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2/9</w:t>
            </w:r>
          </w:p>
        </w:tc>
        <w:tc>
          <w:tcPr>
            <w:tcW w:w="404" w:type="pct"/>
            <w:tcBorders>
              <w:top w:val="nil"/>
              <w:left w:val="nil"/>
              <w:bottom w:val="nil"/>
              <w:right w:val="single" w:sz="4" w:space="0" w:color="auto"/>
            </w:tcBorders>
            <w:shd w:val="clear" w:color="auto" w:fill="auto"/>
            <w:noWrap/>
            <w:vAlign w:val="bottom"/>
            <w:hideMark/>
          </w:tcPr>
          <w:p w14:paraId="392C0071"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4.1</w:t>
            </w:r>
          </w:p>
        </w:tc>
      </w:tr>
      <w:tr w:rsidR="003D371F" w:rsidRPr="005D6B6A" w14:paraId="387EC0CE"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402B6547" w14:textId="77777777" w:rsidR="003D371F" w:rsidRPr="005D6B6A" w:rsidRDefault="003D371F" w:rsidP="003D371F">
            <w:pPr>
              <w:spacing w:before="0" w:after="0" w:line="240" w:lineRule="auto"/>
              <w:contextualSpacing/>
              <w:jc w:val="left"/>
              <w:rPr>
                <w:rFonts w:cs="Calibri"/>
                <w:i/>
                <w:iCs/>
                <w:kern w:val="0"/>
                <w:sz w:val="17"/>
                <w:szCs w:val="17"/>
                <w:lang w:eastAsia="en-AU"/>
              </w:rPr>
            </w:pPr>
            <w:r w:rsidRPr="005D6B6A">
              <w:rPr>
                <w:rFonts w:cs="Calibri"/>
                <w:i/>
                <w:iCs/>
                <w:kern w:val="0"/>
                <w:sz w:val="17"/>
                <w:szCs w:val="17"/>
                <w:lang w:eastAsia="en-AU"/>
              </w:rPr>
              <w:t xml:space="preserve">   Picripleuroxus  </w:t>
            </w:r>
          </w:p>
          <w:p w14:paraId="5BD9208B" w14:textId="77777777" w:rsidR="003D371F" w:rsidRPr="005D6B6A" w:rsidRDefault="003D371F" w:rsidP="003D371F">
            <w:pPr>
              <w:spacing w:before="0" w:after="0" w:line="240" w:lineRule="auto"/>
              <w:contextualSpacing/>
              <w:jc w:val="left"/>
              <w:rPr>
                <w:rFonts w:cs="Calibri"/>
                <w:i/>
                <w:iCs/>
                <w:kern w:val="0"/>
                <w:sz w:val="17"/>
                <w:szCs w:val="17"/>
                <w:lang w:eastAsia="en-AU"/>
              </w:rPr>
            </w:pPr>
            <w:r w:rsidRPr="005D6B6A">
              <w:rPr>
                <w:rFonts w:cs="Calibri"/>
                <w:i/>
                <w:iCs/>
                <w:kern w:val="0"/>
                <w:sz w:val="17"/>
                <w:szCs w:val="17"/>
                <w:lang w:eastAsia="en-AU"/>
              </w:rPr>
              <w:t xml:space="preserve">   quasidenticulatus </w:t>
            </w:r>
          </w:p>
        </w:tc>
        <w:tc>
          <w:tcPr>
            <w:tcW w:w="564" w:type="pct"/>
            <w:tcBorders>
              <w:top w:val="nil"/>
              <w:left w:val="nil"/>
              <w:bottom w:val="nil"/>
              <w:right w:val="nil"/>
            </w:tcBorders>
            <w:shd w:val="clear" w:color="auto" w:fill="auto"/>
            <w:noWrap/>
            <w:vAlign w:val="bottom"/>
            <w:hideMark/>
          </w:tcPr>
          <w:p w14:paraId="33C266D6"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43F000A0"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6954CEA4"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75886595"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0CADF693"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08D9192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0BA7C0E5"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1/9</w:t>
            </w:r>
          </w:p>
        </w:tc>
        <w:tc>
          <w:tcPr>
            <w:tcW w:w="404" w:type="pct"/>
            <w:tcBorders>
              <w:top w:val="nil"/>
              <w:left w:val="nil"/>
              <w:bottom w:val="nil"/>
              <w:right w:val="single" w:sz="4" w:space="0" w:color="auto"/>
            </w:tcBorders>
            <w:shd w:val="clear" w:color="auto" w:fill="auto"/>
            <w:noWrap/>
            <w:vAlign w:val="bottom"/>
            <w:hideMark/>
          </w:tcPr>
          <w:p w14:paraId="3D9FDA19"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40.8</w:t>
            </w:r>
          </w:p>
        </w:tc>
      </w:tr>
      <w:tr w:rsidR="003D371F" w:rsidRPr="005D6B6A" w14:paraId="7D6DF3A6"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71B782DD"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282444EF"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127546FD"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38311A4C"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4ECAACE6"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5057E4D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56F324E2"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48DAD9F4"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0EE8360B"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33AF7DE0"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7E291539" w14:textId="77777777" w:rsidR="003D371F" w:rsidRPr="005D6B6A" w:rsidRDefault="003D371F" w:rsidP="003D371F">
            <w:pPr>
              <w:spacing w:before="0" w:after="0" w:line="240" w:lineRule="auto"/>
              <w:contextualSpacing/>
              <w:jc w:val="left"/>
              <w:rPr>
                <w:rFonts w:cs="Calibri"/>
                <w:b/>
                <w:bCs/>
                <w:kern w:val="0"/>
                <w:sz w:val="17"/>
                <w:szCs w:val="17"/>
                <w:lang w:eastAsia="en-AU"/>
              </w:rPr>
            </w:pPr>
            <w:r w:rsidRPr="005D6B6A">
              <w:rPr>
                <w:rFonts w:cs="Calibri"/>
                <w:b/>
                <w:bCs/>
                <w:kern w:val="0"/>
                <w:sz w:val="17"/>
                <w:szCs w:val="17"/>
                <w:lang w:eastAsia="en-AU"/>
              </w:rPr>
              <w:t>Ostracoda</w:t>
            </w:r>
          </w:p>
        </w:tc>
        <w:tc>
          <w:tcPr>
            <w:tcW w:w="564" w:type="pct"/>
            <w:tcBorders>
              <w:top w:val="nil"/>
              <w:left w:val="nil"/>
              <w:bottom w:val="nil"/>
              <w:right w:val="nil"/>
            </w:tcBorders>
            <w:shd w:val="clear" w:color="auto" w:fill="auto"/>
            <w:noWrap/>
            <w:vAlign w:val="bottom"/>
            <w:hideMark/>
          </w:tcPr>
          <w:p w14:paraId="0920178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2F337E92"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658B696C"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305851E4"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474A62C2"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0BBB788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320BBAE5"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070DB39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2E501161"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6E7CC1EE" w14:textId="77777777" w:rsidR="003D371F" w:rsidRPr="005D6B6A" w:rsidRDefault="003D371F" w:rsidP="003D371F">
            <w:pPr>
              <w:spacing w:before="0" w:after="0" w:line="240" w:lineRule="auto"/>
              <w:contextualSpacing/>
              <w:jc w:val="left"/>
              <w:rPr>
                <w:rFonts w:cs="Calibri"/>
                <w:i/>
                <w:iCs/>
                <w:kern w:val="0"/>
                <w:sz w:val="17"/>
                <w:szCs w:val="17"/>
                <w:lang w:eastAsia="en-AU"/>
              </w:rPr>
            </w:pPr>
            <w:r w:rsidRPr="005D6B6A">
              <w:rPr>
                <w:rFonts w:cs="Calibri"/>
                <w:i/>
                <w:iCs/>
                <w:kern w:val="0"/>
                <w:sz w:val="17"/>
                <w:szCs w:val="17"/>
                <w:lang w:eastAsia="en-AU"/>
              </w:rPr>
              <w:t xml:space="preserve">   </w:t>
            </w:r>
            <w:r w:rsidRPr="005D6B6A">
              <w:rPr>
                <w:rFonts w:cs="Calibri"/>
                <w:iCs/>
                <w:kern w:val="0"/>
                <w:sz w:val="17"/>
                <w:szCs w:val="17"/>
                <w:lang w:eastAsia="en-AU"/>
              </w:rPr>
              <w:t xml:space="preserve">Newnhamia </w:t>
            </w:r>
            <w:r w:rsidRPr="005D6B6A">
              <w:rPr>
                <w:rFonts w:cs="Calibri"/>
                <w:kern w:val="0"/>
                <w:sz w:val="17"/>
                <w:szCs w:val="17"/>
                <w:lang w:eastAsia="en-AU"/>
              </w:rPr>
              <w:t>sp.</w:t>
            </w:r>
          </w:p>
        </w:tc>
        <w:tc>
          <w:tcPr>
            <w:tcW w:w="564" w:type="pct"/>
            <w:tcBorders>
              <w:top w:val="nil"/>
              <w:left w:val="nil"/>
              <w:bottom w:val="nil"/>
              <w:right w:val="nil"/>
            </w:tcBorders>
            <w:shd w:val="clear" w:color="auto" w:fill="auto"/>
            <w:noWrap/>
            <w:vAlign w:val="bottom"/>
            <w:hideMark/>
          </w:tcPr>
          <w:p w14:paraId="4328B335"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0B6FD9E4"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5D06A6F0"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633F3E5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0C47AB29"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347DFAAB"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6006437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1/9</w:t>
            </w:r>
          </w:p>
        </w:tc>
        <w:tc>
          <w:tcPr>
            <w:tcW w:w="404" w:type="pct"/>
            <w:tcBorders>
              <w:top w:val="nil"/>
              <w:left w:val="nil"/>
              <w:bottom w:val="nil"/>
              <w:right w:val="single" w:sz="4" w:space="0" w:color="auto"/>
            </w:tcBorders>
            <w:shd w:val="clear" w:color="auto" w:fill="auto"/>
            <w:noWrap/>
            <w:vAlign w:val="bottom"/>
            <w:hideMark/>
          </w:tcPr>
          <w:p w14:paraId="6B581CA7"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2.0</w:t>
            </w:r>
          </w:p>
        </w:tc>
      </w:tr>
      <w:tr w:rsidR="003D371F" w:rsidRPr="005D6B6A" w14:paraId="2D2FCBB4"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50B7807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2AC93BD7"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05096753"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54CD81D0"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6AF9FE46"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139CAAFC"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7C583A3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5FBE6AC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27135EFD"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3CFDA650"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1DA69049" w14:textId="77777777" w:rsidR="003D371F" w:rsidRPr="005D6B6A" w:rsidRDefault="003D371F" w:rsidP="003D371F">
            <w:pPr>
              <w:spacing w:before="0" w:after="0" w:line="240" w:lineRule="auto"/>
              <w:contextualSpacing/>
              <w:jc w:val="left"/>
              <w:rPr>
                <w:rFonts w:cs="Calibri"/>
                <w:b/>
                <w:bCs/>
                <w:kern w:val="0"/>
                <w:sz w:val="17"/>
                <w:szCs w:val="17"/>
                <w:lang w:eastAsia="en-AU"/>
              </w:rPr>
            </w:pPr>
            <w:r w:rsidRPr="005D6B6A">
              <w:rPr>
                <w:rFonts w:cs="Calibri"/>
                <w:b/>
                <w:bCs/>
                <w:kern w:val="0"/>
                <w:sz w:val="17"/>
                <w:szCs w:val="17"/>
                <w:lang w:eastAsia="en-AU"/>
              </w:rPr>
              <w:t>Decapoda</w:t>
            </w:r>
          </w:p>
        </w:tc>
        <w:tc>
          <w:tcPr>
            <w:tcW w:w="564" w:type="pct"/>
            <w:tcBorders>
              <w:top w:val="nil"/>
              <w:left w:val="nil"/>
              <w:bottom w:val="nil"/>
              <w:right w:val="nil"/>
            </w:tcBorders>
            <w:shd w:val="clear" w:color="auto" w:fill="auto"/>
            <w:noWrap/>
            <w:vAlign w:val="bottom"/>
            <w:hideMark/>
          </w:tcPr>
          <w:p w14:paraId="19F9F67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25712B0B"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018D097C"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1AB18E46"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28ABDE10"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6472C77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225C0D65"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407AAAF7"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03DE9E47"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69E22A12"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xml:space="preserve">  Atyidae</w:t>
            </w:r>
          </w:p>
        </w:tc>
        <w:tc>
          <w:tcPr>
            <w:tcW w:w="564" w:type="pct"/>
            <w:tcBorders>
              <w:top w:val="nil"/>
              <w:left w:val="nil"/>
              <w:bottom w:val="nil"/>
              <w:right w:val="nil"/>
            </w:tcBorders>
            <w:shd w:val="clear" w:color="auto" w:fill="auto"/>
            <w:noWrap/>
            <w:vAlign w:val="bottom"/>
            <w:hideMark/>
          </w:tcPr>
          <w:p w14:paraId="2474DAAB"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31F59BB4"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36630A1B"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10876CC0"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3663CB6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2D7F1D77"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009A190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4/9</w:t>
            </w:r>
          </w:p>
        </w:tc>
        <w:tc>
          <w:tcPr>
            <w:tcW w:w="404" w:type="pct"/>
            <w:tcBorders>
              <w:top w:val="nil"/>
              <w:left w:val="nil"/>
              <w:bottom w:val="nil"/>
              <w:right w:val="single" w:sz="4" w:space="0" w:color="auto"/>
            </w:tcBorders>
            <w:shd w:val="clear" w:color="auto" w:fill="auto"/>
            <w:noWrap/>
            <w:vAlign w:val="bottom"/>
            <w:hideMark/>
          </w:tcPr>
          <w:p w14:paraId="32BFD1C1"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16.3</w:t>
            </w:r>
          </w:p>
        </w:tc>
      </w:tr>
      <w:tr w:rsidR="003D371F" w:rsidRPr="005D6B6A" w14:paraId="2826E3DA"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0E6ABB83"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2FA844C7"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6563609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307E792F"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7EFBD1E4"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1DB02585"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099C2561"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4652A758"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6BEAC225"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39429DF5"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76FFF6F0" w14:textId="77777777" w:rsidR="003D371F" w:rsidRPr="005D6B6A" w:rsidRDefault="003D371F" w:rsidP="003D371F">
            <w:pPr>
              <w:spacing w:before="0" w:after="0" w:line="240" w:lineRule="auto"/>
              <w:contextualSpacing/>
              <w:jc w:val="left"/>
              <w:rPr>
                <w:rFonts w:cs="Calibri"/>
                <w:b/>
                <w:bCs/>
                <w:kern w:val="0"/>
                <w:sz w:val="17"/>
                <w:szCs w:val="17"/>
                <w:lang w:eastAsia="en-AU"/>
              </w:rPr>
            </w:pPr>
            <w:r w:rsidRPr="005D6B6A">
              <w:rPr>
                <w:rFonts w:cs="Calibri"/>
                <w:b/>
                <w:bCs/>
                <w:kern w:val="0"/>
                <w:sz w:val="17"/>
                <w:szCs w:val="17"/>
                <w:lang w:eastAsia="en-AU"/>
              </w:rPr>
              <w:t>Insecta</w:t>
            </w:r>
          </w:p>
        </w:tc>
        <w:tc>
          <w:tcPr>
            <w:tcW w:w="564" w:type="pct"/>
            <w:tcBorders>
              <w:top w:val="nil"/>
              <w:left w:val="nil"/>
              <w:bottom w:val="nil"/>
              <w:right w:val="nil"/>
            </w:tcBorders>
            <w:shd w:val="clear" w:color="auto" w:fill="auto"/>
            <w:noWrap/>
            <w:vAlign w:val="bottom"/>
            <w:hideMark/>
          </w:tcPr>
          <w:p w14:paraId="54B13FBC"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2EE6F487"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6D3FA1BA"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3D2C4FBC"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67FBC02D"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4008793B"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201FA214"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7899A457"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r>
      <w:tr w:rsidR="003D371F" w:rsidRPr="005D6B6A" w14:paraId="32EC003A"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4BB29FB0"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xml:space="preserve"> Diptera</w:t>
            </w:r>
          </w:p>
        </w:tc>
        <w:tc>
          <w:tcPr>
            <w:tcW w:w="564" w:type="pct"/>
            <w:tcBorders>
              <w:top w:val="nil"/>
              <w:left w:val="nil"/>
              <w:bottom w:val="nil"/>
              <w:right w:val="nil"/>
            </w:tcBorders>
            <w:shd w:val="clear" w:color="auto" w:fill="auto"/>
            <w:noWrap/>
            <w:vAlign w:val="bottom"/>
            <w:hideMark/>
          </w:tcPr>
          <w:p w14:paraId="1EA4FB0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3A4012F1"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47236CA2"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350B6ED3"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12A764AE"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3ACE1A63"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0FD72421"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1/9</w:t>
            </w:r>
          </w:p>
        </w:tc>
        <w:tc>
          <w:tcPr>
            <w:tcW w:w="404" w:type="pct"/>
            <w:tcBorders>
              <w:top w:val="nil"/>
              <w:left w:val="nil"/>
              <w:bottom w:val="nil"/>
              <w:right w:val="single" w:sz="4" w:space="0" w:color="auto"/>
            </w:tcBorders>
            <w:shd w:val="clear" w:color="auto" w:fill="auto"/>
            <w:noWrap/>
            <w:vAlign w:val="bottom"/>
            <w:hideMark/>
          </w:tcPr>
          <w:p w14:paraId="4B91C980"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2.0</w:t>
            </w:r>
          </w:p>
        </w:tc>
      </w:tr>
      <w:tr w:rsidR="003D371F" w:rsidRPr="005D6B6A" w14:paraId="20AC8073" w14:textId="77777777" w:rsidTr="003D371F">
        <w:trPr>
          <w:trHeight w:val="227"/>
        </w:trPr>
        <w:tc>
          <w:tcPr>
            <w:tcW w:w="1291" w:type="pct"/>
            <w:tcBorders>
              <w:top w:val="nil"/>
              <w:left w:val="single" w:sz="4" w:space="0" w:color="auto"/>
              <w:bottom w:val="nil"/>
              <w:right w:val="single" w:sz="4" w:space="0" w:color="auto"/>
            </w:tcBorders>
            <w:shd w:val="clear" w:color="auto" w:fill="auto"/>
            <w:noWrap/>
            <w:vAlign w:val="bottom"/>
            <w:hideMark/>
          </w:tcPr>
          <w:p w14:paraId="22D18AE9"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xml:space="preserve">  Chironomidae</w:t>
            </w:r>
          </w:p>
        </w:tc>
        <w:tc>
          <w:tcPr>
            <w:tcW w:w="564" w:type="pct"/>
            <w:tcBorders>
              <w:top w:val="nil"/>
              <w:left w:val="nil"/>
              <w:bottom w:val="nil"/>
              <w:right w:val="nil"/>
            </w:tcBorders>
            <w:shd w:val="clear" w:color="auto" w:fill="auto"/>
            <w:noWrap/>
            <w:vAlign w:val="bottom"/>
            <w:hideMark/>
          </w:tcPr>
          <w:p w14:paraId="5BCADE51"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1/1</w:t>
            </w:r>
          </w:p>
        </w:tc>
        <w:tc>
          <w:tcPr>
            <w:tcW w:w="324" w:type="pct"/>
            <w:tcBorders>
              <w:top w:val="nil"/>
              <w:left w:val="nil"/>
              <w:bottom w:val="nil"/>
              <w:right w:val="single" w:sz="4" w:space="0" w:color="auto"/>
            </w:tcBorders>
            <w:shd w:val="clear" w:color="auto" w:fill="auto"/>
            <w:noWrap/>
            <w:vAlign w:val="bottom"/>
            <w:hideMark/>
          </w:tcPr>
          <w:p w14:paraId="10BFA2D2"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20.0</w:t>
            </w:r>
          </w:p>
        </w:tc>
        <w:tc>
          <w:tcPr>
            <w:tcW w:w="564" w:type="pct"/>
            <w:tcBorders>
              <w:top w:val="nil"/>
              <w:left w:val="nil"/>
              <w:bottom w:val="nil"/>
              <w:right w:val="nil"/>
            </w:tcBorders>
            <w:shd w:val="clear" w:color="auto" w:fill="auto"/>
            <w:noWrap/>
            <w:vAlign w:val="bottom"/>
            <w:hideMark/>
          </w:tcPr>
          <w:p w14:paraId="22D5FA27"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404" w:type="pct"/>
            <w:tcBorders>
              <w:top w:val="nil"/>
              <w:left w:val="nil"/>
              <w:bottom w:val="nil"/>
              <w:right w:val="single" w:sz="4" w:space="0" w:color="auto"/>
            </w:tcBorders>
            <w:shd w:val="clear" w:color="auto" w:fill="auto"/>
            <w:noWrap/>
            <w:vAlign w:val="bottom"/>
            <w:hideMark/>
          </w:tcPr>
          <w:p w14:paraId="05EA75ED"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0EBAAAB7"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324" w:type="pct"/>
            <w:tcBorders>
              <w:top w:val="nil"/>
              <w:left w:val="nil"/>
              <w:bottom w:val="nil"/>
              <w:right w:val="single" w:sz="4" w:space="0" w:color="auto"/>
            </w:tcBorders>
            <w:shd w:val="clear" w:color="auto" w:fill="auto"/>
            <w:noWrap/>
            <w:vAlign w:val="bottom"/>
            <w:hideMark/>
          </w:tcPr>
          <w:p w14:paraId="2A33E900"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w:t>
            </w:r>
          </w:p>
        </w:tc>
        <w:tc>
          <w:tcPr>
            <w:tcW w:w="564" w:type="pct"/>
            <w:tcBorders>
              <w:top w:val="nil"/>
              <w:left w:val="nil"/>
              <w:bottom w:val="nil"/>
              <w:right w:val="nil"/>
            </w:tcBorders>
            <w:shd w:val="clear" w:color="auto" w:fill="auto"/>
            <w:noWrap/>
            <w:vAlign w:val="bottom"/>
            <w:hideMark/>
          </w:tcPr>
          <w:p w14:paraId="247E7985" w14:textId="77777777" w:rsidR="003D371F" w:rsidRPr="005D6B6A" w:rsidRDefault="003D371F" w:rsidP="003D371F">
            <w:pPr>
              <w:spacing w:before="0" w:after="0" w:line="240" w:lineRule="auto"/>
              <w:contextualSpacing/>
              <w:jc w:val="left"/>
              <w:rPr>
                <w:rFonts w:cs="Calibri"/>
                <w:kern w:val="0"/>
                <w:sz w:val="17"/>
                <w:szCs w:val="17"/>
                <w:lang w:eastAsia="en-AU"/>
              </w:rPr>
            </w:pPr>
            <w:r w:rsidRPr="005D6B6A">
              <w:rPr>
                <w:rFonts w:cs="Calibri"/>
                <w:kern w:val="0"/>
                <w:sz w:val="17"/>
                <w:szCs w:val="17"/>
                <w:lang w:eastAsia="en-AU"/>
              </w:rPr>
              <w:t> 1/9</w:t>
            </w:r>
          </w:p>
        </w:tc>
        <w:tc>
          <w:tcPr>
            <w:tcW w:w="404" w:type="pct"/>
            <w:tcBorders>
              <w:top w:val="nil"/>
              <w:left w:val="nil"/>
              <w:bottom w:val="nil"/>
              <w:right w:val="single" w:sz="4" w:space="0" w:color="auto"/>
            </w:tcBorders>
            <w:shd w:val="clear" w:color="auto" w:fill="auto"/>
            <w:noWrap/>
            <w:vAlign w:val="bottom"/>
            <w:hideMark/>
          </w:tcPr>
          <w:p w14:paraId="2308B8F6" w14:textId="77777777" w:rsidR="003D371F" w:rsidRPr="005D6B6A" w:rsidRDefault="003D371F" w:rsidP="003D371F">
            <w:pPr>
              <w:spacing w:before="0" w:after="0" w:line="240" w:lineRule="auto"/>
              <w:contextualSpacing/>
              <w:jc w:val="right"/>
              <w:rPr>
                <w:rFonts w:cs="Calibri"/>
                <w:kern w:val="0"/>
                <w:sz w:val="17"/>
                <w:szCs w:val="17"/>
                <w:lang w:eastAsia="en-AU"/>
              </w:rPr>
            </w:pPr>
            <w:r w:rsidRPr="005D6B6A">
              <w:rPr>
                <w:rFonts w:cs="Calibri"/>
                <w:kern w:val="0"/>
                <w:sz w:val="17"/>
                <w:szCs w:val="17"/>
                <w:lang w:eastAsia="en-AU"/>
              </w:rPr>
              <w:t>2.0</w:t>
            </w:r>
          </w:p>
        </w:tc>
      </w:tr>
      <w:tr w:rsidR="003D371F" w:rsidRPr="005D6B6A" w14:paraId="3D944242" w14:textId="77777777" w:rsidTr="003D371F">
        <w:trPr>
          <w:trHeight w:val="227"/>
        </w:trPr>
        <w:tc>
          <w:tcPr>
            <w:tcW w:w="1291" w:type="pct"/>
            <w:tcBorders>
              <w:top w:val="nil"/>
              <w:left w:val="single" w:sz="4" w:space="0" w:color="auto"/>
              <w:bottom w:val="single" w:sz="4" w:space="0" w:color="auto"/>
              <w:right w:val="single" w:sz="4" w:space="0" w:color="auto"/>
            </w:tcBorders>
            <w:shd w:val="clear" w:color="auto" w:fill="auto"/>
            <w:noWrap/>
            <w:vAlign w:val="bottom"/>
            <w:hideMark/>
          </w:tcPr>
          <w:p w14:paraId="14C86F68" w14:textId="77777777" w:rsidR="003D371F" w:rsidRPr="005D6B6A" w:rsidRDefault="003D371F" w:rsidP="003D371F">
            <w:pPr>
              <w:spacing w:before="0" w:after="0" w:line="240" w:lineRule="auto"/>
              <w:contextualSpacing/>
              <w:jc w:val="left"/>
              <w:rPr>
                <w:rFonts w:ascii="Calibri" w:hAnsi="Calibri" w:cs="Calibri"/>
                <w:kern w:val="0"/>
                <w:sz w:val="17"/>
                <w:szCs w:val="17"/>
                <w:lang w:eastAsia="en-AU"/>
              </w:rPr>
            </w:pPr>
            <w:r w:rsidRPr="005D6B6A">
              <w:rPr>
                <w:rFonts w:ascii="Calibri" w:hAnsi="Calibri" w:cs="Calibri"/>
                <w:kern w:val="0"/>
                <w:sz w:val="17"/>
                <w:szCs w:val="17"/>
                <w:lang w:eastAsia="en-AU"/>
              </w:rPr>
              <w:t> </w:t>
            </w:r>
          </w:p>
        </w:tc>
        <w:tc>
          <w:tcPr>
            <w:tcW w:w="564" w:type="pct"/>
            <w:tcBorders>
              <w:top w:val="nil"/>
              <w:left w:val="nil"/>
              <w:bottom w:val="single" w:sz="4" w:space="0" w:color="auto"/>
              <w:right w:val="nil"/>
            </w:tcBorders>
            <w:shd w:val="clear" w:color="auto" w:fill="auto"/>
            <w:noWrap/>
            <w:vAlign w:val="bottom"/>
            <w:hideMark/>
          </w:tcPr>
          <w:p w14:paraId="6866A206" w14:textId="77777777" w:rsidR="003D371F" w:rsidRPr="005D6B6A" w:rsidRDefault="003D371F" w:rsidP="003D371F">
            <w:pPr>
              <w:spacing w:before="0" w:after="0" w:line="240" w:lineRule="auto"/>
              <w:contextualSpacing/>
              <w:jc w:val="left"/>
              <w:rPr>
                <w:rFonts w:ascii="Calibri" w:hAnsi="Calibri" w:cs="Calibri"/>
                <w:kern w:val="0"/>
                <w:sz w:val="17"/>
                <w:szCs w:val="17"/>
                <w:lang w:eastAsia="en-AU"/>
              </w:rPr>
            </w:pPr>
            <w:r w:rsidRPr="005D6B6A">
              <w:rPr>
                <w:rFonts w:ascii="Calibri" w:hAnsi="Calibri" w:cs="Calibri"/>
                <w:kern w:val="0"/>
                <w:sz w:val="17"/>
                <w:szCs w:val="17"/>
                <w:lang w:eastAsia="en-AU"/>
              </w:rPr>
              <w:t> </w:t>
            </w:r>
          </w:p>
        </w:tc>
        <w:tc>
          <w:tcPr>
            <w:tcW w:w="324" w:type="pct"/>
            <w:tcBorders>
              <w:top w:val="nil"/>
              <w:left w:val="nil"/>
              <w:bottom w:val="single" w:sz="4" w:space="0" w:color="auto"/>
              <w:right w:val="single" w:sz="4" w:space="0" w:color="auto"/>
            </w:tcBorders>
            <w:shd w:val="clear" w:color="auto" w:fill="auto"/>
            <w:noWrap/>
            <w:vAlign w:val="bottom"/>
            <w:hideMark/>
          </w:tcPr>
          <w:p w14:paraId="4462B7B1" w14:textId="77777777" w:rsidR="003D371F" w:rsidRPr="005D6B6A" w:rsidRDefault="003D371F" w:rsidP="003D371F">
            <w:pPr>
              <w:spacing w:before="0" w:after="0" w:line="240" w:lineRule="auto"/>
              <w:contextualSpacing/>
              <w:jc w:val="left"/>
              <w:rPr>
                <w:rFonts w:ascii="Calibri" w:hAnsi="Calibri" w:cs="Calibri"/>
                <w:kern w:val="0"/>
                <w:sz w:val="17"/>
                <w:szCs w:val="17"/>
                <w:lang w:eastAsia="en-AU"/>
              </w:rPr>
            </w:pPr>
            <w:r w:rsidRPr="005D6B6A">
              <w:rPr>
                <w:rFonts w:ascii="Calibri" w:hAnsi="Calibri" w:cs="Calibri"/>
                <w:kern w:val="0"/>
                <w:sz w:val="17"/>
                <w:szCs w:val="17"/>
                <w:lang w:eastAsia="en-AU"/>
              </w:rPr>
              <w:t> </w:t>
            </w:r>
          </w:p>
        </w:tc>
        <w:tc>
          <w:tcPr>
            <w:tcW w:w="564" w:type="pct"/>
            <w:tcBorders>
              <w:top w:val="nil"/>
              <w:left w:val="nil"/>
              <w:bottom w:val="single" w:sz="4" w:space="0" w:color="auto"/>
              <w:right w:val="nil"/>
            </w:tcBorders>
            <w:shd w:val="clear" w:color="auto" w:fill="auto"/>
            <w:noWrap/>
            <w:vAlign w:val="bottom"/>
            <w:hideMark/>
          </w:tcPr>
          <w:p w14:paraId="1A2DD047" w14:textId="77777777" w:rsidR="003D371F" w:rsidRPr="005D6B6A" w:rsidRDefault="003D371F" w:rsidP="003D371F">
            <w:pPr>
              <w:spacing w:before="0" w:after="0" w:line="240" w:lineRule="auto"/>
              <w:contextualSpacing/>
              <w:jc w:val="left"/>
              <w:rPr>
                <w:rFonts w:ascii="Calibri" w:hAnsi="Calibri" w:cs="Calibri"/>
                <w:kern w:val="0"/>
                <w:sz w:val="17"/>
                <w:szCs w:val="17"/>
                <w:lang w:eastAsia="en-AU"/>
              </w:rPr>
            </w:pPr>
            <w:r w:rsidRPr="005D6B6A">
              <w:rPr>
                <w:rFonts w:ascii="Calibri" w:hAnsi="Calibri" w:cs="Calibri"/>
                <w:kern w:val="0"/>
                <w:sz w:val="17"/>
                <w:szCs w:val="17"/>
                <w:lang w:eastAsia="en-AU"/>
              </w:rPr>
              <w:t> </w:t>
            </w:r>
          </w:p>
        </w:tc>
        <w:tc>
          <w:tcPr>
            <w:tcW w:w="404" w:type="pct"/>
            <w:tcBorders>
              <w:top w:val="nil"/>
              <w:left w:val="nil"/>
              <w:bottom w:val="single" w:sz="4" w:space="0" w:color="auto"/>
              <w:right w:val="single" w:sz="4" w:space="0" w:color="auto"/>
            </w:tcBorders>
            <w:shd w:val="clear" w:color="auto" w:fill="auto"/>
            <w:noWrap/>
            <w:vAlign w:val="bottom"/>
            <w:hideMark/>
          </w:tcPr>
          <w:p w14:paraId="6A9BF880" w14:textId="77777777" w:rsidR="003D371F" w:rsidRPr="005D6B6A" w:rsidRDefault="003D371F" w:rsidP="003D371F">
            <w:pPr>
              <w:spacing w:before="0" w:after="0" w:line="240" w:lineRule="auto"/>
              <w:contextualSpacing/>
              <w:jc w:val="left"/>
              <w:rPr>
                <w:rFonts w:ascii="Calibri" w:hAnsi="Calibri" w:cs="Calibri"/>
                <w:kern w:val="0"/>
                <w:sz w:val="17"/>
                <w:szCs w:val="17"/>
                <w:lang w:eastAsia="en-AU"/>
              </w:rPr>
            </w:pPr>
            <w:r w:rsidRPr="005D6B6A">
              <w:rPr>
                <w:rFonts w:ascii="Calibri" w:hAnsi="Calibri" w:cs="Calibri"/>
                <w:kern w:val="0"/>
                <w:sz w:val="17"/>
                <w:szCs w:val="17"/>
                <w:lang w:eastAsia="en-AU"/>
              </w:rPr>
              <w:t> </w:t>
            </w:r>
          </w:p>
        </w:tc>
        <w:tc>
          <w:tcPr>
            <w:tcW w:w="564" w:type="pct"/>
            <w:tcBorders>
              <w:top w:val="nil"/>
              <w:left w:val="nil"/>
              <w:bottom w:val="single" w:sz="4" w:space="0" w:color="auto"/>
              <w:right w:val="nil"/>
            </w:tcBorders>
            <w:shd w:val="clear" w:color="auto" w:fill="auto"/>
            <w:noWrap/>
            <w:vAlign w:val="bottom"/>
            <w:hideMark/>
          </w:tcPr>
          <w:p w14:paraId="7C9935FD" w14:textId="77777777" w:rsidR="003D371F" w:rsidRPr="005D6B6A" w:rsidRDefault="003D371F" w:rsidP="003D371F">
            <w:pPr>
              <w:spacing w:before="0" w:after="0" w:line="240" w:lineRule="auto"/>
              <w:contextualSpacing/>
              <w:jc w:val="left"/>
              <w:rPr>
                <w:rFonts w:ascii="Calibri" w:hAnsi="Calibri" w:cs="Calibri"/>
                <w:kern w:val="0"/>
                <w:sz w:val="17"/>
                <w:szCs w:val="17"/>
                <w:lang w:eastAsia="en-AU"/>
              </w:rPr>
            </w:pPr>
            <w:r w:rsidRPr="005D6B6A">
              <w:rPr>
                <w:rFonts w:ascii="Calibri" w:hAnsi="Calibri" w:cs="Calibri"/>
                <w:kern w:val="0"/>
                <w:sz w:val="17"/>
                <w:szCs w:val="17"/>
                <w:lang w:eastAsia="en-AU"/>
              </w:rPr>
              <w:t> </w:t>
            </w:r>
          </w:p>
        </w:tc>
        <w:tc>
          <w:tcPr>
            <w:tcW w:w="324" w:type="pct"/>
            <w:tcBorders>
              <w:top w:val="nil"/>
              <w:left w:val="nil"/>
              <w:bottom w:val="single" w:sz="4" w:space="0" w:color="auto"/>
              <w:right w:val="single" w:sz="4" w:space="0" w:color="auto"/>
            </w:tcBorders>
            <w:shd w:val="clear" w:color="auto" w:fill="auto"/>
            <w:noWrap/>
            <w:vAlign w:val="bottom"/>
            <w:hideMark/>
          </w:tcPr>
          <w:p w14:paraId="1CB935E8" w14:textId="77777777" w:rsidR="003D371F" w:rsidRPr="005D6B6A" w:rsidRDefault="003D371F" w:rsidP="003D371F">
            <w:pPr>
              <w:spacing w:before="0" w:after="0" w:line="240" w:lineRule="auto"/>
              <w:contextualSpacing/>
              <w:jc w:val="left"/>
              <w:rPr>
                <w:rFonts w:ascii="Calibri" w:hAnsi="Calibri" w:cs="Calibri"/>
                <w:kern w:val="0"/>
                <w:sz w:val="17"/>
                <w:szCs w:val="17"/>
                <w:lang w:eastAsia="en-AU"/>
              </w:rPr>
            </w:pPr>
            <w:r w:rsidRPr="005D6B6A">
              <w:rPr>
                <w:rFonts w:ascii="Calibri" w:hAnsi="Calibri" w:cs="Calibri"/>
                <w:kern w:val="0"/>
                <w:sz w:val="17"/>
                <w:szCs w:val="17"/>
                <w:lang w:eastAsia="en-AU"/>
              </w:rPr>
              <w:t> </w:t>
            </w:r>
          </w:p>
        </w:tc>
        <w:tc>
          <w:tcPr>
            <w:tcW w:w="564" w:type="pct"/>
            <w:tcBorders>
              <w:top w:val="nil"/>
              <w:left w:val="nil"/>
              <w:bottom w:val="single" w:sz="4" w:space="0" w:color="auto"/>
              <w:right w:val="nil"/>
            </w:tcBorders>
            <w:shd w:val="clear" w:color="auto" w:fill="auto"/>
            <w:noWrap/>
            <w:vAlign w:val="bottom"/>
            <w:hideMark/>
          </w:tcPr>
          <w:p w14:paraId="0855B6AA" w14:textId="77777777" w:rsidR="003D371F" w:rsidRPr="005D6B6A" w:rsidRDefault="003D371F" w:rsidP="003D371F">
            <w:pPr>
              <w:spacing w:before="0" w:after="0" w:line="240" w:lineRule="auto"/>
              <w:contextualSpacing/>
              <w:jc w:val="left"/>
              <w:rPr>
                <w:rFonts w:ascii="Calibri" w:hAnsi="Calibri" w:cs="Calibri"/>
                <w:kern w:val="0"/>
                <w:sz w:val="17"/>
                <w:szCs w:val="17"/>
                <w:lang w:eastAsia="en-AU"/>
              </w:rPr>
            </w:pPr>
            <w:r w:rsidRPr="005D6B6A">
              <w:rPr>
                <w:rFonts w:ascii="Calibri" w:hAnsi="Calibri" w:cs="Calibri"/>
                <w:kern w:val="0"/>
                <w:sz w:val="17"/>
                <w:szCs w:val="17"/>
                <w:lang w:eastAsia="en-AU"/>
              </w:rPr>
              <w:t> </w:t>
            </w:r>
          </w:p>
        </w:tc>
        <w:tc>
          <w:tcPr>
            <w:tcW w:w="404" w:type="pct"/>
            <w:tcBorders>
              <w:top w:val="nil"/>
              <w:left w:val="nil"/>
              <w:bottom w:val="single" w:sz="4" w:space="0" w:color="auto"/>
              <w:right w:val="single" w:sz="4" w:space="0" w:color="auto"/>
            </w:tcBorders>
            <w:shd w:val="clear" w:color="auto" w:fill="auto"/>
            <w:noWrap/>
            <w:vAlign w:val="bottom"/>
            <w:hideMark/>
          </w:tcPr>
          <w:p w14:paraId="5B4D3FC5" w14:textId="77777777" w:rsidR="003D371F" w:rsidRPr="005D6B6A" w:rsidRDefault="003D371F" w:rsidP="003D371F">
            <w:pPr>
              <w:spacing w:before="0" w:after="0" w:line="240" w:lineRule="auto"/>
              <w:contextualSpacing/>
              <w:jc w:val="left"/>
              <w:rPr>
                <w:rFonts w:ascii="Calibri" w:hAnsi="Calibri" w:cs="Calibri"/>
                <w:kern w:val="0"/>
                <w:sz w:val="17"/>
                <w:szCs w:val="17"/>
                <w:lang w:eastAsia="en-AU"/>
              </w:rPr>
            </w:pPr>
            <w:r w:rsidRPr="005D6B6A">
              <w:rPr>
                <w:rFonts w:ascii="Calibri" w:hAnsi="Calibri" w:cs="Calibri"/>
                <w:kern w:val="0"/>
                <w:sz w:val="17"/>
                <w:szCs w:val="17"/>
                <w:lang w:eastAsia="en-AU"/>
              </w:rPr>
              <w:t> </w:t>
            </w:r>
          </w:p>
        </w:tc>
      </w:tr>
    </w:tbl>
    <w:p w14:paraId="7716FBD9" w14:textId="77777777" w:rsidR="009162CC" w:rsidRDefault="009162CC" w:rsidP="009162CC">
      <w:pPr>
        <w:rPr>
          <w:highlight w:val="yellow"/>
        </w:rPr>
      </w:pPr>
    </w:p>
    <w:p w14:paraId="47C8BD8D" w14:textId="77777777" w:rsidR="009162CC" w:rsidRDefault="009162CC">
      <w:pPr>
        <w:spacing w:before="0" w:after="200" w:line="276" w:lineRule="auto"/>
        <w:rPr>
          <w:rFonts w:eastAsiaTheme="majorEastAsia" w:cstheme="majorBidi"/>
          <w:b/>
          <w:bCs/>
          <w:caps/>
          <w:color w:val="1F497D" w:themeColor="text2"/>
          <w:sz w:val="32"/>
          <w:szCs w:val="28"/>
          <w:highlight w:val="yellow"/>
        </w:rPr>
      </w:pPr>
      <w:r>
        <w:rPr>
          <w:highlight w:val="yellow"/>
        </w:rPr>
        <w:br w:type="page"/>
      </w:r>
    </w:p>
    <w:p w14:paraId="7B1C9EAA" w14:textId="77777777" w:rsidR="00911210" w:rsidRDefault="00D663A9" w:rsidP="00911210">
      <w:pPr>
        <w:pStyle w:val="Heading1"/>
        <w:numPr>
          <w:ilvl w:val="0"/>
          <w:numId w:val="0"/>
        </w:numPr>
      </w:pPr>
      <w:bookmarkStart w:id="192" w:name="_Toc441838754"/>
      <w:bookmarkStart w:id="193" w:name="_Toc474147079"/>
      <w:r w:rsidRPr="00DF1502">
        <w:lastRenderedPageBreak/>
        <w:t xml:space="preserve">Appendix </w:t>
      </w:r>
      <w:r w:rsidR="0047367A">
        <w:t>H</w:t>
      </w:r>
      <w:r w:rsidRPr="00DF1502">
        <w:t>: Fish Spawning and Recruitment</w:t>
      </w:r>
      <w:bookmarkEnd w:id="192"/>
      <w:bookmarkEnd w:id="193"/>
    </w:p>
    <w:p w14:paraId="13FFD4CD" w14:textId="77777777" w:rsidR="009162CC" w:rsidRPr="00B61C7B" w:rsidRDefault="00AC3634" w:rsidP="009162CC">
      <w:pPr>
        <w:rPr>
          <w:b/>
          <w:color w:val="1F497D" w:themeColor="text2"/>
          <w:sz w:val="26"/>
          <w:szCs w:val="26"/>
        </w:rPr>
      </w:pPr>
      <w:r w:rsidRPr="00B61C7B">
        <w:rPr>
          <w:b/>
          <w:color w:val="1F497D" w:themeColor="text2"/>
          <w:sz w:val="26"/>
          <w:szCs w:val="26"/>
        </w:rPr>
        <w:t>Background</w:t>
      </w:r>
    </w:p>
    <w:p w14:paraId="1923DE82" w14:textId="3B9B3569" w:rsidR="006F4CBC" w:rsidRDefault="006F4CBC" w:rsidP="006F4CBC">
      <w:pPr>
        <w:rPr>
          <w:bCs/>
        </w:rPr>
      </w:pPr>
      <w:r w:rsidRPr="00B13A75">
        <w:t xml:space="preserve">Restoring flow regimes with environmental water </w:t>
      </w:r>
      <w:r>
        <w:t>allocations</w:t>
      </w:r>
      <w:r w:rsidRPr="00B13A75">
        <w:t xml:space="preserve"> has become a central tenet of ecosystem restoration in the Murray–Darling Basin (MDB) (MDBA 2012; Koehn </w:t>
      </w:r>
      <w:r w:rsidRPr="00B13A75">
        <w:rPr>
          <w:i/>
        </w:rPr>
        <w:t>et al.</w:t>
      </w:r>
      <w:r w:rsidRPr="00B13A75">
        <w:t xml:space="preserve"> 2014). To be effective, however, flow restoration to benefit aquatic ecosystems, including fish, requires an empirical understanding of relationships between hydrology, life history and population dynamics (Arthington </w:t>
      </w:r>
      <w:r w:rsidRPr="00B13A75">
        <w:rPr>
          <w:i/>
        </w:rPr>
        <w:t>et al</w:t>
      </w:r>
      <w:r w:rsidRPr="00B13A75">
        <w:t>. 2006).</w:t>
      </w:r>
      <w:r w:rsidR="00BF1119">
        <w:t xml:space="preserve"> </w:t>
      </w:r>
      <w:r w:rsidR="00BF1119" w:rsidRPr="00B13A75">
        <w:rPr>
          <w:bCs/>
        </w:rPr>
        <w:t>Spawning and recruitment of golden perch (</w:t>
      </w:r>
      <w:r w:rsidR="00BF1119" w:rsidRPr="00B13A75">
        <w:rPr>
          <w:bCs/>
          <w:i/>
        </w:rPr>
        <w:t>Macquaria ambigua ambigua</w:t>
      </w:r>
      <w:r w:rsidR="00BF1119" w:rsidRPr="00B13A75">
        <w:rPr>
          <w:bCs/>
        </w:rPr>
        <w:t xml:space="preserve">) in the southern MDB </w:t>
      </w:r>
      <w:r w:rsidR="00C33117">
        <w:rPr>
          <w:bCs/>
        </w:rPr>
        <w:t xml:space="preserve">has been </w:t>
      </w:r>
      <w:r w:rsidR="00C33117" w:rsidRPr="00C33117">
        <w:rPr>
          <w:bCs/>
        </w:rPr>
        <w:t xml:space="preserve">associated with </w:t>
      </w:r>
      <w:r w:rsidR="00BF1119" w:rsidRPr="00C33117">
        <w:rPr>
          <w:bCs/>
        </w:rPr>
        <w:t xml:space="preserve">overbank flooding and increased discharge that remains in-channel (Mallen-Cooper and Stuart 2003; Zampatti and Leigh 2013a; 2013b). </w:t>
      </w:r>
      <w:r w:rsidR="00575D9B" w:rsidRPr="00C33117">
        <w:rPr>
          <w:bCs/>
        </w:rPr>
        <w:t>Similarly, abundant year classes of silver perch</w:t>
      </w:r>
      <w:r w:rsidR="00BF1119" w:rsidRPr="00C33117">
        <w:rPr>
          <w:bCs/>
        </w:rPr>
        <w:t xml:space="preserve"> in the southern MDB correspond</w:t>
      </w:r>
      <w:r w:rsidR="00575D9B" w:rsidRPr="00C33117">
        <w:rPr>
          <w:bCs/>
        </w:rPr>
        <w:t xml:space="preserve"> with increased in-channel discharge (Mallen-Cooper and Stuart 2003). </w:t>
      </w:r>
      <w:r w:rsidRPr="00C33117">
        <w:rPr>
          <w:bCs/>
        </w:rPr>
        <w:t xml:space="preserve">As such, throughout the MDB, </w:t>
      </w:r>
      <w:r w:rsidR="00575D9B" w:rsidRPr="00C33117">
        <w:rPr>
          <w:bCs/>
        </w:rPr>
        <w:t>both</w:t>
      </w:r>
      <w:r w:rsidR="00575D9B">
        <w:rPr>
          <w:bCs/>
        </w:rPr>
        <w:t xml:space="preserve"> </w:t>
      </w:r>
      <w:r w:rsidRPr="00B13A75">
        <w:rPr>
          <w:bCs/>
        </w:rPr>
        <w:t>golden perch</w:t>
      </w:r>
      <w:r w:rsidR="00575D9B">
        <w:rPr>
          <w:bCs/>
        </w:rPr>
        <w:t xml:space="preserve"> and silver perch are</w:t>
      </w:r>
      <w:r w:rsidRPr="00B13A75">
        <w:rPr>
          <w:bCs/>
        </w:rPr>
        <w:t xml:space="preserve"> considered candidate species to inform, and measure ecological response to, environmental water delivery.</w:t>
      </w:r>
    </w:p>
    <w:p w14:paraId="101BE871" w14:textId="1E883A33" w:rsidR="006F4CBC" w:rsidRPr="00B13A75" w:rsidRDefault="006F4CBC" w:rsidP="006F4CBC">
      <w:pPr>
        <w:rPr>
          <w:bCs/>
        </w:rPr>
      </w:pPr>
      <w:r w:rsidRPr="00B13A75">
        <w:rPr>
          <w:bCs/>
        </w:rPr>
        <w:t>Understanding the influence of hydrology on the population dynamics of golden perch</w:t>
      </w:r>
      <w:r w:rsidR="00E712B3">
        <w:rPr>
          <w:bCs/>
        </w:rPr>
        <w:t xml:space="preserve"> and silver perch</w:t>
      </w:r>
      <w:r w:rsidRPr="00B13A75">
        <w:rPr>
          <w:bCs/>
        </w:rPr>
        <w:t xml:space="preserve"> is reliant on accurately determining the hydrological conditions at the time and place of crucial life</w:t>
      </w:r>
      <w:r w:rsidR="00CA1E4D">
        <w:rPr>
          <w:bCs/>
        </w:rPr>
        <w:t xml:space="preserve"> </w:t>
      </w:r>
      <w:r w:rsidRPr="00B13A75">
        <w:rPr>
          <w:bCs/>
        </w:rPr>
        <w:t xml:space="preserve">history processes. For example, to be able to accurately determine the hydrological conditions associated with spawning, the time and place of spawning must be known.  This can be achieved by the </w:t>
      </w:r>
      <w:r w:rsidRPr="00B13A75">
        <w:rPr>
          <w:bCs/>
          <w:i/>
        </w:rPr>
        <w:t>in situ</w:t>
      </w:r>
      <w:r w:rsidRPr="00B13A75">
        <w:rPr>
          <w:bCs/>
        </w:rPr>
        <w:t xml:space="preserve"> collection of eggs immediately post-spawning or by retrospectively determining the spatio-temporal provenance of larval, juvenile and adult fish (i.e. </w:t>
      </w:r>
      <w:r w:rsidRPr="00B13A75">
        <w:rPr>
          <w:bCs/>
          <w:i/>
        </w:rPr>
        <w:t>when</w:t>
      </w:r>
      <w:r w:rsidRPr="00B13A75">
        <w:rPr>
          <w:bCs/>
        </w:rPr>
        <w:t xml:space="preserve"> and </w:t>
      </w:r>
      <w:r w:rsidRPr="00B13A75">
        <w:rPr>
          <w:bCs/>
          <w:i/>
        </w:rPr>
        <w:t>where</w:t>
      </w:r>
      <w:r w:rsidRPr="00B13A75">
        <w:rPr>
          <w:bCs/>
        </w:rPr>
        <w:t xml:space="preserve"> a fish was spawned).</w:t>
      </w:r>
    </w:p>
    <w:p w14:paraId="19B0E103" w14:textId="4F7ED2E6" w:rsidR="006F4CBC" w:rsidRPr="00777430" w:rsidRDefault="006F4CBC" w:rsidP="006F4CBC">
      <w:pPr>
        <w:rPr>
          <w:bCs/>
        </w:rPr>
      </w:pPr>
      <w:r w:rsidRPr="00777430">
        <w:rPr>
          <w:bCs/>
        </w:rPr>
        <w:t>The Commonwealth Environmental Water Holder (CEWH) is using large volumes (</w:t>
      </w:r>
      <w:r w:rsidR="00087BAF">
        <w:rPr>
          <w:bCs/>
        </w:rPr>
        <w:t>~</w:t>
      </w:r>
      <w:r w:rsidRPr="00777430">
        <w:rPr>
          <w:bCs/>
        </w:rPr>
        <w:t xml:space="preserve">1,000 GL) of environmental water to augment flow regimes in the MDB to rehabilitate the health of aquatic ecosystems. In the LMR Selected Area, Commonwealth environmental water will primarily be used to contribute to increased base flows and freshes (i.e. increases in flow contained within the river channel), either complementing </w:t>
      </w:r>
      <w:r w:rsidRPr="00777430">
        <w:rPr>
          <w:bCs/>
          <w:i/>
        </w:rPr>
        <w:t xml:space="preserve">natural </w:t>
      </w:r>
      <w:r w:rsidRPr="00777430">
        <w:rPr>
          <w:bCs/>
        </w:rPr>
        <w:t>freshes or creating freshes (LMR M&amp;E Plan). Through the delivery of these flows, the CEWH aims to contribute to increased spawning and/or recruitment of flow-dependent fish species in the LMR Selected Area.</w:t>
      </w:r>
    </w:p>
    <w:p w14:paraId="1C1166F6" w14:textId="4C5CC932" w:rsidR="00AC3634" w:rsidRDefault="006F4CBC" w:rsidP="006F4CBC">
      <w:r w:rsidRPr="00777430">
        <w:lastRenderedPageBreak/>
        <w:t xml:space="preserve">Over the term of this project (5 years) we aim to identify potential associations between reproduction (spawning and recruitment) of </w:t>
      </w:r>
      <w:r w:rsidR="00C33117">
        <w:t>native, flow-cued spawning fishes</w:t>
      </w:r>
      <w:r w:rsidR="00C33117" w:rsidRPr="00777430">
        <w:t xml:space="preserve"> and </w:t>
      </w:r>
      <w:r w:rsidRPr="00777430">
        <w:t>environmental water delivery (e.g. magnitude, timing and source). The specific objectives are to compare and contrast the spawning and recruitment of golden perch</w:t>
      </w:r>
      <w:r w:rsidR="00E712B3">
        <w:t xml:space="preserve"> </w:t>
      </w:r>
      <w:r w:rsidRPr="00777430">
        <w:t xml:space="preserve">in the LMR Selected Area to various environmental water delivery scenarios, including identifying the timing of spawning and source (i.e. natal origin) of successful recruits to enable accurate association of ecological response with hydrology; and to explore population connectivity between regions of the southern connected MDB.  We expect that: 1) increases in flow (in-channel or overbank) above regulated </w:t>
      </w:r>
      <w:r w:rsidRPr="00777430">
        <w:rPr>
          <w:i/>
        </w:rPr>
        <w:t>entitlement</w:t>
      </w:r>
      <w:r w:rsidRPr="00777430">
        <w:t xml:space="preserve"> flow in spring–summer will promote the spawning and recruitment (to young-of-year, YOY) of golden perch, and 2) multiple years of enhanced spring–</w:t>
      </w:r>
      <w:r w:rsidRPr="0051130A">
        <w:t>summer flow will increase the resilience of golden perch populations in the LMR Selected Area</w:t>
      </w:r>
      <w:r w:rsidR="00270A4B" w:rsidRPr="0051130A">
        <w:t>.</w:t>
      </w:r>
      <w:r w:rsidR="00E712B3" w:rsidRPr="0051130A">
        <w:t xml:space="preserve"> The same objectives and hypotheses apply to silver perch, which are also investigated in this report; however, low sample sizes limit some analyses.</w:t>
      </w:r>
    </w:p>
    <w:p w14:paraId="62A7B16C" w14:textId="77777777" w:rsidR="00002794" w:rsidRPr="00B61C7B" w:rsidRDefault="00002794" w:rsidP="009162CC">
      <w:pPr>
        <w:rPr>
          <w:b/>
          <w:color w:val="1F497D" w:themeColor="text2"/>
          <w:sz w:val="26"/>
          <w:szCs w:val="26"/>
        </w:rPr>
      </w:pPr>
      <w:r w:rsidRPr="00B61C7B">
        <w:rPr>
          <w:b/>
          <w:color w:val="1F497D" w:themeColor="text2"/>
          <w:sz w:val="26"/>
          <w:szCs w:val="26"/>
        </w:rPr>
        <w:t>Sites</w:t>
      </w:r>
    </w:p>
    <w:p w14:paraId="564E7611" w14:textId="77777777" w:rsidR="00002794" w:rsidRPr="00B61C7B" w:rsidRDefault="00002794" w:rsidP="009162CC">
      <w:pPr>
        <w:rPr>
          <w:b/>
          <w:i/>
          <w:color w:val="1F497D" w:themeColor="text2"/>
          <w:sz w:val="24"/>
          <w:szCs w:val="24"/>
        </w:rPr>
      </w:pPr>
      <w:r w:rsidRPr="00B61C7B">
        <w:rPr>
          <w:b/>
          <w:i/>
          <w:color w:val="1F497D" w:themeColor="text2"/>
          <w:sz w:val="24"/>
          <w:szCs w:val="24"/>
        </w:rPr>
        <w:t xml:space="preserve">Analysis of water </w:t>
      </w:r>
      <w:r w:rsidRPr="00B61C7B">
        <w:rPr>
          <w:b/>
          <w:i/>
          <w:color w:val="1F497D" w:themeColor="text2"/>
          <w:sz w:val="24"/>
          <w:szCs w:val="24"/>
          <w:vertAlign w:val="superscript"/>
        </w:rPr>
        <w:t>87</w:t>
      </w:r>
      <w:r w:rsidRPr="00B61C7B">
        <w:rPr>
          <w:b/>
          <w:i/>
          <w:color w:val="1F497D" w:themeColor="text2"/>
          <w:sz w:val="24"/>
          <w:szCs w:val="24"/>
        </w:rPr>
        <w:t>Sr/</w:t>
      </w:r>
      <w:r w:rsidRPr="00B61C7B">
        <w:rPr>
          <w:b/>
          <w:i/>
          <w:color w:val="1F497D" w:themeColor="text2"/>
          <w:sz w:val="24"/>
          <w:szCs w:val="24"/>
          <w:vertAlign w:val="superscript"/>
        </w:rPr>
        <w:t>86</w:t>
      </w:r>
      <w:r w:rsidRPr="00B61C7B">
        <w:rPr>
          <w:b/>
          <w:i/>
          <w:color w:val="1F497D" w:themeColor="text2"/>
          <w:sz w:val="24"/>
          <w:szCs w:val="24"/>
        </w:rPr>
        <w:t>Sr at sites across the southern MDB</w:t>
      </w:r>
    </w:p>
    <w:p w14:paraId="1B14515B" w14:textId="44ADF1A5" w:rsidR="00002794" w:rsidRDefault="006F4CBC" w:rsidP="001237D1">
      <w:r w:rsidRPr="00521B83">
        <w:t>To determine spatio-temporal variation in water strontium (Sr) isotope ratios (</w:t>
      </w:r>
      <w:r w:rsidRPr="00521B83">
        <w:rPr>
          <w:vertAlign w:val="superscript"/>
        </w:rPr>
        <w:t>87</w:t>
      </w:r>
      <w:r w:rsidRPr="00521B83">
        <w:t>Sr/</w:t>
      </w:r>
      <w:r w:rsidRPr="00521B83">
        <w:rPr>
          <w:vertAlign w:val="superscript"/>
        </w:rPr>
        <w:t>86</w:t>
      </w:r>
      <w:r w:rsidRPr="00521B83">
        <w:t>Sr) over the spring/summer of 2015</w:t>
      </w:r>
      <w:r w:rsidRPr="00521B83">
        <w:rPr>
          <w:rFonts w:cstheme="minorHAnsi"/>
        </w:rPr>
        <w:t>/</w:t>
      </w:r>
      <w:r w:rsidRPr="00521B83">
        <w:t xml:space="preserve">16, water samples were collected weekly–monthly from eleven sites across the southern MDB </w:t>
      </w:r>
      <w:r w:rsidR="006E1254">
        <w:t xml:space="preserve">(Table </w:t>
      </w:r>
      <w:r w:rsidR="0061623E">
        <w:t>H</w:t>
      </w:r>
      <w:r w:rsidR="001237D1">
        <w:t>1</w:t>
      </w:r>
      <w:r w:rsidR="009D11B1">
        <w:t>; Figure H1</w:t>
      </w:r>
      <w:r w:rsidR="001237D1">
        <w:t>)</w:t>
      </w:r>
      <w:r w:rsidR="001237D1" w:rsidRPr="007B6ED3">
        <w:t>.</w:t>
      </w:r>
    </w:p>
    <w:p w14:paraId="6826BE97" w14:textId="77777777" w:rsidR="0051130A" w:rsidRDefault="0051130A" w:rsidP="00B46038">
      <w:pPr>
        <w:pStyle w:val="Captions"/>
      </w:pPr>
    </w:p>
    <w:p w14:paraId="5E259AD8" w14:textId="77777777" w:rsidR="0051130A" w:rsidRDefault="0051130A">
      <w:pPr>
        <w:spacing w:before="0" w:after="200" w:line="276" w:lineRule="auto"/>
        <w:jc w:val="left"/>
        <w:rPr>
          <w:rFonts w:eastAsia="MS Mincho" w:cs="Arial"/>
          <w:b/>
          <w:bCs/>
          <w:color w:val="auto"/>
          <w:kern w:val="0"/>
          <w:sz w:val="20"/>
          <w:lang w:val="en-US"/>
        </w:rPr>
      </w:pPr>
      <w:r>
        <w:br w:type="page"/>
      </w:r>
    </w:p>
    <w:p w14:paraId="7581C81A" w14:textId="2445B4FC" w:rsidR="001237D1" w:rsidRDefault="00A27BD7" w:rsidP="00B46038">
      <w:pPr>
        <w:pStyle w:val="Captions"/>
        <w:rPr>
          <w:highlight w:val="yellow"/>
        </w:rPr>
      </w:pPr>
      <w:r>
        <w:lastRenderedPageBreak/>
        <w:t xml:space="preserve">Table </w:t>
      </w:r>
      <w:r w:rsidR="0061623E">
        <w:t>H</w:t>
      </w:r>
      <w:r w:rsidR="001237D1" w:rsidRPr="001237D1">
        <w:t xml:space="preserve">1. Location of water sample collection for </w:t>
      </w:r>
      <w:r w:rsidR="001237D1" w:rsidRPr="001237D1">
        <w:rPr>
          <w:vertAlign w:val="superscript"/>
        </w:rPr>
        <w:t>87</w:t>
      </w:r>
      <w:r w:rsidR="001237D1" w:rsidRPr="001237D1">
        <w:t>Sr/</w:t>
      </w:r>
      <w:r w:rsidR="001237D1" w:rsidRPr="001237D1">
        <w:rPr>
          <w:vertAlign w:val="superscript"/>
        </w:rPr>
        <w:t>86</w:t>
      </w:r>
      <w:r w:rsidR="001237D1" w:rsidRPr="001237D1">
        <w:t>Sr analysis.</w:t>
      </w:r>
    </w:p>
    <w:tbl>
      <w:tblPr>
        <w:tblStyle w:val="TableGrid"/>
        <w:tblW w:w="8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531"/>
        <w:gridCol w:w="2494"/>
        <w:gridCol w:w="2572"/>
      </w:tblGrid>
      <w:tr w:rsidR="006F4CBC" w:rsidRPr="002E63ED" w14:paraId="4EF68203" w14:textId="77777777" w:rsidTr="00A84425">
        <w:trPr>
          <w:trHeight w:val="369"/>
        </w:trPr>
        <w:tc>
          <w:tcPr>
            <w:tcW w:w="1818" w:type="dxa"/>
            <w:tcBorders>
              <w:top w:val="single" w:sz="4" w:space="0" w:color="auto"/>
              <w:bottom w:val="single" w:sz="4" w:space="0" w:color="auto"/>
            </w:tcBorders>
            <w:vAlign w:val="center"/>
          </w:tcPr>
          <w:p w14:paraId="6AC6242B" w14:textId="77777777" w:rsidR="006F4CBC" w:rsidRPr="002E63ED" w:rsidRDefault="006F4CBC" w:rsidP="0096486F">
            <w:pPr>
              <w:spacing w:after="200" w:line="240" w:lineRule="auto"/>
              <w:contextualSpacing/>
              <w:rPr>
                <w:b/>
                <w:sz w:val="19"/>
                <w:szCs w:val="19"/>
              </w:rPr>
            </w:pPr>
            <w:r w:rsidRPr="002E63ED">
              <w:rPr>
                <w:b/>
                <w:sz w:val="19"/>
                <w:szCs w:val="19"/>
              </w:rPr>
              <w:t>River</w:t>
            </w:r>
          </w:p>
        </w:tc>
        <w:tc>
          <w:tcPr>
            <w:tcW w:w="1531" w:type="dxa"/>
            <w:tcBorders>
              <w:top w:val="single" w:sz="4" w:space="0" w:color="auto"/>
              <w:bottom w:val="single" w:sz="4" w:space="0" w:color="auto"/>
            </w:tcBorders>
            <w:vAlign w:val="center"/>
          </w:tcPr>
          <w:p w14:paraId="4E66732A" w14:textId="77777777" w:rsidR="006F4CBC" w:rsidRPr="002E63ED" w:rsidRDefault="006F4CBC" w:rsidP="00A84425">
            <w:pPr>
              <w:spacing w:after="200" w:line="240" w:lineRule="auto"/>
              <w:contextualSpacing/>
              <w:jc w:val="center"/>
              <w:rPr>
                <w:b/>
                <w:sz w:val="19"/>
                <w:szCs w:val="19"/>
              </w:rPr>
            </w:pPr>
            <w:r w:rsidRPr="002E63ED">
              <w:rPr>
                <w:b/>
                <w:sz w:val="19"/>
                <w:szCs w:val="19"/>
              </w:rPr>
              <w:t>Location</w:t>
            </w:r>
          </w:p>
        </w:tc>
        <w:tc>
          <w:tcPr>
            <w:tcW w:w="2494" w:type="dxa"/>
            <w:tcBorders>
              <w:top w:val="single" w:sz="4" w:space="0" w:color="auto"/>
              <w:bottom w:val="single" w:sz="4" w:space="0" w:color="auto"/>
            </w:tcBorders>
            <w:vAlign w:val="center"/>
          </w:tcPr>
          <w:p w14:paraId="4B5D01AD" w14:textId="77777777" w:rsidR="006F4CBC" w:rsidRPr="002E63ED" w:rsidRDefault="006F4CBC" w:rsidP="00A84425">
            <w:pPr>
              <w:spacing w:after="200" w:line="240" w:lineRule="auto"/>
              <w:contextualSpacing/>
              <w:jc w:val="center"/>
              <w:rPr>
                <w:b/>
                <w:sz w:val="19"/>
                <w:szCs w:val="19"/>
              </w:rPr>
            </w:pPr>
            <w:r w:rsidRPr="002E63ED">
              <w:rPr>
                <w:b/>
                <w:sz w:val="19"/>
                <w:szCs w:val="19"/>
              </w:rPr>
              <w:t>Sampling period</w:t>
            </w:r>
          </w:p>
        </w:tc>
        <w:tc>
          <w:tcPr>
            <w:tcW w:w="2572" w:type="dxa"/>
            <w:tcBorders>
              <w:top w:val="single" w:sz="4" w:space="0" w:color="auto"/>
              <w:bottom w:val="single" w:sz="4" w:space="0" w:color="auto"/>
            </w:tcBorders>
            <w:vAlign w:val="center"/>
          </w:tcPr>
          <w:p w14:paraId="4A162782" w14:textId="77777777" w:rsidR="006F4CBC" w:rsidRPr="002E63ED" w:rsidRDefault="006F4CBC" w:rsidP="0096486F">
            <w:pPr>
              <w:spacing w:after="200" w:line="240" w:lineRule="auto"/>
              <w:contextualSpacing/>
              <w:jc w:val="center"/>
              <w:rPr>
                <w:b/>
                <w:sz w:val="19"/>
                <w:szCs w:val="19"/>
              </w:rPr>
            </w:pPr>
            <w:r w:rsidRPr="002E63ED">
              <w:rPr>
                <w:b/>
                <w:sz w:val="19"/>
                <w:szCs w:val="19"/>
              </w:rPr>
              <w:t>Total number of samples</w:t>
            </w:r>
          </w:p>
        </w:tc>
      </w:tr>
      <w:tr w:rsidR="006F4CBC" w:rsidRPr="002E63ED" w14:paraId="348DCC50" w14:textId="77777777" w:rsidTr="00A84425">
        <w:trPr>
          <w:trHeight w:val="369"/>
        </w:trPr>
        <w:tc>
          <w:tcPr>
            <w:tcW w:w="1818" w:type="dxa"/>
            <w:tcBorders>
              <w:top w:val="single" w:sz="4" w:space="0" w:color="auto"/>
            </w:tcBorders>
            <w:vAlign w:val="center"/>
          </w:tcPr>
          <w:p w14:paraId="61E69A7C" w14:textId="77777777" w:rsidR="006F4CBC" w:rsidRPr="002E63ED" w:rsidRDefault="006F4CBC" w:rsidP="0096486F">
            <w:pPr>
              <w:spacing w:after="200" w:line="240" w:lineRule="auto"/>
              <w:contextualSpacing/>
              <w:rPr>
                <w:sz w:val="19"/>
                <w:szCs w:val="19"/>
              </w:rPr>
            </w:pPr>
            <w:r w:rsidRPr="002E63ED">
              <w:rPr>
                <w:sz w:val="19"/>
                <w:szCs w:val="19"/>
              </w:rPr>
              <w:t>Murray</w:t>
            </w:r>
          </w:p>
        </w:tc>
        <w:tc>
          <w:tcPr>
            <w:tcW w:w="1531" w:type="dxa"/>
            <w:tcBorders>
              <w:top w:val="single" w:sz="4" w:space="0" w:color="auto"/>
            </w:tcBorders>
            <w:vAlign w:val="center"/>
          </w:tcPr>
          <w:p w14:paraId="66C16860" w14:textId="77777777" w:rsidR="006F4CBC" w:rsidRPr="002E63ED" w:rsidRDefault="006F4CBC" w:rsidP="00A84425">
            <w:pPr>
              <w:spacing w:after="200" w:line="240" w:lineRule="auto"/>
              <w:contextualSpacing/>
              <w:jc w:val="center"/>
              <w:rPr>
                <w:sz w:val="19"/>
                <w:szCs w:val="19"/>
              </w:rPr>
            </w:pPr>
            <w:r w:rsidRPr="002E63ED">
              <w:rPr>
                <w:sz w:val="19"/>
                <w:szCs w:val="19"/>
              </w:rPr>
              <w:t>Lock 1</w:t>
            </w:r>
          </w:p>
        </w:tc>
        <w:tc>
          <w:tcPr>
            <w:tcW w:w="2494" w:type="dxa"/>
            <w:tcBorders>
              <w:top w:val="single" w:sz="4" w:space="0" w:color="auto"/>
            </w:tcBorders>
            <w:vAlign w:val="center"/>
          </w:tcPr>
          <w:p w14:paraId="24CE2935" w14:textId="77777777" w:rsidR="006F4CBC" w:rsidRPr="002E63ED" w:rsidRDefault="006F4CBC" w:rsidP="00A84425">
            <w:pPr>
              <w:spacing w:after="200" w:line="240" w:lineRule="auto"/>
              <w:contextualSpacing/>
              <w:jc w:val="center"/>
              <w:rPr>
                <w:sz w:val="19"/>
                <w:szCs w:val="19"/>
              </w:rPr>
            </w:pPr>
            <w:r w:rsidRPr="002E63ED">
              <w:rPr>
                <w:sz w:val="19"/>
                <w:szCs w:val="19"/>
              </w:rPr>
              <w:t>15/09/15–29/02/16</w:t>
            </w:r>
          </w:p>
        </w:tc>
        <w:tc>
          <w:tcPr>
            <w:tcW w:w="2572" w:type="dxa"/>
            <w:tcBorders>
              <w:top w:val="single" w:sz="4" w:space="0" w:color="auto"/>
            </w:tcBorders>
            <w:vAlign w:val="center"/>
          </w:tcPr>
          <w:p w14:paraId="140F932C" w14:textId="77777777" w:rsidR="006F4CBC" w:rsidRPr="002E63ED" w:rsidRDefault="006F4CBC" w:rsidP="0096486F">
            <w:pPr>
              <w:spacing w:after="200" w:line="240" w:lineRule="auto"/>
              <w:contextualSpacing/>
              <w:jc w:val="center"/>
              <w:rPr>
                <w:sz w:val="19"/>
                <w:szCs w:val="19"/>
              </w:rPr>
            </w:pPr>
            <w:r w:rsidRPr="002E63ED">
              <w:rPr>
                <w:sz w:val="19"/>
                <w:szCs w:val="19"/>
              </w:rPr>
              <w:t>13</w:t>
            </w:r>
          </w:p>
        </w:tc>
      </w:tr>
      <w:tr w:rsidR="006F4CBC" w:rsidRPr="002E63ED" w14:paraId="679CFEF7" w14:textId="77777777" w:rsidTr="00A84425">
        <w:trPr>
          <w:trHeight w:val="369"/>
        </w:trPr>
        <w:tc>
          <w:tcPr>
            <w:tcW w:w="1818" w:type="dxa"/>
            <w:vAlign w:val="center"/>
          </w:tcPr>
          <w:p w14:paraId="3EE3DDEC" w14:textId="77777777" w:rsidR="006F4CBC" w:rsidRPr="002E63ED" w:rsidRDefault="006F4CBC" w:rsidP="0096486F">
            <w:pPr>
              <w:spacing w:after="200" w:line="240" w:lineRule="auto"/>
              <w:contextualSpacing/>
              <w:rPr>
                <w:sz w:val="19"/>
                <w:szCs w:val="19"/>
              </w:rPr>
            </w:pPr>
            <w:r w:rsidRPr="002E63ED">
              <w:rPr>
                <w:sz w:val="19"/>
                <w:szCs w:val="19"/>
              </w:rPr>
              <w:t>Murray</w:t>
            </w:r>
          </w:p>
        </w:tc>
        <w:tc>
          <w:tcPr>
            <w:tcW w:w="1531" w:type="dxa"/>
            <w:vAlign w:val="center"/>
          </w:tcPr>
          <w:p w14:paraId="46C57DCD" w14:textId="77777777" w:rsidR="006F4CBC" w:rsidRPr="002E63ED" w:rsidRDefault="006F4CBC" w:rsidP="00A84425">
            <w:pPr>
              <w:spacing w:after="200" w:line="240" w:lineRule="auto"/>
              <w:contextualSpacing/>
              <w:jc w:val="center"/>
              <w:rPr>
                <w:sz w:val="19"/>
                <w:szCs w:val="19"/>
              </w:rPr>
            </w:pPr>
            <w:r w:rsidRPr="002E63ED">
              <w:rPr>
                <w:sz w:val="19"/>
                <w:szCs w:val="19"/>
              </w:rPr>
              <w:t>Lock 6</w:t>
            </w:r>
          </w:p>
        </w:tc>
        <w:tc>
          <w:tcPr>
            <w:tcW w:w="2494" w:type="dxa"/>
            <w:vAlign w:val="center"/>
          </w:tcPr>
          <w:p w14:paraId="2177FDDD" w14:textId="77777777" w:rsidR="006F4CBC" w:rsidRPr="002E63ED" w:rsidRDefault="006F4CBC" w:rsidP="00A84425">
            <w:pPr>
              <w:spacing w:after="200" w:line="240" w:lineRule="auto"/>
              <w:contextualSpacing/>
              <w:jc w:val="center"/>
              <w:rPr>
                <w:sz w:val="19"/>
                <w:szCs w:val="19"/>
              </w:rPr>
            </w:pPr>
            <w:r w:rsidRPr="002E63ED">
              <w:rPr>
                <w:sz w:val="19"/>
                <w:szCs w:val="19"/>
              </w:rPr>
              <w:t>15/09/15–16/02/16</w:t>
            </w:r>
          </w:p>
        </w:tc>
        <w:tc>
          <w:tcPr>
            <w:tcW w:w="2572" w:type="dxa"/>
            <w:vAlign w:val="center"/>
          </w:tcPr>
          <w:p w14:paraId="1352B957" w14:textId="77777777" w:rsidR="006F4CBC" w:rsidRPr="002E63ED" w:rsidRDefault="006F4CBC" w:rsidP="0096486F">
            <w:pPr>
              <w:spacing w:after="200" w:line="240" w:lineRule="auto"/>
              <w:contextualSpacing/>
              <w:jc w:val="center"/>
              <w:rPr>
                <w:sz w:val="19"/>
                <w:szCs w:val="19"/>
              </w:rPr>
            </w:pPr>
            <w:r w:rsidRPr="002E63ED">
              <w:rPr>
                <w:sz w:val="19"/>
                <w:szCs w:val="19"/>
              </w:rPr>
              <w:t>12</w:t>
            </w:r>
          </w:p>
        </w:tc>
      </w:tr>
      <w:tr w:rsidR="006F4CBC" w:rsidRPr="002E63ED" w14:paraId="0F6A725B" w14:textId="77777777" w:rsidTr="00A84425">
        <w:trPr>
          <w:trHeight w:val="369"/>
        </w:trPr>
        <w:tc>
          <w:tcPr>
            <w:tcW w:w="1818" w:type="dxa"/>
            <w:vAlign w:val="center"/>
          </w:tcPr>
          <w:p w14:paraId="0CEE4B0F" w14:textId="77777777" w:rsidR="006F4CBC" w:rsidRPr="002E63ED" w:rsidRDefault="006F4CBC" w:rsidP="0096486F">
            <w:pPr>
              <w:spacing w:after="200" w:line="240" w:lineRule="auto"/>
              <w:contextualSpacing/>
              <w:rPr>
                <w:sz w:val="19"/>
                <w:szCs w:val="19"/>
              </w:rPr>
            </w:pPr>
            <w:r w:rsidRPr="002E63ED">
              <w:rPr>
                <w:sz w:val="19"/>
                <w:szCs w:val="19"/>
              </w:rPr>
              <w:t>Murray</w:t>
            </w:r>
          </w:p>
        </w:tc>
        <w:tc>
          <w:tcPr>
            <w:tcW w:w="1531" w:type="dxa"/>
            <w:vAlign w:val="center"/>
          </w:tcPr>
          <w:p w14:paraId="2CC2458F" w14:textId="77777777" w:rsidR="006F4CBC" w:rsidRPr="002E63ED" w:rsidRDefault="006F4CBC" w:rsidP="00A84425">
            <w:pPr>
              <w:spacing w:after="200" w:line="240" w:lineRule="auto"/>
              <w:contextualSpacing/>
              <w:jc w:val="center"/>
              <w:rPr>
                <w:sz w:val="19"/>
                <w:szCs w:val="19"/>
              </w:rPr>
            </w:pPr>
            <w:r w:rsidRPr="002E63ED">
              <w:rPr>
                <w:sz w:val="19"/>
                <w:szCs w:val="19"/>
              </w:rPr>
              <w:t>Lock 9</w:t>
            </w:r>
          </w:p>
        </w:tc>
        <w:tc>
          <w:tcPr>
            <w:tcW w:w="2494" w:type="dxa"/>
            <w:vAlign w:val="center"/>
          </w:tcPr>
          <w:p w14:paraId="33F340E3" w14:textId="77777777" w:rsidR="006F4CBC" w:rsidRPr="002E63ED" w:rsidRDefault="006F4CBC" w:rsidP="00A84425">
            <w:pPr>
              <w:spacing w:after="200" w:line="240" w:lineRule="auto"/>
              <w:contextualSpacing/>
              <w:jc w:val="center"/>
              <w:rPr>
                <w:sz w:val="19"/>
                <w:szCs w:val="19"/>
              </w:rPr>
            </w:pPr>
            <w:r w:rsidRPr="002E63ED">
              <w:rPr>
                <w:sz w:val="19"/>
                <w:szCs w:val="19"/>
              </w:rPr>
              <w:t>15/09/15–16/02/16</w:t>
            </w:r>
          </w:p>
        </w:tc>
        <w:tc>
          <w:tcPr>
            <w:tcW w:w="2572" w:type="dxa"/>
            <w:vAlign w:val="center"/>
          </w:tcPr>
          <w:p w14:paraId="160D1850" w14:textId="77777777" w:rsidR="006F4CBC" w:rsidRPr="002E63ED" w:rsidRDefault="006F4CBC" w:rsidP="0096486F">
            <w:pPr>
              <w:spacing w:after="200" w:line="240" w:lineRule="auto"/>
              <w:contextualSpacing/>
              <w:jc w:val="center"/>
              <w:rPr>
                <w:sz w:val="19"/>
                <w:szCs w:val="19"/>
              </w:rPr>
            </w:pPr>
            <w:r w:rsidRPr="002E63ED">
              <w:rPr>
                <w:sz w:val="19"/>
                <w:szCs w:val="19"/>
              </w:rPr>
              <w:t>12</w:t>
            </w:r>
          </w:p>
        </w:tc>
      </w:tr>
      <w:tr w:rsidR="006F4CBC" w:rsidRPr="002E63ED" w14:paraId="6F36C9CD" w14:textId="77777777" w:rsidTr="00A84425">
        <w:trPr>
          <w:trHeight w:val="369"/>
        </w:trPr>
        <w:tc>
          <w:tcPr>
            <w:tcW w:w="1818" w:type="dxa"/>
            <w:vAlign w:val="center"/>
          </w:tcPr>
          <w:p w14:paraId="01B1D6DE" w14:textId="77777777" w:rsidR="006F4CBC" w:rsidRPr="002E63ED" w:rsidRDefault="006F4CBC" w:rsidP="0096486F">
            <w:pPr>
              <w:spacing w:after="200" w:line="240" w:lineRule="auto"/>
              <w:contextualSpacing/>
              <w:rPr>
                <w:sz w:val="19"/>
                <w:szCs w:val="19"/>
              </w:rPr>
            </w:pPr>
            <w:r w:rsidRPr="002E63ED">
              <w:rPr>
                <w:sz w:val="19"/>
                <w:szCs w:val="19"/>
              </w:rPr>
              <w:t>Murray</w:t>
            </w:r>
          </w:p>
        </w:tc>
        <w:tc>
          <w:tcPr>
            <w:tcW w:w="1531" w:type="dxa"/>
            <w:vAlign w:val="center"/>
          </w:tcPr>
          <w:p w14:paraId="1E8CB2E8" w14:textId="77777777" w:rsidR="006F4CBC" w:rsidRPr="002E63ED" w:rsidRDefault="006F4CBC" w:rsidP="00A84425">
            <w:pPr>
              <w:spacing w:after="200" w:line="240" w:lineRule="auto"/>
              <w:contextualSpacing/>
              <w:jc w:val="center"/>
              <w:rPr>
                <w:sz w:val="19"/>
                <w:szCs w:val="19"/>
              </w:rPr>
            </w:pPr>
            <w:r w:rsidRPr="002E63ED">
              <w:rPr>
                <w:sz w:val="19"/>
                <w:szCs w:val="19"/>
              </w:rPr>
              <w:t>Lock 11</w:t>
            </w:r>
          </w:p>
        </w:tc>
        <w:tc>
          <w:tcPr>
            <w:tcW w:w="2494" w:type="dxa"/>
            <w:vAlign w:val="center"/>
          </w:tcPr>
          <w:p w14:paraId="16B820DD" w14:textId="77777777" w:rsidR="006F4CBC" w:rsidRPr="002E63ED" w:rsidRDefault="006F4CBC" w:rsidP="00A84425">
            <w:pPr>
              <w:spacing w:after="200" w:line="240" w:lineRule="auto"/>
              <w:contextualSpacing/>
              <w:jc w:val="center"/>
              <w:rPr>
                <w:sz w:val="19"/>
                <w:szCs w:val="19"/>
              </w:rPr>
            </w:pPr>
            <w:r w:rsidRPr="002E63ED">
              <w:rPr>
                <w:sz w:val="19"/>
                <w:szCs w:val="19"/>
              </w:rPr>
              <w:t>15/09/15–15/02/16</w:t>
            </w:r>
          </w:p>
        </w:tc>
        <w:tc>
          <w:tcPr>
            <w:tcW w:w="2572" w:type="dxa"/>
            <w:vAlign w:val="center"/>
          </w:tcPr>
          <w:p w14:paraId="30D179B4" w14:textId="77777777" w:rsidR="006F4CBC" w:rsidRPr="002E63ED" w:rsidRDefault="006F4CBC" w:rsidP="0096486F">
            <w:pPr>
              <w:spacing w:after="200" w:line="240" w:lineRule="auto"/>
              <w:contextualSpacing/>
              <w:jc w:val="center"/>
              <w:rPr>
                <w:sz w:val="19"/>
                <w:szCs w:val="19"/>
              </w:rPr>
            </w:pPr>
            <w:r w:rsidRPr="002E63ED">
              <w:rPr>
                <w:sz w:val="19"/>
                <w:szCs w:val="19"/>
              </w:rPr>
              <w:t>12</w:t>
            </w:r>
          </w:p>
        </w:tc>
      </w:tr>
      <w:tr w:rsidR="006F4CBC" w:rsidRPr="002E63ED" w14:paraId="14E874DE" w14:textId="77777777" w:rsidTr="00A84425">
        <w:trPr>
          <w:trHeight w:val="369"/>
        </w:trPr>
        <w:tc>
          <w:tcPr>
            <w:tcW w:w="1818" w:type="dxa"/>
            <w:vAlign w:val="center"/>
          </w:tcPr>
          <w:p w14:paraId="23E8AE64" w14:textId="77777777" w:rsidR="006F4CBC" w:rsidRPr="002E63ED" w:rsidRDefault="006F4CBC" w:rsidP="0096486F">
            <w:pPr>
              <w:spacing w:after="200" w:line="240" w:lineRule="auto"/>
              <w:contextualSpacing/>
              <w:rPr>
                <w:sz w:val="19"/>
                <w:szCs w:val="19"/>
              </w:rPr>
            </w:pPr>
            <w:r w:rsidRPr="002E63ED">
              <w:rPr>
                <w:sz w:val="19"/>
                <w:szCs w:val="19"/>
              </w:rPr>
              <w:t>Murray</w:t>
            </w:r>
          </w:p>
        </w:tc>
        <w:tc>
          <w:tcPr>
            <w:tcW w:w="1531" w:type="dxa"/>
            <w:vAlign w:val="center"/>
          </w:tcPr>
          <w:p w14:paraId="307701FA" w14:textId="77777777" w:rsidR="006F4CBC" w:rsidRPr="002E63ED" w:rsidRDefault="006F4CBC" w:rsidP="00A84425">
            <w:pPr>
              <w:spacing w:after="200" w:line="240" w:lineRule="auto"/>
              <w:contextualSpacing/>
              <w:jc w:val="center"/>
              <w:rPr>
                <w:sz w:val="19"/>
                <w:szCs w:val="19"/>
              </w:rPr>
            </w:pPr>
            <w:r w:rsidRPr="002E63ED">
              <w:rPr>
                <w:sz w:val="19"/>
                <w:szCs w:val="19"/>
              </w:rPr>
              <w:t>Torrumbarry</w:t>
            </w:r>
          </w:p>
        </w:tc>
        <w:tc>
          <w:tcPr>
            <w:tcW w:w="2494" w:type="dxa"/>
            <w:vAlign w:val="center"/>
          </w:tcPr>
          <w:p w14:paraId="6093B0E1" w14:textId="77777777" w:rsidR="006F4CBC" w:rsidRPr="002E63ED" w:rsidRDefault="006F4CBC" w:rsidP="00A84425">
            <w:pPr>
              <w:spacing w:after="200" w:line="240" w:lineRule="auto"/>
              <w:contextualSpacing/>
              <w:jc w:val="center"/>
              <w:rPr>
                <w:sz w:val="19"/>
                <w:szCs w:val="19"/>
              </w:rPr>
            </w:pPr>
            <w:r w:rsidRPr="002E63ED">
              <w:rPr>
                <w:sz w:val="19"/>
                <w:szCs w:val="19"/>
              </w:rPr>
              <w:t>14/09/15–15/02/16</w:t>
            </w:r>
          </w:p>
        </w:tc>
        <w:tc>
          <w:tcPr>
            <w:tcW w:w="2572" w:type="dxa"/>
            <w:vAlign w:val="center"/>
          </w:tcPr>
          <w:p w14:paraId="1CF59882" w14:textId="77777777" w:rsidR="006F4CBC" w:rsidRPr="002E63ED" w:rsidRDefault="006F4CBC" w:rsidP="0096486F">
            <w:pPr>
              <w:spacing w:after="200" w:line="240" w:lineRule="auto"/>
              <w:contextualSpacing/>
              <w:jc w:val="center"/>
              <w:rPr>
                <w:sz w:val="19"/>
                <w:szCs w:val="19"/>
              </w:rPr>
            </w:pPr>
            <w:r w:rsidRPr="002E63ED">
              <w:rPr>
                <w:sz w:val="19"/>
                <w:szCs w:val="19"/>
              </w:rPr>
              <w:t>10</w:t>
            </w:r>
          </w:p>
        </w:tc>
      </w:tr>
      <w:tr w:rsidR="006F4CBC" w:rsidRPr="002E63ED" w14:paraId="59C69EF6" w14:textId="77777777" w:rsidTr="00A84425">
        <w:trPr>
          <w:trHeight w:val="369"/>
        </w:trPr>
        <w:tc>
          <w:tcPr>
            <w:tcW w:w="1818" w:type="dxa"/>
            <w:vAlign w:val="center"/>
          </w:tcPr>
          <w:p w14:paraId="34D8209F" w14:textId="77777777" w:rsidR="006F4CBC" w:rsidRPr="002E63ED" w:rsidRDefault="006F4CBC" w:rsidP="0096486F">
            <w:pPr>
              <w:spacing w:after="200" w:line="240" w:lineRule="auto"/>
              <w:contextualSpacing/>
              <w:rPr>
                <w:sz w:val="19"/>
                <w:szCs w:val="19"/>
              </w:rPr>
            </w:pPr>
            <w:r w:rsidRPr="002E63ED">
              <w:rPr>
                <w:sz w:val="19"/>
                <w:szCs w:val="19"/>
              </w:rPr>
              <w:t>Murray</w:t>
            </w:r>
          </w:p>
        </w:tc>
        <w:tc>
          <w:tcPr>
            <w:tcW w:w="1531" w:type="dxa"/>
            <w:vAlign w:val="center"/>
          </w:tcPr>
          <w:p w14:paraId="62684189" w14:textId="77777777" w:rsidR="006F4CBC" w:rsidRPr="002E63ED" w:rsidRDefault="006F4CBC" w:rsidP="00A84425">
            <w:pPr>
              <w:spacing w:after="200" w:line="240" w:lineRule="auto"/>
              <w:contextualSpacing/>
              <w:jc w:val="center"/>
              <w:rPr>
                <w:sz w:val="19"/>
                <w:szCs w:val="19"/>
              </w:rPr>
            </w:pPr>
            <w:r w:rsidRPr="002E63ED">
              <w:rPr>
                <w:sz w:val="19"/>
                <w:szCs w:val="19"/>
              </w:rPr>
              <w:t>Barmah</w:t>
            </w:r>
          </w:p>
        </w:tc>
        <w:tc>
          <w:tcPr>
            <w:tcW w:w="2494" w:type="dxa"/>
            <w:vAlign w:val="center"/>
          </w:tcPr>
          <w:p w14:paraId="54A71370" w14:textId="77777777" w:rsidR="006F4CBC" w:rsidRPr="002E63ED" w:rsidRDefault="006F4CBC" w:rsidP="00A84425">
            <w:pPr>
              <w:spacing w:after="200" w:line="240" w:lineRule="auto"/>
              <w:contextualSpacing/>
              <w:jc w:val="center"/>
              <w:rPr>
                <w:sz w:val="19"/>
                <w:szCs w:val="19"/>
              </w:rPr>
            </w:pPr>
            <w:r w:rsidRPr="002E63ED">
              <w:rPr>
                <w:sz w:val="19"/>
                <w:szCs w:val="19"/>
              </w:rPr>
              <w:t>14/10/15–25/11/15</w:t>
            </w:r>
          </w:p>
        </w:tc>
        <w:tc>
          <w:tcPr>
            <w:tcW w:w="2572" w:type="dxa"/>
            <w:vAlign w:val="center"/>
          </w:tcPr>
          <w:p w14:paraId="28A19465" w14:textId="77777777" w:rsidR="006F4CBC" w:rsidRPr="002E63ED" w:rsidRDefault="006F4CBC" w:rsidP="0096486F">
            <w:pPr>
              <w:spacing w:after="200" w:line="240" w:lineRule="auto"/>
              <w:contextualSpacing/>
              <w:jc w:val="center"/>
              <w:rPr>
                <w:sz w:val="19"/>
                <w:szCs w:val="19"/>
              </w:rPr>
            </w:pPr>
            <w:r w:rsidRPr="002E63ED">
              <w:rPr>
                <w:sz w:val="19"/>
                <w:szCs w:val="19"/>
              </w:rPr>
              <w:t>6</w:t>
            </w:r>
          </w:p>
        </w:tc>
      </w:tr>
      <w:tr w:rsidR="006F4CBC" w:rsidRPr="002E63ED" w14:paraId="213AFCD4" w14:textId="77777777" w:rsidTr="00A84425">
        <w:trPr>
          <w:trHeight w:val="369"/>
        </w:trPr>
        <w:tc>
          <w:tcPr>
            <w:tcW w:w="1818" w:type="dxa"/>
            <w:vAlign w:val="center"/>
          </w:tcPr>
          <w:p w14:paraId="33CD2D04" w14:textId="77777777" w:rsidR="006F4CBC" w:rsidRPr="002E63ED" w:rsidRDefault="006F4CBC" w:rsidP="0096486F">
            <w:pPr>
              <w:spacing w:after="200" w:line="240" w:lineRule="auto"/>
              <w:contextualSpacing/>
              <w:rPr>
                <w:sz w:val="19"/>
                <w:szCs w:val="19"/>
              </w:rPr>
            </w:pPr>
            <w:r w:rsidRPr="002E63ED">
              <w:rPr>
                <w:sz w:val="19"/>
                <w:szCs w:val="19"/>
              </w:rPr>
              <w:t>Darling</w:t>
            </w:r>
          </w:p>
        </w:tc>
        <w:tc>
          <w:tcPr>
            <w:tcW w:w="1531" w:type="dxa"/>
            <w:vAlign w:val="center"/>
          </w:tcPr>
          <w:p w14:paraId="6144D0A3" w14:textId="77777777" w:rsidR="006F4CBC" w:rsidRPr="002E63ED" w:rsidRDefault="006F4CBC" w:rsidP="00A84425">
            <w:pPr>
              <w:spacing w:after="200" w:line="240" w:lineRule="auto"/>
              <w:contextualSpacing/>
              <w:jc w:val="center"/>
              <w:rPr>
                <w:sz w:val="19"/>
                <w:szCs w:val="19"/>
              </w:rPr>
            </w:pPr>
            <w:r w:rsidRPr="002E63ED">
              <w:rPr>
                <w:sz w:val="19"/>
                <w:szCs w:val="19"/>
              </w:rPr>
              <w:t>Weir 32</w:t>
            </w:r>
          </w:p>
        </w:tc>
        <w:tc>
          <w:tcPr>
            <w:tcW w:w="2494" w:type="dxa"/>
            <w:vAlign w:val="center"/>
          </w:tcPr>
          <w:p w14:paraId="2804E36B" w14:textId="77777777" w:rsidR="006F4CBC" w:rsidRPr="002E63ED" w:rsidRDefault="006F4CBC" w:rsidP="00A84425">
            <w:pPr>
              <w:spacing w:after="200" w:line="240" w:lineRule="auto"/>
              <w:contextualSpacing/>
              <w:jc w:val="center"/>
              <w:rPr>
                <w:sz w:val="19"/>
                <w:szCs w:val="19"/>
              </w:rPr>
            </w:pPr>
            <w:r w:rsidRPr="002E63ED">
              <w:rPr>
                <w:sz w:val="19"/>
                <w:szCs w:val="19"/>
              </w:rPr>
              <w:t>14/09/15–22/02/16</w:t>
            </w:r>
          </w:p>
        </w:tc>
        <w:tc>
          <w:tcPr>
            <w:tcW w:w="2572" w:type="dxa"/>
            <w:vAlign w:val="center"/>
          </w:tcPr>
          <w:p w14:paraId="5E95506B" w14:textId="77777777" w:rsidR="006F4CBC" w:rsidRPr="002E63ED" w:rsidRDefault="006F4CBC" w:rsidP="0096486F">
            <w:pPr>
              <w:spacing w:after="200" w:line="240" w:lineRule="auto"/>
              <w:contextualSpacing/>
              <w:jc w:val="center"/>
              <w:rPr>
                <w:sz w:val="19"/>
                <w:szCs w:val="19"/>
              </w:rPr>
            </w:pPr>
            <w:r w:rsidRPr="002E63ED">
              <w:rPr>
                <w:sz w:val="19"/>
                <w:szCs w:val="19"/>
              </w:rPr>
              <w:t>11</w:t>
            </w:r>
          </w:p>
        </w:tc>
      </w:tr>
      <w:tr w:rsidR="006F4CBC" w:rsidRPr="002E63ED" w14:paraId="46CD97DE" w14:textId="77777777" w:rsidTr="00A84425">
        <w:trPr>
          <w:trHeight w:val="369"/>
        </w:trPr>
        <w:tc>
          <w:tcPr>
            <w:tcW w:w="1818" w:type="dxa"/>
            <w:vAlign w:val="center"/>
          </w:tcPr>
          <w:p w14:paraId="6F021054" w14:textId="77777777" w:rsidR="006F4CBC" w:rsidRPr="002E63ED" w:rsidRDefault="006F4CBC" w:rsidP="0096486F">
            <w:pPr>
              <w:spacing w:after="200" w:line="240" w:lineRule="auto"/>
              <w:contextualSpacing/>
              <w:rPr>
                <w:sz w:val="19"/>
                <w:szCs w:val="19"/>
              </w:rPr>
            </w:pPr>
            <w:r w:rsidRPr="002E63ED">
              <w:rPr>
                <w:sz w:val="19"/>
                <w:szCs w:val="19"/>
              </w:rPr>
              <w:t>Edward–Wakool</w:t>
            </w:r>
          </w:p>
        </w:tc>
        <w:tc>
          <w:tcPr>
            <w:tcW w:w="1531" w:type="dxa"/>
            <w:vAlign w:val="center"/>
          </w:tcPr>
          <w:p w14:paraId="3D395303" w14:textId="77777777" w:rsidR="006F4CBC" w:rsidRPr="002E63ED" w:rsidRDefault="006F4CBC" w:rsidP="00A84425">
            <w:pPr>
              <w:spacing w:after="200" w:line="240" w:lineRule="auto"/>
              <w:contextualSpacing/>
              <w:jc w:val="center"/>
              <w:rPr>
                <w:sz w:val="19"/>
                <w:szCs w:val="19"/>
              </w:rPr>
            </w:pPr>
            <w:r w:rsidRPr="002E63ED">
              <w:rPr>
                <w:sz w:val="19"/>
                <w:szCs w:val="19"/>
              </w:rPr>
              <w:t>Deniliquin</w:t>
            </w:r>
          </w:p>
        </w:tc>
        <w:tc>
          <w:tcPr>
            <w:tcW w:w="2494" w:type="dxa"/>
            <w:vAlign w:val="center"/>
          </w:tcPr>
          <w:p w14:paraId="5B327487" w14:textId="77777777" w:rsidR="006F4CBC" w:rsidRPr="002E63ED" w:rsidRDefault="006F4CBC" w:rsidP="00A84425">
            <w:pPr>
              <w:spacing w:after="200" w:line="240" w:lineRule="auto"/>
              <w:contextualSpacing/>
              <w:jc w:val="center"/>
              <w:rPr>
                <w:sz w:val="19"/>
                <w:szCs w:val="19"/>
              </w:rPr>
            </w:pPr>
            <w:r w:rsidRPr="002E63ED">
              <w:rPr>
                <w:sz w:val="19"/>
                <w:szCs w:val="19"/>
              </w:rPr>
              <w:t>17/09/15–18/02/16</w:t>
            </w:r>
          </w:p>
        </w:tc>
        <w:tc>
          <w:tcPr>
            <w:tcW w:w="2572" w:type="dxa"/>
            <w:vAlign w:val="center"/>
          </w:tcPr>
          <w:p w14:paraId="39AD4219" w14:textId="77777777" w:rsidR="006F4CBC" w:rsidRPr="002E63ED" w:rsidRDefault="006F4CBC" w:rsidP="0096486F">
            <w:pPr>
              <w:spacing w:after="200" w:line="240" w:lineRule="auto"/>
              <w:contextualSpacing/>
              <w:jc w:val="center"/>
              <w:rPr>
                <w:sz w:val="19"/>
                <w:szCs w:val="19"/>
              </w:rPr>
            </w:pPr>
            <w:r w:rsidRPr="002E63ED">
              <w:rPr>
                <w:sz w:val="19"/>
                <w:szCs w:val="19"/>
              </w:rPr>
              <w:t>12</w:t>
            </w:r>
          </w:p>
        </w:tc>
      </w:tr>
      <w:tr w:rsidR="006F4CBC" w:rsidRPr="002E63ED" w14:paraId="54578950" w14:textId="77777777" w:rsidTr="00A84425">
        <w:trPr>
          <w:trHeight w:val="369"/>
        </w:trPr>
        <w:tc>
          <w:tcPr>
            <w:tcW w:w="1818" w:type="dxa"/>
            <w:vAlign w:val="center"/>
          </w:tcPr>
          <w:p w14:paraId="5847F0DF" w14:textId="77777777" w:rsidR="006F4CBC" w:rsidRPr="002E63ED" w:rsidRDefault="006F4CBC" w:rsidP="0096486F">
            <w:pPr>
              <w:spacing w:after="200" w:line="240" w:lineRule="auto"/>
              <w:contextualSpacing/>
              <w:rPr>
                <w:sz w:val="19"/>
                <w:szCs w:val="19"/>
              </w:rPr>
            </w:pPr>
            <w:r w:rsidRPr="002E63ED">
              <w:rPr>
                <w:sz w:val="19"/>
                <w:szCs w:val="19"/>
              </w:rPr>
              <w:t>Murrumbidgee</w:t>
            </w:r>
          </w:p>
        </w:tc>
        <w:tc>
          <w:tcPr>
            <w:tcW w:w="1531" w:type="dxa"/>
            <w:vAlign w:val="center"/>
          </w:tcPr>
          <w:p w14:paraId="5AF070F4" w14:textId="77777777" w:rsidR="006F4CBC" w:rsidRPr="002E63ED" w:rsidRDefault="006F4CBC" w:rsidP="00A84425">
            <w:pPr>
              <w:spacing w:after="200" w:line="240" w:lineRule="auto"/>
              <w:contextualSpacing/>
              <w:jc w:val="center"/>
              <w:rPr>
                <w:sz w:val="19"/>
                <w:szCs w:val="19"/>
              </w:rPr>
            </w:pPr>
            <w:r w:rsidRPr="002E63ED">
              <w:rPr>
                <w:sz w:val="19"/>
                <w:szCs w:val="19"/>
              </w:rPr>
              <w:t>Narrandera</w:t>
            </w:r>
          </w:p>
        </w:tc>
        <w:tc>
          <w:tcPr>
            <w:tcW w:w="2494" w:type="dxa"/>
            <w:vAlign w:val="center"/>
          </w:tcPr>
          <w:p w14:paraId="552A2797" w14:textId="77777777" w:rsidR="006F4CBC" w:rsidRPr="002E63ED" w:rsidRDefault="006F4CBC" w:rsidP="00A84425">
            <w:pPr>
              <w:spacing w:after="200" w:line="240" w:lineRule="auto"/>
              <w:contextualSpacing/>
              <w:jc w:val="center"/>
              <w:rPr>
                <w:sz w:val="19"/>
                <w:szCs w:val="19"/>
              </w:rPr>
            </w:pPr>
            <w:r w:rsidRPr="002E63ED">
              <w:rPr>
                <w:sz w:val="19"/>
                <w:szCs w:val="19"/>
              </w:rPr>
              <w:t>16/09/15–19/02/16</w:t>
            </w:r>
          </w:p>
        </w:tc>
        <w:tc>
          <w:tcPr>
            <w:tcW w:w="2572" w:type="dxa"/>
            <w:vAlign w:val="center"/>
          </w:tcPr>
          <w:p w14:paraId="4D3DBBB9" w14:textId="77777777" w:rsidR="006F4CBC" w:rsidRPr="002E63ED" w:rsidRDefault="006F4CBC" w:rsidP="0096486F">
            <w:pPr>
              <w:spacing w:after="200" w:line="240" w:lineRule="auto"/>
              <w:contextualSpacing/>
              <w:jc w:val="center"/>
              <w:rPr>
                <w:sz w:val="19"/>
                <w:szCs w:val="19"/>
              </w:rPr>
            </w:pPr>
            <w:r w:rsidRPr="002E63ED">
              <w:rPr>
                <w:sz w:val="19"/>
                <w:szCs w:val="19"/>
              </w:rPr>
              <w:t>11</w:t>
            </w:r>
          </w:p>
        </w:tc>
      </w:tr>
      <w:tr w:rsidR="006F4CBC" w:rsidRPr="002E63ED" w14:paraId="14C7840B" w14:textId="77777777" w:rsidTr="00A84425">
        <w:trPr>
          <w:trHeight w:val="369"/>
        </w:trPr>
        <w:tc>
          <w:tcPr>
            <w:tcW w:w="1818" w:type="dxa"/>
            <w:vAlign w:val="center"/>
          </w:tcPr>
          <w:p w14:paraId="3D3BAB7D" w14:textId="77777777" w:rsidR="006F4CBC" w:rsidRPr="002E63ED" w:rsidRDefault="006F4CBC" w:rsidP="0096486F">
            <w:pPr>
              <w:spacing w:after="200" w:line="240" w:lineRule="auto"/>
              <w:contextualSpacing/>
              <w:rPr>
                <w:sz w:val="19"/>
                <w:szCs w:val="19"/>
              </w:rPr>
            </w:pPr>
            <w:r w:rsidRPr="002E63ED">
              <w:rPr>
                <w:sz w:val="19"/>
                <w:szCs w:val="19"/>
              </w:rPr>
              <w:t>Goulburn</w:t>
            </w:r>
          </w:p>
        </w:tc>
        <w:tc>
          <w:tcPr>
            <w:tcW w:w="1531" w:type="dxa"/>
            <w:vAlign w:val="center"/>
          </w:tcPr>
          <w:p w14:paraId="352EA3B1" w14:textId="77777777" w:rsidR="006F4CBC" w:rsidRPr="002E63ED" w:rsidRDefault="006F4CBC" w:rsidP="00A84425">
            <w:pPr>
              <w:spacing w:after="200" w:line="240" w:lineRule="auto"/>
              <w:contextualSpacing/>
              <w:jc w:val="center"/>
              <w:rPr>
                <w:sz w:val="19"/>
                <w:szCs w:val="19"/>
              </w:rPr>
            </w:pPr>
            <w:r w:rsidRPr="002E63ED">
              <w:rPr>
                <w:sz w:val="19"/>
                <w:szCs w:val="19"/>
              </w:rPr>
              <w:t>Yambuna</w:t>
            </w:r>
          </w:p>
        </w:tc>
        <w:tc>
          <w:tcPr>
            <w:tcW w:w="2494" w:type="dxa"/>
            <w:vAlign w:val="center"/>
          </w:tcPr>
          <w:p w14:paraId="594A8980" w14:textId="77777777" w:rsidR="006F4CBC" w:rsidRPr="002E63ED" w:rsidRDefault="006F4CBC" w:rsidP="00A84425">
            <w:pPr>
              <w:spacing w:after="200" w:line="240" w:lineRule="auto"/>
              <w:contextualSpacing/>
              <w:jc w:val="center"/>
              <w:rPr>
                <w:sz w:val="19"/>
                <w:szCs w:val="19"/>
              </w:rPr>
            </w:pPr>
            <w:r w:rsidRPr="002E63ED">
              <w:rPr>
                <w:sz w:val="19"/>
                <w:szCs w:val="19"/>
              </w:rPr>
              <w:t>05/10/15–08/12/15</w:t>
            </w:r>
          </w:p>
        </w:tc>
        <w:tc>
          <w:tcPr>
            <w:tcW w:w="2572" w:type="dxa"/>
            <w:vAlign w:val="center"/>
          </w:tcPr>
          <w:p w14:paraId="1B89E94A" w14:textId="77777777" w:rsidR="006F4CBC" w:rsidRPr="002E63ED" w:rsidRDefault="006F4CBC" w:rsidP="0096486F">
            <w:pPr>
              <w:spacing w:after="200" w:line="240" w:lineRule="auto"/>
              <w:contextualSpacing/>
              <w:jc w:val="center"/>
              <w:rPr>
                <w:sz w:val="19"/>
                <w:szCs w:val="19"/>
              </w:rPr>
            </w:pPr>
            <w:r w:rsidRPr="002E63ED">
              <w:rPr>
                <w:sz w:val="19"/>
                <w:szCs w:val="19"/>
              </w:rPr>
              <w:t>6</w:t>
            </w:r>
          </w:p>
        </w:tc>
      </w:tr>
      <w:tr w:rsidR="006F4CBC" w:rsidRPr="002E63ED" w14:paraId="2A8DBF5B" w14:textId="77777777" w:rsidTr="00A84425">
        <w:trPr>
          <w:trHeight w:val="369"/>
        </w:trPr>
        <w:tc>
          <w:tcPr>
            <w:tcW w:w="1818" w:type="dxa"/>
            <w:tcBorders>
              <w:bottom w:val="single" w:sz="4" w:space="0" w:color="auto"/>
            </w:tcBorders>
            <w:vAlign w:val="center"/>
          </w:tcPr>
          <w:p w14:paraId="45214A66" w14:textId="77777777" w:rsidR="006F4CBC" w:rsidRPr="002E63ED" w:rsidRDefault="006F4CBC" w:rsidP="0096486F">
            <w:pPr>
              <w:spacing w:after="200" w:line="240" w:lineRule="auto"/>
              <w:contextualSpacing/>
              <w:rPr>
                <w:sz w:val="19"/>
                <w:szCs w:val="19"/>
              </w:rPr>
            </w:pPr>
            <w:r w:rsidRPr="002E63ED">
              <w:rPr>
                <w:sz w:val="19"/>
                <w:szCs w:val="19"/>
              </w:rPr>
              <w:t>Goulburn</w:t>
            </w:r>
          </w:p>
        </w:tc>
        <w:tc>
          <w:tcPr>
            <w:tcW w:w="1531" w:type="dxa"/>
            <w:tcBorders>
              <w:bottom w:val="single" w:sz="4" w:space="0" w:color="auto"/>
            </w:tcBorders>
            <w:vAlign w:val="center"/>
          </w:tcPr>
          <w:p w14:paraId="293011EF" w14:textId="77777777" w:rsidR="006F4CBC" w:rsidRPr="002E63ED" w:rsidRDefault="006F4CBC" w:rsidP="00A84425">
            <w:pPr>
              <w:spacing w:after="200" w:line="240" w:lineRule="auto"/>
              <w:contextualSpacing/>
              <w:jc w:val="center"/>
              <w:rPr>
                <w:sz w:val="19"/>
                <w:szCs w:val="19"/>
              </w:rPr>
            </w:pPr>
            <w:r w:rsidRPr="002E63ED">
              <w:rPr>
                <w:sz w:val="19"/>
                <w:szCs w:val="19"/>
              </w:rPr>
              <w:t>Pyke Road</w:t>
            </w:r>
          </w:p>
        </w:tc>
        <w:tc>
          <w:tcPr>
            <w:tcW w:w="2494" w:type="dxa"/>
            <w:tcBorders>
              <w:bottom w:val="single" w:sz="4" w:space="0" w:color="auto"/>
            </w:tcBorders>
            <w:vAlign w:val="center"/>
          </w:tcPr>
          <w:p w14:paraId="342CC05D" w14:textId="77777777" w:rsidR="006F4CBC" w:rsidRPr="002E63ED" w:rsidRDefault="006F4CBC" w:rsidP="00A84425">
            <w:pPr>
              <w:spacing w:after="200" w:line="240" w:lineRule="auto"/>
              <w:contextualSpacing/>
              <w:jc w:val="center"/>
              <w:rPr>
                <w:sz w:val="19"/>
                <w:szCs w:val="19"/>
              </w:rPr>
            </w:pPr>
            <w:r w:rsidRPr="002E63ED">
              <w:rPr>
                <w:sz w:val="19"/>
                <w:szCs w:val="19"/>
              </w:rPr>
              <w:t>05/10/15–07/12/15</w:t>
            </w:r>
          </w:p>
        </w:tc>
        <w:tc>
          <w:tcPr>
            <w:tcW w:w="2572" w:type="dxa"/>
            <w:tcBorders>
              <w:bottom w:val="single" w:sz="4" w:space="0" w:color="auto"/>
            </w:tcBorders>
            <w:vAlign w:val="center"/>
          </w:tcPr>
          <w:p w14:paraId="33DC6EA7" w14:textId="77777777" w:rsidR="006F4CBC" w:rsidRPr="002E63ED" w:rsidRDefault="006F4CBC" w:rsidP="0096486F">
            <w:pPr>
              <w:spacing w:after="200" w:line="240" w:lineRule="auto"/>
              <w:contextualSpacing/>
              <w:jc w:val="center"/>
              <w:rPr>
                <w:sz w:val="19"/>
                <w:szCs w:val="19"/>
              </w:rPr>
            </w:pPr>
            <w:r w:rsidRPr="002E63ED">
              <w:rPr>
                <w:sz w:val="19"/>
                <w:szCs w:val="19"/>
              </w:rPr>
              <w:t>7</w:t>
            </w:r>
          </w:p>
        </w:tc>
      </w:tr>
    </w:tbl>
    <w:p w14:paraId="712F04F1" w14:textId="77777777" w:rsidR="0096486F" w:rsidRDefault="0096486F" w:rsidP="00B85CC6"/>
    <w:p w14:paraId="28924980" w14:textId="0BEFBF6F" w:rsidR="009D11B1" w:rsidRDefault="009D11B1" w:rsidP="00B85CC6">
      <w:r>
        <w:rPr>
          <w:noProof/>
          <w:lang w:eastAsia="en-AU"/>
        </w:rPr>
        <w:drawing>
          <wp:inline distT="0" distB="0" distL="0" distR="0" wp14:anchorId="078FAFAA" wp14:editId="3F71FA4B">
            <wp:extent cx="5533390" cy="40260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 system scale map2.tif"/>
                    <pic:cNvPicPr/>
                  </pic:nvPicPr>
                  <pic:blipFill rotWithShape="1">
                    <a:blip r:embed="rId118" cstate="email">
                      <a:extLst>
                        <a:ext uri="{28A0092B-C50C-407E-A947-70E740481C1C}">
                          <a14:useLocalDpi xmlns:a14="http://schemas.microsoft.com/office/drawing/2010/main"/>
                        </a:ext>
                      </a:extLst>
                    </a:blip>
                    <a:srcRect/>
                    <a:stretch/>
                  </pic:blipFill>
                  <pic:spPr bwMode="auto">
                    <a:xfrm>
                      <a:off x="0" y="0"/>
                      <a:ext cx="5552567" cy="4040043"/>
                    </a:xfrm>
                    <a:prstGeom prst="rect">
                      <a:avLst/>
                    </a:prstGeom>
                    <a:ln>
                      <a:noFill/>
                    </a:ln>
                    <a:extLst>
                      <a:ext uri="{53640926-AAD7-44D8-BBD7-CCE9431645EC}">
                        <a14:shadowObscured xmlns:a14="http://schemas.microsoft.com/office/drawing/2010/main"/>
                      </a:ext>
                    </a:extLst>
                  </pic:spPr>
                </pic:pic>
              </a:graphicData>
            </a:graphic>
          </wp:inline>
        </w:drawing>
      </w:r>
    </w:p>
    <w:p w14:paraId="1F3E1D44" w14:textId="0C447E7D" w:rsidR="009D11B1" w:rsidRDefault="009D11B1" w:rsidP="00B46038">
      <w:pPr>
        <w:pStyle w:val="Captions"/>
      </w:pPr>
      <w:r>
        <w:t xml:space="preserve">Figure H1. </w:t>
      </w:r>
      <w:r w:rsidRPr="009D11B1">
        <w:t>Map showing the location of the Murray–Darling Basin and the major rivers that comprise the southern Murray-Darling Basin, the numbered Locks and Weirs (up to Lock 26, Torrumbarry), the Darling, Lachlan, Murrumbidgee, Edward–Wakool, Campaspe and Goulburn rivers and Lake Victoria, an off-stream storage used to regulate flows in the lower Murray River.</w:t>
      </w:r>
    </w:p>
    <w:p w14:paraId="105C3522" w14:textId="30DEF372" w:rsidR="00002794" w:rsidRPr="00B61C7B" w:rsidRDefault="00002794">
      <w:pPr>
        <w:spacing w:before="0" w:after="200" w:line="276" w:lineRule="auto"/>
        <w:rPr>
          <w:b/>
          <w:i/>
          <w:color w:val="1F497D" w:themeColor="text2"/>
          <w:sz w:val="24"/>
          <w:szCs w:val="24"/>
        </w:rPr>
      </w:pPr>
      <w:r w:rsidRPr="00B61C7B">
        <w:rPr>
          <w:b/>
          <w:i/>
          <w:color w:val="1F497D" w:themeColor="text2"/>
          <w:sz w:val="24"/>
          <w:szCs w:val="24"/>
        </w:rPr>
        <w:lastRenderedPageBreak/>
        <w:t>Sampling eggs and larvae</w:t>
      </w:r>
    </w:p>
    <w:p w14:paraId="3C6F2601" w14:textId="5AF370AE" w:rsidR="00882DE7" w:rsidRPr="00371F83" w:rsidRDefault="00882DE7" w:rsidP="00882DE7">
      <w:r w:rsidRPr="00BE1E6D">
        <w:t xml:space="preserve">Larval fish </w:t>
      </w:r>
      <w:r w:rsidRPr="00371F83">
        <w:t xml:space="preserve">sampling was conducted at three sites within the floodplain and gorge geomorphic zones of the </w:t>
      </w:r>
      <w:r w:rsidR="004D0505" w:rsidRPr="00371F83">
        <w:t>LMR</w:t>
      </w:r>
      <w:r w:rsidRPr="00371F83">
        <w:t xml:space="preserve"> Selected Area</w:t>
      </w:r>
      <w:r w:rsidR="00684F29" w:rsidRPr="00371F83">
        <w:t xml:space="preserve"> </w:t>
      </w:r>
      <w:r w:rsidR="006F4CBC" w:rsidRPr="00371F83">
        <w:t>(</w:t>
      </w:r>
      <w:r w:rsidR="006F4CBC" w:rsidRPr="00371F83">
        <w:fldChar w:fldCharType="begin"/>
      </w:r>
      <w:r w:rsidR="006F4CBC" w:rsidRPr="00371F83">
        <w:instrText xml:space="preserve"> REF _Ref382232091 \h  \* MERGEFORMAT </w:instrText>
      </w:r>
      <w:r w:rsidR="006F4CBC" w:rsidRPr="00371F83">
        <w:fldChar w:fldCharType="separate"/>
      </w:r>
      <w:r w:rsidR="004260C4" w:rsidRPr="00C757C7">
        <w:t xml:space="preserve">Figure </w:t>
      </w:r>
      <w:r w:rsidR="004260C4">
        <w:rPr>
          <w:noProof/>
        </w:rPr>
        <w:t>7</w:t>
      </w:r>
      <w:r w:rsidR="006F4CBC" w:rsidRPr="00371F83">
        <w:fldChar w:fldCharType="end"/>
      </w:r>
      <w:r w:rsidR="006F4CBC" w:rsidRPr="00371F83">
        <w:t xml:space="preserve">; Table </w:t>
      </w:r>
      <w:r w:rsidR="0057783C" w:rsidRPr="00371F83">
        <w:t>H</w:t>
      </w:r>
      <w:r w:rsidR="007E5224" w:rsidRPr="00371F83">
        <w:t>2</w:t>
      </w:r>
      <w:r w:rsidR="006F4CBC" w:rsidRPr="00371F83">
        <w:t>).</w:t>
      </w:r>
    </w:p>
    <w:p w14:paraId="0E6B168F" w14:textId="196E3038" w:rsidR="000B6DF1" w:rsidRPr="00C36455" w:rsidRDefault="000B6DF1" w:rsidP="00B46038">
      <w:pPr>
        <w:pStyle w:val="Captions"/>
      </w:pPr>
      <w:r w:rsidRPr="00371F83">
        <w:t xml:space="preserve">Table </w:t>
      </w:r>
      <w:r w:rsidR="0057783C" w:rsidRPr="00371F83">
        <w:t>H</w:t>
      </w:r>
      <w:r w:rsidR="007E5224" w:rsidRPr="00371F83">
        <w:t>2</w:t>
      </w:r>
      <w:r w:rsidRPr="00371F83">
        <w:t>. Details</w:t>
      </w:r>
      <w:r w:rsidRPr="00C36455">
        <w:t xml:space="preserve"> of </w:t>
      </w:r>
      <w:r w:rsidR="0051130A">
        <w:t>larval fish</w:t>
      </w:r>
      <w:r w:rsidR="0051130A" w:rsidRPr="00C36455">
        <w:t xml:space="preserve"> </w:t>
      </w:r>
      <w:r w:rsidRPr="00C36455">
        <w:t>sampling sites downstream (DS) of Lock 1 and 6 in the LMR Selected Area.</w:t>
      </w:r>
    </w:p>
    <w:tbl>
      <w:tblPr>
        <w:tblW w:w="0" w:type="auto"/>
        <w:tblLook w:val="04A0" w:firstRow="1" w:lastRow="0" w:firstColumn="1" w:lastColumn="0" w:noHBand="0" w:noVBand="1"/>
      </w:tblPr>
      <w:tblGrid>
        <w:gridCol w:w="1644"/>
        <w:gridCol w:w="2154"/>
        <w:gridCol w:w="1814"/>
        <w:gridCol w:w="2268"/>
      </w:tblGrid>
      <w:tr w:rsidR="00A84425" w:rsidRPr="002E63ED" w14:paraId="32D33F1F" w14:textId="77777777" w:rsidTr="00A84425">
        <w:trPr>
          <w:trHeight w:val="369"/>
        </w:trPr>
        <w:tc>
          <w:tcPr>
            <w:tcW w:w="1644" w:type="dxa"/>
            <w:tcBorders>
              <w:top w:val="single" w:sz="4" w:space="0" w:color="auto"/>
              <w:left w:val="nil"/>
              <w:bottom w:val="single" w:sz="4" w:space="0" w:color="auto"/>
              <w:right w:val="nil"/>
            </w:tcBorders>
            <w:vAlign w:val="center"/>
          </w:tcPr>
          <w:p w14:paraId="3D4D1A08" w14:textId="77777777" w:rsidR="000B6DF1" w:rsidRPr="002E63ED" w:rsidRDefault="000B6DF1" w:rsidP="00A84425">
            <w:pPr>
              <w:spacing w:line="240" w:lineRule="auto"/>
              <w:contextualSpacing/>
              <w:jc w:val="left"/>
              <w:rPr>
                <w:rFonts w:cs="Tahoma"/>
                <w:b/>
                <w:bCs/>
                <w:sz w:val="19"/>
                <w:szCs w:val="19"/>
              </w:rPr>
            </w:pPr>
            <w:r w:rsidRPr="002E63ED">
              <w:rPr>
                <w:rFonts w:cs="Tahoma"/>
                <w:b/>
                <w:bCs/>
                <w:sz w:val="19"/>
                <w:szCs w:val="19"/>
              </w:rPr>
              <w:t>Zone</w:t>
            </w:r>
          </w:p>
        </w:tc>
        <w:tc>
          <w:tcPr>
            <w:tcW w:w="2154" w:type="dxa"/>
            <w:tcBorders>
              <w:top w:val="single" w:sz="4" w:space="0" w:color="auto"/>
              <w:left w:val="nil"/>
              <w:bottom w:val="single" w:sz="4" w:space="0" w:color="auto"/>
              <w:right w:val="nil"/>
            </w:tcBorders>
            <w:shd w:val="clear" w:color="auto" w:fill="auto"/>
            <w:noWrap/>
            <w:vAlign w:val="center"/>
            <w:hideMark/>
          </w:tcPr>
          <w:p w14:paraId="51EC7395" w14:textId="77777777" w:rsidR="000B6DF1" w:rsidRPr="002E63ED" w:rsidRDefault="000B6DF1" w:rsidP="00A84425">
            <w:pPr>
              <w:spacing w:line="240" w:lineRule="auto"/>
              <w:contextualSpacing/>
              <w:jc w:val="center"/>
              <w:rPr>
                <w:rFonts w:cs="Tahoma"/>
                <w:b/>
                <w:bCs/>
                <w:sz w:val="19"/>
                <w:szCs w:val="19"/>
              </w:rPr>
            </w:pPr>
            <w:r w:rsidRPr="002E63ED">
              <w:rPr>
                <w:rFonts w:cs="Tahoma"/>
                <w:b/>
                <w:bCs/>
                <w:sz w:val="19"/>
                <w:szCs w:val="19"/>
              </w:rPr>
              <w:t>Site</w:t>
            </w:r>
          </w:p>
        </w:tc>
        <w:tc>
          <w:tcPr>
            <w:tcW w:w="1814" w:type="dxa"/>
            <w:tcBorders>
              <w:top w:val="single" w:sz="4" w:space="0" w:color="auto"/>
              <w:left w:val="nil"/>
              <w:bottom w:val="single" w:sz="4" w:space="0" w:color="auto"/>
              <w:right w:val="nil"/>
            </w:tcBorders>
            <w:shd w:val="clear" w:color="auto" w:fill="auto"/>
            <w:noWrap/>
            <w:vAlign w:val="center"/>
            <w:hideMark/>
          </w:tcPr>
          <w:p w14:paraId="771AEA53" w14:textId="77777777" w:rsidR="000B6DF1" w:rsidRPr="002E63ED" w:rsidRDefault="000B6DF1" w:rsidP="0096486F">
            <w:pPr>
              <w:spacing w:line="240" w:lineRule="auto"/>
              <w:contextualSpacing/>
              <w:jc w:val="center"/>
              <w:rPr>
                <w:rFonts w:cs="Tahoma"/>
                <w:b/>
                <w:bCs/>
                <w:sz w:val="19"/>
                <w:szCs w:val="19"/>
              </w:rPr>
            </w:pPr>
            <w:r w:rsidRPr="002E63ED">
              <w:rPr>
                <w:rFonts w:cs="Tahoma"/>
                <w:b/>
                <w:bCs/>
                <w:sz w:val="19"/>
                <w:szCs w:val="19"/>
              </w:rPr>
              <w:t>Latitude</w:t>
            </w:r>
          </w:p>
        </w:tc>
        <w:tc>
          <w:tcPr>
            <w:tcW w:w="2268" w:type="dxa"/>
            <w:tcBorders>
              <w:top w:val="single" w:sz="4" w:space="0" w:color="auto"/>
              <w:left w:val="nil"/>
              <w:bottom w:val="single" w:sz="4" w:space="0" w:color="auto"/>
              <w:right w:val="nil"/>
            </w:tcBorders>
            <w:shd w:val="clear" w:color="auto" w:fill="auto"/>
            <w:noWrap/>
            <w:vAlign w:val="center"/>
            <w:hideMark/>
          </w:tcPr>
          <w:p w14:paraId="5E9C7221" w14:textId="77777777" w:rsidR="000B6DF1" w:rsidRPr="002E63ED" w:rsidRDefault="000B6DF1" w:rsidP="0096486F">
            <w:pPr>
              <w:spacing w:line="240" w:lineRule="auto"/>
              <w:contextualSpacing/>
              <w:jc w:val="center"/>
              <w:rPr>
                <w:rFonts w:cs="Tahoma"/>
                <w:b/>
                <w:bCs/>
                <w:sz w:val="19"/>
                <w:szCs w:val="19"/>
              </w:rPr>
            </w:pPr>
            <w:r w:rsidRPr="002E63ED">
              <w:rPr>
                <w:rFonts w:cs="Tahoma"/>
                <w:b/>
                <w:bCs/>
                <w:sz w:val="19"/>
                <w:szCs w:val="19"/>
              </w:rPr>
              <w:t>Longitude</w:t>
            </w:r>
          </w:p>
        </w:tc>
      </w:tr>
      <w:tr w:rsidR="00A84425" w:rsidRPr="002E63ED" w14:paraId="70534C8F" w14:textId="77777777" w:rsidTr="00A84425">
        <w:trPr>
          <w:trHeight w:val="369"/>
        </w:trPr>
        <w:tc>
          <w:tcPr>
            <w:tcW w:w="1644" w:type="dxa"/>
            <w:tcBorders>
              <w:top w:val="single" w:sz="4" w:space="0" w:color="auto"/>
              <w:left w:val="nil"/>
              <w:bottom w:val="nil"/>
              <w:right w:val="nil"/>
            </w:tcBorders>
            <w:vAlign w:val="center"/>
          </w:tcPr>
          <w:p w14:paraId="6D2947A6" w14:textId="77777777" w:rsidR="000B6DF1" w:rsidRPr="002E63ED" w:rsidRDefault="000B6DF1" w:rsidP="0096486F">
            <w:pPr>
              <w:spacing w:line="240" w:lineRule="auto"/>
              <w:contextualSpacing/>
              <w:rPr>
                <w:rFonts w:cs="Tahoma"/>
                <w:bCs/>
                <w:sz w:val="19"/>
                <w:szCs w:val="19"/>
              </w:rPr>
            </w:pPr>
            <w:r w:rsidRPr="002E63ED">
              <w:rPr>
                <w:rFonts w:cs="Tahoma"/>
                <w:bCs/>
                <w:sz w:val="19"/>
                <w:szCs w:val="19"/>
              </w:rPr>
              <w:t>Floodplain</w:t>
            </w:r>
          </w:p>
        </w:tc>
        <w:tc>
          <w:tcPr>
            <w:tcW w:w="2154" w:type="dxa"/>
            <w:tcBorders>
              <w:top w:val="single" w:sz="4" w:space="0" w:color="auto"/>
              <w:left w:val="nil"/>
              <w:bottom w:val="nil"/>
              <w:right w:val="nil"/>
            </w:tcBorders>
            <w:shd w:val="clear" w:color="auto" w:fill="auto"/>
            <w:noWrap/>
            <w:vAlign w:val="center"/>
          </w:tcPr>
          <w:p w14:paraId="63AE9EC4" w14:textId="79DA0D6B" w:rsidR="000B6DF1" w:rsidRPr="002E63ED" w:rsidRDefault="000B6DF1" w:rsidP="00A84425">
            <w:pPr>
              <w:spacing w:line="240" w:lineRule="auto"/>
              <w:contextualSpacing/>
              <w:jc w:val="center"/>
              <w:rPr>
                <w:rFonts w:cs="Tahoma"/>
                <w:sz w:val="19"/>
                <w:szCs w:val="19"/>
              </w:rPr>
            </w:pPr>
            <w:r w:rsidRPr="002E63ED">
              <w:rPr>
                <w:rFonts w:cs="Tahoma"/>
                <w:sz w:val="19"/>
                <w:szCs w:val="19"/>
              </w:rPr>
              <w:t>5 km DS Lock 6</w:t>
            </w:r>
          </w:p>
        </w:tc>
        <w:tc>
          <w:tcPr>
            <w:tcW w:w="1814" w:type="dxa"/>
            <w:tcBorders>
              <w:top w:val="single" w:sz="4" w:space="0" w:color="auto"/>
              <w:left w:val="nil"/>
              <w:bottom w:val="nil"/>
              <w:right w:val="nil"/>
            </w:tcBorders>
            <w:shd w:val="clear" w:color="auto" w:fill="auto"/>
            <w:noWrap/>
          </w:tcPr>
          <w:p w14:paraId="3D0DC1F6" w14:textId="77777777" w:rsidR="000B6DF1" w:rsidRPr="002E63ED" w:rsidRDefault="000B6DF1" w:rsidP="0096486F">
            <w:pPr>
              <w:spacing w:line="240" w:lineRule="auto"/>
              <w:contextualSpacing/>
              <w:jc w:val="center"/>
              <w:rPr>
                <w:rFonts w:cs="Tahoma"/>
                <w:sz w:val="19"/>
                <w:szCs w:val="19"/>
              </w:rPr>
            </w:pPr>
            <w:r w:rsidRPr="002E63ED">
              <w:rPr>
                <w:rFonts w:cs="Tahoma"/>
                <w:sz w:val="19"/>
                <w:szCs w:val="19"/>
              </w:rPr>
              <w:t>S34.01902</w:t>
            </w:r>
          </w:p>
        </w:tc>
        <w:tc>
          <w:tcPr>
            <w:tcW w:w="2268" w:type="dxa"/>
            <w:tcBorders>
              <w:top w:val="single" w:sz="4" w:space="0" w:color="auto"/>
              <w:left w:val="nil"/>
              <w:bottom w:val="nil"/>
              <w:right w:val="nil"/>
            </w:tcBorders>
            <w:shd w:val="clear" w:color="auto" w:fill="auto"/>
            <w:noWrap/>
          </w:tcPr>
          <w:p w14:paraId="53D6BE67" w14:textId="77777777" w:rsidR="000B6DF1" w:rsidRPr="002E63ED" w:rsidRDefault="000B6DF1" w:rsidP="0096486F">
            <w:pPr>
              <w:spacing w:line="240" w:lineRule="auto"/>
              <w:contextualSpacing/>
              <w:jc w:val="center"/>
              <w:rPr>
                <w:rFonts w:cs="Tahoma"/>
                <w:sz w:val="19"/>
                <w:szCs w:val="19"/>
              </w:rPr>
            </w:pPr>
            <w:r w:rsidRPr="002E63ED">
              <w:rPr>
                <w:rFonts w:cs="Tahoma"/>
                <w:sz w:val="19"/>
                <w:szCs w:val="19"/>
              </w:rPr>
              <w:t>E140.87572</w:t>
            </w:r>
          </w:p>
        </w:tc>
      </w:tr>
      <w:tr w:rsidR="00A84425" w:rsidRPr="002E63ED" w14:paraId="01C9C4A0" w14:textId="77777777" w:rsidTr="00A84425">
        <w:trPr>
          <w:trHeight w:val="369"/>
        </w:trPr>
        <w:tc>
          <w:tcPr>
            <w:tcW w:w="0" w:type="auto"/>
            <w:tcBorders>
              <w:left w:val="nil"/>
              <w:bottom w:val="nil"/>
              <w:right w:val="nil"/>
            </w:tcBorders>
            <w:vAlign w:val="center"/>
          </w:tcPr>
          <w:p w14:paraId="46ACED4E" w14:textId="77777777" w:rsidR="000B6DF1" w:rsidRPr="002E63ED" w:rsidRDefault="000B6DF1" w:rsidP="0096486F">
            <w:pPr>
              <w:spacing w:line="240" w:lineRule="auto"/>
              <w:contextualSpacing/>
              <w:rPr>
                <w:rFonts w:cs="Tahoma"/>
                <w:bCs/>
                <w:sz w:val="19"/>
                <w:szCs w:val="19"/>
              </w:rPr>
            </w:pPr>
            <w:r w:rsidRPr="002E63ED">
              <w:rPr>
                <w:rFonts w:cs="Tahoma"/>
                <w:bCs/>
                <w:sz w:val="19"/>
                <w:szCs w:val="19"/>
              </w:rPr>
              <w:t>Floodplain</w:t>
            </w:r>
          </w:p>
        </w:tc>
        <w:tc>
          <w:tcPr>
            <w:tcW w:w="2154" w:type="dxa"/>
            <w:tcBorders>
              <w:left w:val="nil"/>
              <w:bottom w:val="nil"/>
              <w:right w:val="nil"/>
            </w:tcBorders>
            <w:shd w:val="clear" w:color="auto" w:fill="auto"/>
            <w:noWrap/>
            <w:vAlign w:val="center"/>
          </w:tcPr>
          <w:p w14:paraId="73189DC7" w14:textId="77777777" w:rsidR="000B6DF1" w:rsidRPr="002E63ED" w:rsidRDefault="000B6DF1" w:rsidP="00A84425">
            <w:pPr>
              <w:spacing w:line="240" w:lineRule="auto"/>
              <w:contextualSpacing/>
              <w:jc w:val="center"/>
              <w:rPr>
                <w:rFonts w:cs="Tahoma"/>
                <w:sz w:val="19"/>
                <w:szCs w:val="19"/>
              </w:rPr>
            </w:pPr>
            <w:r w:rsidRPr="002E63ED">
              <w:rPr>
                <w:rFonts w:cs="Tahoma"/>
                <w:sz w:val="19"/>
                <w:szCs w:val="19"/>
              </w:rPr>
              <w:t>7 km DS Lock 6</w:t>
            </w:r>
          </w:p>
        </w:tc>
        <w:tc>
          <w:tcPr>
            <w:tcW w:w="1814" w:type="dxa"/>
            <w:tcBorders>
              <w:left w:val="nil"/>
              <w:bottom w:val="nil"/>
              <w:right w:val="nil"/>
            </w:tcBorders>
            <w:shd w:val="clear" w:color="auto" w:fill="auto"/>
            <w:noWrap/>
          </w:tcPr>
          <w:p w14:paraId="1269D056" w14:textId="77777777" w:rsidR="000B6DF1" w:rsidRPr="002E63ED" w:rsidRDefault="000B6DF1" w:rsidP="0096486F">
            <w:pPr>
              <w:spacing w:line="240" w:lineRule="auto"/>
              <w:contextualSpacing/>
              <w:jc w:val="center"/>
              <w:rPr>
                <w:rFonts w:cs="Tahoma"/>
                <w:sz w:val="19"/>
                <w:szCs w:val="19"/>
              </w:rPr>
            </w:pPr>
            <w:r w:rsidRPr="002E63ED">
              <w:rPr>
                <w:rFonts w:cs="Tahoma"/>
                <w:sz w:val="19"/>
                <w:szCs w:val="19"/>
              </w:rPr>
              <w:t>S34.01764</w:t>
            </w:r>
          </w:p>
        </w:tc>
        <w:tc>
          <w:tcPr>
            <w:tcW w:w="2268" w:type="dxa"/>
            <w:tcBorders>
              <w:left w:val="nil"/>
              <w:bottom w:val="nil"/>
              <w:right w:val="nil"/>
            </w:tcBorders>
            <w:shd w:val="clear" w:color="auto" w:fill="auto"/>
            <w:noWrap/>
          </w:tcPr>
          <w:p w14:paraId="006A1C3B" w14:textId="77777777" w:rsidR="000B6DF1" w:rsidRPr="002E63ED" w:rsidRDefault="000B6DF1" w:rsidP="0096486F">
            <w:pPr>
              <w:spacing w:line="240" w:lineRule="auto"/>
              <w:contextualSpacing/>
              <w:jc w:val="center"/>
              <w:rPr>
                <w:rFonts w:cs="Tahoma"/>
                <w:sz w:val="19"/>
                <w:szCs w:val="19"/>
              </w:rPr>
            </w:pPr>
            <w:r w:rsidRPr="002E63ED">
              <w:rPr>
                <w:rFonts w:cs="Tahoma"/>
                <w:sz w:val="19"/>
                <w:szCs w:val="19"/>
              </w:rPr>
              <w:t>E140.85461</w:t>
            </w:r>
          </w:p>
        </w:tc>
      </w:tr>
      <w:tr w:rsidR="00A84425" w:rsidRPr="002E63ED" w14:paraId="5FB66C47" w14:textId="77777777" w:rsidTr="00A84425">
        <w:trPr>
          <w:trHeight w:val="369"/>
        </w:trPr>
        <w:tc>
          <w:tcPr>
            <w:tcW w:w="0" w:type="auto"/>
            <w:tcBorders>
              <w:left w:val="nil"/>
              <w:bottom w:val="nil"/>
              <w:right w:val="nil"/>
            </w:tcBorders>
            <w:vAlign w:val="center"/>
          </w:tcPr>
          <w:p w14:paraId="3488E2A7" w14:textId="77777777" w:rsidR="000B6DF1" w:rsidRPr="002E63ED" w:rsidRDefault="000B6DF1" w:rsidP="0096486F">
            <w:pPr>
              <w:spacing w:line="240" w:lineRule="auto"/>
              <w:contextualSpacing/>
              <w:rPr>
                <w:rFonts w:cs="Tahoma"/>
                <w:bCs/>
                <w:sz w:val="19"/>
                <w:szCs w:val="19"/>
              </w:rPr>
            </w:pPr>
            <w:r w:rsidRPr="002E63ED">
              <w:rPr>
                <w:rFonts w:cs="Tahoma"/>
                <w:bCs/>
                <w:sz w:val="19"/>
                <w:szCs w:val="19"/>
              </w:rPr>
              <w:t>Floodplain</w:t>
            </w:r>
          </w:p>
        </w:tc>
        <w:tc>
          <w:tcPr>
            <w:tcW w:w="2154" w:type="dxa"/>
            <w:tcBorders>
              <w:left w:val="nil"/>
              <w:bottom w:val="nil"/>
              <w:right w:val="nil"/>
            </w:tcBorders>
            <w:shd w:val="clear" w:color="auto" w:fill="auto"/>
            <w:noWrap/>
            <w:vAlign w:val="center"/>
          </w:tcPr>
          <w:p w14:paraId="026BEC4F" w14:textId="77777777" w:rsidR="000B6DF1" w:rsidRPr="002E63ED" w:rsidRDefault="000B6DF1" w:rsidP="00A84425">
            <w:pPr>
              <w:spacing w:line="240" w:lineRule="auto"/>
              <w:contextualSpacing/>
              <w:jc w:val="center"/>
              <w:rPr>
                <w:rFonts w:cs="Tahoma"/>
                <w:sz w:val="19"/>
                <w:szCs w:val="19"/>
              </w:rPr>
            </w:pPr>
            <w:r w:rsidRPr="002E63ED">
              <w:rPr>
                <w:rFonts w:cs="Tahoma"/>
                <w:sz w:val="19"/>
                <w:szCs w:val="19"/>
              </w:rPr>
              <w:t>9 km DS Lock 6</w:t>
            </w:r>
          </w:p>
        </w:tc>
        <w:tc>
          <w:tcPr>
            <w:tcW w:w="1814" w:type="dxa"/>
            <w:tcBorders>
              <w:left w:val="nil"/>
              <w:bottom w:val="nil"/>
              <w:right w:val="nil"/>
            </w:tcBorders>
            <w:shd w:val="clear" w:color="auto" w:fill="auto"/>
            <w:noWrap/>
          </w:tcPr>
          <w:p w14:paraId="01555068" w14:textId="77777777" w:rsidR="000B6DF1" w:rsidRPr="002E63ED" w:rsidRDefault="000B6DF1" w:rsidP="0096486F">
            <w:pPr>
              <w:spacing w:line="240" w:lineRule="auto"/>
              <w:contextualSpacing/>
              <w:jc w:val="center"/>
              <w:rPr>
                <w:rFonts w:cs="Tahoma"/>
                <w:sz w:val="19"/>
                <w:szCs w:val="19"/>
              </w:rPr>
            </w:pPr>
            <w:r w:rsidRPr="002E63ED">
              <w:rPr>
                <w:rFonts w:cs="Tahoma"/>
                <w:sz w:val="19"/>
                <w:szCs w:val="19"/>
              </w:rPr>
              <w:t>S34.0319</w:t>
            </w:r>
          </w:p>
        </w:tc>
        <w:tc>
          <w:tcPr>
            <w:tcW w:w="2268" w:type="dxa"/>
            <w:tcBorders>
              <w:left w:val="nil"/>
              <w:bottom w:val="nil"/>
              <w:right w:val="nil"/>
            </w:tcBorders>
            <w:shd w:val="clear" w:color="auto" w:fill="auto"/>
            <w:noWrap/>
          </w:tcPr>
          <w:p w14:paraId="40FA5C5E" w14:textId="77777777" w:rsidR="000B6DF1" w:rsidRPr="002E63ED" w:rsidRDefault="000B6DF1" w:rsidP="0096486F">
            <w:pPr>
              <w:spacing w:line="240" w:lineRule="auto"/>
              <w:contextualSpacing/>
              <w:jc w:val="center"/>
              <w:rPr>
                <w:rFonts w:cs="Tahoma"/>
                <w:sz w:val="19"/>
                <w:szCs w:val="19"/>
              </w:rPr>
            </w:pPr>
            <w:r w:rsidRPr="002E63ED">
              <w:rPr>
                <w:rFonts w:cs="Tahoma"/>
                <w:sz w:val="19"/>
                <w:szCs w:val="19"/>
              </w:rPr>
              <w:t>E140.84062</w:t>
            </w:r>
          </w:p>
        </w:tc>
      </w:tr>
      <w:tr w:rsidR="00A84425" w:rsidRPr="002E63ED" w14:paraId="39A57C91" w14:textId="77777777" w:rsidTr="00A84425">
        <w:trPr>
          <w:trHeight w:val="369"/>
        </w:trPr>
        <w:tc>
          <w:tcPr>
            <w:tcW w:w="0" w:type="auto"/>
            <w:tcBorders>
              <w:left w:val="nil"/>
              <w:bottom w:val="nil"/>
              <w:right w:val="nil"/>
            </w:tcBorders>
            <w:vAlign w:val="center"/>
          </w:tcPr>
          <w:p w14:paraId="7464C4F1" w14:textId="77777777" w:rsidR="000B6DF1" w:rsidRPr="002E63ED" w:rsidRDefault="000B6DF1" w:rsidP="0096486F">
            <w:pPr>
              <w:spacing w:line="240" w:lineRule="auto"/>
              <w:contextualSpacing/>
              <w:rPr>
                <w:rFonts w:cs="Tahoma"/>
                <w:bCs/>
                <w:sz w:val="19"/>
                <w:szCs w:val="19"/>
                <w:highlight w:val="yellow"/>
              </w:rPr>
            </w:pPr>
            <w:r w:rsidRPr="002E63ED">
              <w:rPr>
                <w:rFonts w:cs="Tahoma"/>
                <w:bCs/>
                <w:sz w:val="19"/>
                <w:szCs w:val="19"/>
              </w:rPr>
              <w:t>Gorge</w:t>
            </w:r>
          </w:p>
        </w:tc>
        <w:tc>
          <w:tcPr>
            <w:tcW w:w="2154" w:type="dxa"/>
            <w:tcBorders>
              <w:left w:val="nil"/>
              <w:bottom w:val="nil"/>
              <w:right w:val="nil"/>
            </w:tcBorders>
            <w:shd w:val="clear" w:color="auto" w:fill="auto"/>
            <w:noWrap/>
          </w:tcPr>
          <w:p w14:paraId="58E459FE" w14:textId="77777777" w:rsidR="000B6DF1" w:rsidRPr="002E63ED" w:rsidRDefault="000B6DF1" w:rsidP="00A84425">
            <w:pPr>
              <w:spacing w:line="240" w:lineRule="auto"/>
              <w:contextualSpacing/>
              <w:jc w:val="center"/>
              <w:rPr>
                <w:rFonts w:cs="Tahoma"/>
                <w:sz w:val="19"/>
                <w:szCs w:val="19"/>
                <w:highlight w:val="yellow"/>
              </w:rPr>
            </w:pPr>
            <w:r w:rsidRPr="002E63ED">
              <w:rPr>
                <w:rFonts w:cs="Tahoma"/>
                <w:sz w:val="19"/>
                <w:szCs w:val="19"/>
              </w:rPr>
              <w:t>5 km DS Lock 1</w:t>
            </w:r>
          </w:p>
        </w:tc>
        <w:tc>
          <w:tcPr>
            <w:tcW w:w="1814" w:type="dxa"/>
            <w:tcBorders>
              <w:left w:val="nil"/>
              <w:bottom w:val="nil"/>
              <w:right w:val="nil"/>
            </w:tcBorders>
            <w:shd w:val="clear" w:color="auto" w:fill="auto"/>
            <w:noWrap/>
          </w:tcPr>
          <w:p w14:paraId="4B5D5CA2" w14:textId="77777777" w:rsidR="000B6DF1" w:rsidRPr="002E63ED" w:rsidRDefault="000B6DF1" w:rsidP="0096486F">
            <w:pPr>
              <w:spacing w:line="240" w:lineRule="auto"/>
              <w:contextualSpacing/>
              <w:jc w:val="center"/>
              <w:rPr>
                <w:rFonts w:cs="Tahoma"/>
                <w:sz w:val="19"/>
                <w:szCs w:val="19"/>
                <w:highlight w:val="yellow"/>
              </w:rPr>
            </w:pPr>
            <w:r w:rsidRPr="002E63ED">
              <w:rPr>
                <w:rFonts w:cs="Tahoma"/>
                <w:sz w:val="19"/>
                <w:szCs w:val="19"/>
              </w:rPr>
              <w:t>S34.4052</w:t>
            </w:r>
          </w:p>
        </w:tc>
        <w:tc>
          <w:tcPr>
            <w:tcW w:w="2268" w:type="dxa"/>
            <w:tcBorders>
              <w:left w:val="nil"/>
              <w:bottom w:val="nil"/>
              <w:right w:val="nil"/>
            </w:tcBorders>
            <w:shd w:val="clear" w:color="auto" w:fill="auto"/>
            <w:noWrap/>
          </w:tcPr>
          <w:p w14:paraId="57B79A40" w14:textId="77777777" w:rsidR="000B6DF1" w:rsidRPr="002E63ED" w:rsidRDefault="000B6DF1" w:rsidP="0096486F">
            <w:pPr>
              <w:spacing w:line="240" w:lineRule="auto"/>
              <w:contextualSpacing/>
              <w:jc w:val="center"/>
              <w:rPr>
                <w:rFonts w:cs="Tahoma"/>
                <w:sz w:val="19"/>
                <w:szCs w:val="19"/>
                <w:highlight w:val="yellow"/>
              </w:rPr>
            </w:pPr>
            <w:r w:rsidRPr="002E63ED">
              <w:rPr>
                <w:rFonts w:cs="Tahoma"/>
                <w:sz w:val="19"/>
                <w:szCs w:val="19"/>
              </w:rPr>
              <w:t>E139.61723</w:t>
            </w:r>
          </w:p>
        </w:tc>
      </w:tr>
      <w:tr w:rsidR="00A84425" w:rsidRPr="002E63ED" w14:paraId="08B0717E" w14:textId="77777777" w:rsidTr="00A84425">
        <w:trPr>
          <w:trHeight w:val="369"/>
        </w:trPr>
        <w:tc>
          <w:tcPr>
            <w:tcW w:w="0" w:type="auto"/>
            <w:tcBorders>
              <w:left w:val="nil"/>
              <w:right w:val="nil"/>
            </w:tcBorders>
            <w:vAlign w:val="center"/>
          </w:tcPr>
          <w:p w14:paraId="1CA88F0F" w14:textId="77777777" w:rsidR="000B6DF1" w:rsidRPr="002E63ED" w:rsidRDefault="000B6DF1" w:rsidP="0096486F">
            <w:pPr>
              <w:spacing w:line="240" w:lineRule="auto"/>
              <w:contextualSpacing/>
              <w:rPr>
                <w:rFonts w:cs="Tahoma"/>
                <w:sz w:val="19"/>
                <w:szCs w:val="19"/>
              </w:rPr>
            </w:pPr>
            <w:r w:rsidRPr="002E63ED">
              <w:rPr>
                <w:rFonts w:cs="Tahoma"/>
                <w:sz w:val="19"/>
                <w:szCs w:val="19"/>
              </w:rPr>
              <w:t>Gorge</w:t>
            </w:r>
          </w:p>
        </w:tc>
        <w:tc>
          <w:tcPr>
            <w:tcW w:w="2154" w:type="dxa"/>
            <w:tcBorders>
              <w:left w:val="nil"/>
              <w:right w:val="nil"/>
            </w:tcBorders>
            <w:shd w:val="clear" w:color="auto" w:fill="auto"/>
            <w:noWrap/>
          </w:tcPr>
          <w:p w14:paraId="0984F7C3" w14:textId="77777777" w:rsidR="000B6DF1" w:rsidRPr="002E63ED" w:rsidRDefault="000B6DF1" w:rsidP="00A84425">
            <w:pPr>
              <w:spacing w:line="240" w:lineRule="auto"/>
              <w:contextualSpacing/>
              <w:jc w:val="center"/>
              <w:rPr>
                <w:rFonts w:cs="Tahoma"/>
                <w:sz w:val="19"/>
                <w:szCs w:val="19"/>
              </w:rPr>
            </w:pPr>
            <w:r w:rsidRPr="002E63ED">
              <w:rPr>
                <w:rFonts w:cs="Tahoma"/>
                <w:sz w:val="19"/>
                <w:szCs w:val="19"/>
              </w:rPr>
              <w:t>7 km DS Lock 1</w:t>
            </w:r>
          </w:p>
        </w:tc>
        <w:tc>
          <w:tcPr>
            <w:tcW w:w="1814" w:type="dxa"/>
            <w:tcBorders>
              <w:left w:val="nil"/>
              <w:right w:val="nil"/>
            </w:tcBorders>
            <w:shd w:val="clear" w:color="auto" w:fill="auto"/>
            <w:noWrap/>
          </w:tcPr>
          <w:p w14:paraId="4D21A7FD" w14:textId="77777777" w:rsidR="000B6DF1" w:rsidRPr="002E63ED" w:rsidRDefault="000B6DF1" w:rsidP="0096486F">
            <w:pPr>
              <w:spacing w:line="240" w:lineRule="auto"/>
              <w:contextualSpacing/>
              <w:jc w:val="center"/>
              <w:rPr>
                <w:rFonts w:cs="Tahoma"/>
                <w:sz w:val="19"/>
                <w:szCs w:val="19"/>
              </w:rPr>
            </w:pPr>
            <w:r w:rsidRPr="002E63ED">
              <w:rPr>
                <w:rFonts w:cs="Tahoma"/>
                <w:sz w:val="19"/>
                <w:szCs w:val="19"/>
              </w:rPr>
              <w:t>S34.42263</w:t>
            </w:r>
          </w:p>
        </w:tc>
        <w:tc>
          <w:tcPr>
            <w:tcW w:w="2268" w:type="dxa"/>
            <w:tcBorders>
              <w:left w:val="nil"/>
              <w:right w:val="nil"/>
            </w:tcBorders>
            <w:shd w:val="clear" w:color="auto" w:fill="auto"/>
            <w:noWrap/>
          </w:tcPr>
          <w:p w14:paraId="1F367EF0" w14:textId="77777777" w:rsidR="000B6DF1" w:rsidRPr="002E63ED" w:rsidRDefault="000B6DF1" w:rsidP="0096486F">
            <w:pPr>
              <w:spacing w:line="240" w:lineRule="auto"/>
              <w:contextualSpacing/>
              <w:jc w:val="center"/>
              <w:rPr>
                <w:rFonts w:cs="Tahoma"/>
                <w:sz w:val="19"/>
                <w:szCs w:val="19"/>
              </w:rPr>
            </w:pPr>
            <w:r w:rsidRPr="002E63ED">
              <w:rPr>
                <w:rFonts w:cs="Tahoma"/>
                <w:sz w:val="19"/>
                <w:szCs w:val="19"/>
              </w:rPr>
              <w:t>E139.61293</w:t>
            </w:r>
          </w:p>
        </w:tc>
      </w:tr>
      <w:tr w:rsidR="00A84425" w:rsidRPr="002E63ED" w14:paraId="5561FA5B" w14:textId="77777777" w:rsidTr="00A84425">
        <w:trPr>
          <w:trHeight w:val="369"/>
        </w:trPr>
        <w:tc>
          <w:tcPr>
            <w:tcW w:w="0" w:type="auto"/>
            <w:tcBorders>
              <w:left w:val="nil"/>
              <w:bottom w:val="single" w:sz="4" w:space="0" w:color="auto"/>
              <w:right w:val="nil"/>
            </w:tcBorders>
            <w:vAlign w:val="center"/>
          </w:tcPr>
          <w:p w14:paraId="73FE9A01" w14:textId="77777777" w:rsidR="000B6DF1" w:rsidRPr="002E63ED" w:rsidRDefault="000B6DF1" w:rsidP="0096486F">
            <w:pPr>
              <w:spacing w:line="240" w:lineRule="auto"/>
              <w:contextualSpacing/>
              <w:rPr>
                <w:rFonts w:cs="Tahoma"/>
                <w:sz w:val="19"/>
                <w:szCs w:val="19"/>
              </w:rPr>
            </w:pPr>
            <w:r w:rsidRPr="002E63ED">
              <w:rPr>
                <w:rFonts w:cs="Tahoma"/>
                <w:sz w:val="19"/>
                <w:szCs w:val="19"/>
              </w:rPr>
              <w:t>Gorge</w:t>
            </w:r>
          </w:p>
        </w:tc>
        <w:tc>
          <w:tcPr>
            <w:tcW w:w="2154" w:type="dxa"/>
            <w:tcBorders>
              <w:left w:val="nil"/>
              <w:bottom w:val="single" w:sz="4" w:space="0" w:color="auto"/>
              <w:right w:val="nil"/>
            </w:tcBorders>
            <w:shd w:val="clear" w:color="auto" w:fill="auto"/>
            <w:noWrap/>
          </w:tcPr>
          <w:p w14:paraId="09671127" w14:textId="77777777" w:rsidR="000B6DF1" w:rsidRPr="002E63ED" w:rsidRDefault="000B6DF1" w:rsidP="00A84425">
            <w:pPr>
              <w:spacing w:line="240" w:lineRule="auto"/>
              <w:contextualSpacing/>
              <w:jc w:val="center"/>
              <w:rPr>
                <w:rFonts w:cs="Tahoma"/>
                <w:sz w:val="19"/>
                <w:szCs w:val="19"/>
              </w:rPr>
            </w:pPr>
            <w:r w:rsidRPr="002E63ED">
              <w:rPr>
                <w:rFonts w:cs="Tahoma"/>
                <w:sz w:val="19"/>
                <w:szCs w:val="19"/>
              </w:rPr>
              <w:t>9 km DS Lock 1</w:t>
            </w:r>
          </w:p>
        </w:tc>
        <w:tc>
          <w:tcPr>
            <w:tcW w:w="1814" w:type="dxa"/>
            <w:tcBorders>
              <w:left w:val="nil"/>
              <w:bottom w:val="single" w:sz="4" w:space="0" w:color="auto"/>
              <w:right w:val="nil"/>
            </w:tcBorders>
            <w:shd w:val="clear" w:color="auto" w:fill="auto"/>
            <w:noWrap/>
          </w:tcPr>
          <w:p w14:paraId="5209B126" w14:textId="77777777" w:rsidR="000B6DF1" w:rsidRPr="002E63ED" w:rsidRDefault="000B6DF1" w:rsidP="0096486F">
            <w:pPr>
              <w:spacing w:line="240" w:lineRule="auto"/>
              <w:contextualSpacing/>
              <w:jc w:val="center"/>
              <w:rPr>
                <w:rFonts w:cs="Tahoma"/>
                <w:sz w:val="19"/>
                <w:szCs w:val="19"/>
              </w:rPr>
            </w:pPr>
            <w:r w:rsidRPr="002E63ED">
              <w:rPr>
                <w:rFonts w:cs="Tahoma"/>
                <w:sz w:val="19"/>
                <w:szCs w:val="19"/>
              </w:rPr>
              <w:t>S34.44596</w:t>
            </w:r>
          </w:p>
        </w:tc>
        <w:tc>
          <w:tcPr>
            <w:tcW w:w="2268" w:type="dxa"/>
            <w:tcBorders>
              <w:left w:val="nil"/>
              <w:bottom w:val="single" w:sz="4" w:space="0" w:color="auto"/>
              <w:right w:val="nil"/>
            </w:tcBorders>
            <w:shd w:val="clear" w:color="auto" w:fill="auto"/>
            <w:noWrap/>
          </w:tcPr>
          <w:p w14:paraId="58DDF08B" w14:textId="77777777" w:rsidR="000B6DF1" w:rsidRPr="002E63ED" w:rsidRDefault="000B6DF1" w:rsidP="0096486F">
            <w:pPr>
              <w:spacing w:line="240" w:lineRule="auto"/>
              <w:contextualSpacing/>
              <w:jc w:val="center"/>
              <w:rPr>
                <w:rFonts w:cs="Tahoma"/>
                <w:sz w:val="19"/>
                <w:szCs w:val="19"/>
              </w:rPr>
            </w:pPr>
            <w:r w:rsidRPr="002E63ED">
              <w:rPr>
                <w:rFonts w:cs="Tahoma"/>
                <w:sz w:val="19"/>
                <w:szCs w:val="19"/>
              </w:rPr>
              <w:t>E139.61102</w:t>
            </w:r>
          </w:p>
        </w:tc>
      </w:tr>
    </w:tbl>
    <w:p w14:paraId="275C57C5" w14:textId="77777777" w:rsidR="0057783C" w:rsidRPr="0096486F" w:rsidRDefault="0057783C" w:rsidP="0096486F">
      <w:pPr>
        <w:spacing w:before="0" w:after="200" w:line="240" w:lineRule="auto"/>
        <w:rPr>
          <w:b/>
          <w:i/>
          <w:color w:val="1F497D" w:themeColor="text2"/>
          <w:sz w:val="12"/>
          <w:szCs w:val="24"/>
        </w:rPr>
      </w:pPr>
    </w:p>
    <w:p w14:paraId="0F11C73D" w14:textId="1E9F6B04" w:rsidR="00002794" w:rsidRPr="00B61C7B" w:rsidRDefault="00002794">
      <w:pPr>
        <w:spacing w:before="0" w:after="200" w:line="276" w:lineRule="auto"/>
        <w:rPr>
          <w:b/>
          <w:i/>
          <w:color w:val="1F497D" w:themeColor="text2"/>
          <w:sz w:val="24"/>
          <w:szCs w:val="24"/>
        </w:rPr>
      </w:pPr>
      <w:r w:rsidRPr="00B61C7B">
        <w:rPr>
          <w:b/>
          <w:i/>
          <w:color w:val="1F497D" w:themeColor="text2"/>
          <w:sz w:val="24"/>
          <w:szCs w:val="24"/>
        </w:rPr>
        <w:t xml:space="preserve">Sampling </w:t>
      </w:r>
      <w:r w:rsidR="00234178">
        <w:rPr>
          <w:b/>
          <w:i/>
          <w:color w:val="1F497D" w:themeColor="text2"/>
          <w:sz w:val="24"/>
          <w:szCs w:val="24"/>
        </w:rPr>
        <w:t xml:space="preserve">YOY </w:t>
      </w:r>
      <w:r w:rsidRPr="00B61C7B">
        <w:rPr>
          <w:b/>
          <w:i/>
          <w:color w:val="1F497D" w:themeColor="text2"/>
          <w:sz w:val="24"/>
          <w:szCs w:val="24"/>
        </w:rPr>
        <w:t>and population age-structure</w:t>
      </w:r>
    </w:p>
    <w:p w14:paraId="57153024" w14:textId="7ECCA936" w:rsidR="009D11B1" w:rsidRDefault="00882DE7" w:rsidP="00B85CC6">
      <w:r w:rsidRPr="00A27AD6">
        <w:t>Adult and juvenile golden perch</w:t>
      </w:r>
      <w:r w:rsidR="00921E04">
        <w:t xml:space="preserve"> </w:t>
      </w:r>
      <w:r w:rsidR="0051130A">
        <w:t>and silver perch</w:t>
      </w:r>
      <w:r w:rsidRPr="00A27AD6">
        <w:t xml:space="preserve"> were sampled by boat </w:t>
      </w:r>
      <w:r w:rsidRPr="00250FE2">
        <w:t xml:space="preserve">electrofishing at </w:t>
      </w:r>
      <w:r w:rsidR="006F4CBC">
        <w:t>four</w:t>
      </w:r>
      <w:r w:rsidRPr="00250FE2">
        <w:t xml:space="preserve"> and twelve sites in</w:t>
      </w:r>
      <w:r>
        <w:t xml:space="preserve"> the floodplain and gorge </w:t>
      </w:r>
      <w:r w:rsidR="006F4CBC">
        <w:t>geomorphic regions</w:t>
      </w:r>
      <w:r w:rsidR="006F4CBC" w:rsidRPr="00A65A30">
        <w:t xml:space="preserve"> </w:t>
      </w:r>
      <w:r w:rsidR="006F4CBC" w:rsidRPr="004C46D7">
        <w:t xml:space="preserve">of the LMR Selected Area, respectively, </w:t>
      </w:r>
      <w:r w:rsidRPr="00A5719D">
        <w:t>(</w:t>
      </w:r>
      <w:r w:rsidR="006E1254">
        <w:t xml:space="preserve">Table </w:t>
      </w:r>
      <w:r w:rsidR="0061623E">
        <w:t>H</w:t>
      </w:r>
      <w:r w:rsidR="007E5224">
        <w:t>3</w:t>
      </w:r>
      <w:r>
        <w:t>)</w:t>
      </w:r>
      <w:r w:rsidRPr="00A27AD6">
        <w:t>.</w:t>
      </w:r>
      <w:bookmarkStart w:id="194" w:name="_Ref426971532"/>
    </w:p>
    <w:p w14:paraId="1D435FDF" w14:textId="0C60729D" w:rsidR="00882DE7" w:rsidRPr="00A27AD6" w:rsidRDefault="00882DE7" w:rsidP="00B46038">
      <w:pPr>
        <w:pStyle w:val="Captions"/>
      </w:pPr>
      <w:r w:rsidRPr="00A27AD6">
        <w:t>Table</w:t>
      </w:r>
      <w:bookmarkEnd w:id="194"/>
      <w:r w:rsidR="00A27BD7">
        <w:t xml:space="preserve"> </w:t>
      </w:r>
      <w:r w:rsidR="0061623E">
        <w:t>H</w:t>
      </w:r>
      <w:r w:rsidR="007E5224">
        <w:t>3</w:t>
      </w:r>
      <w:r>
        <w:t>.</w:t>
      </w:r>
      <w:r w:rsidRPr="00A27AD6">
        <w:t xml:space="preserve"> Details of boat electrofishing sites in the </w:t>
      </w:r>
      <w:r w:rsidR="00B872C2">
        <w:t>LMR</w:t>
      </w:r>
      <w:r>
        <w:t xml:space="preserve"> Selected Area</w:t>
      </w:r>
      <w:r w:rsidRPr="00A27AD6">
        <w:t>.</w:t>
      </w:r>
    </w:p>
    <w:tbl>
      <w:tblPr>
        <w:tblW w:w="7880" w:type="dxa"/>
        <w:tblInd w:w="108" w:type="dxa"/>
        <w:tblLayout w:type="fixed"/>
        <w:tblLook w:val="04A0" w:firstRow="1" w:lastRow="0" w:firstColumn="1" w:lastColumn="0" w:noHBand="0" w:noVBand="1"/>
      </w:tblPr>
      <w:tblGrid>
        <w:gridCol w:w="1587"/>
        <w:gridCol w:w="2324"/>
        <w:gridCol w:w="1871"/>
        <w:gridCol w:w="2098"/>
      </w:tblGrid>
      <w:tr w:rsidR="00A84425" w:rsidRPr="002E63ED" w14:paraId="3E5931C5" w14:textId="77777777" w:rsidTr="00A84425">
        <w:trPr>
          <w:trHeight w:val="340"/>
        </w:trPr>
        <w:tc>
          <w:tcPr>
            <w:tcW w:w="1587" w:type="dxa"/>
            <w:tcBorders>
              <w:top w:val="single" w:sz="4" w:space="0" w:color="auto"/>
              <w:left w:val="nil"/>
              <w:bottom w:val="single" w:sz="4" w:space="0" w:color="auto"/>
              <w:right w:val="nil"/>
            </w:tcBorders>
            <w:vAlign w:val="center"/>
          </w:tcPr>
          <w:p w14:paraId="3CC1BFC2" w14:textId="77777777" w:rsidR="00882DE7" w:rsidRPr="002E63ED" w:rsidRDefault="00882DE7" w:rsidP="00A84425">
            <w:pPr>
              <w:spacing w:line="240" w:lineRule="auto"/>
              <w:contextualSpacing/>
              <w:jc w:val="left"/>
              <w:rPr>
                <w:b/>
                <w:bCs/>
                <w:sz w:val="19"/>
                <w:szCs w:val="19"/>
              </w:rPr>
            </w:pPr>
            <w:r w:rsidRPr="002E63ED">
              <w:rPr>
                <w:b/>
                <w:bCs/>
                <w:sz w:val="19"/>
                <w:szCs w:val="19"/>
              </w:rPr>
              <w:t>Zone</w:t>
            </w:r>
          </w:p>
        </w:tc>
        <w:tc>
          <w:tcPr>
            <w:tcW w:w="2324" w:type="dxa"/>
            <w:tcBorders>
              <w:top w:val="single" w:sz="4" w:space="0" w:color="auto"/>
              <w:left w:val="nil"/>
              <w:bottom w:val="single" w:sz="4" w:space="0" w:color="auto"/>
              <w:right w:val="nil"/>
            </w:tcBorders>
            <w:shd w:val="clear" w:color="auto" w:fill="auto"/>
            <w:noWrap/>
            <w:vAlign w:val="center"/>
            <w:hideMark/>
          </w:tcPr>
          <w:p w14:paraId="6FE655D5" w14:textId="77777777" w:rsidR="00882DE7" w:rsidRPr="002E63ED" w:rsidRDefault="00882DE7" w:rsidP="00A84425">
            <w:pPr>
              <w:spacing w:line="240" w:lineRule="auto"/>
              <w:contextualSpacing/>
              <w:jc w:val="center"/>
              <w:rPr>
                <w:b/>
                <w:bCs/>
                <w:sz w:val="19"/>
                <w:szCs w:val="19"/>
              </w:rPr>
            </w:pPr>
            <w:r w:rsidRPr="002E63ED">
              <w:rPr>
                <w:b/>
                <w:bCs/>
                <w:sz w:val="19"/>
                <w:szCs w:val="19"/>
              </w:rPr>
              <w:t>Site</w:t>
            </w:r>
          </w:p>
        </w:tc>
        <w:tc>
          <w:tcPr>
            <w:tcW w:w="1871" w:type="dxa"/>
            <w:tcBorders>
              <w:top w:val="single" w:sz="4" w:space="0" w:color="auto"/>
              <w:left w:val="nil"/>
              <w:bottom w:val="single" w:sz="4" w:space="0" w:color="auto"/>
              <w:right w:val="nil"/>
            </w:tcBorders>
            <w:shd w:val="clear" w:color="auto" w:fill="auto"/>
            <w:noWrap/>
            <w:vAlign w:val="center"/>
            <w:hideMark/>
          </w:tcPr>
          <w:p w14:paraId="7277BCD8" w14:textId="77777777" w:rsidR="00882DE7" w:rsidRPr="002E63ED" w:rsidRDefault="00882DE7" w:rsidP="0096486F">
            <w:pPr>
              <w:spacing w:line="240" w:lineRule="auto"/>
              <w:contextualSpacing/>
              <w:jc w:val="center"/>
              <w:rPr>
                <w:b/>
                <w:bCs/>
                <w:sz w:val="19"/>
                <w:szCs w:val="19"/>
              </w:rPr>
            </w:pPr>
            <w:r w:rsidRPr="002E63ED">
              <w:rPr>
                <w:b/>
                <w:bCs/>
                <w:sz w:val="19"/>
                <w:szCs w:val="19"/>
              </w:rPr>
              <w:t>Latitude</w:t>
            </w:r>
          </w:p>
        </w:tc>
        <w:tc>
          <w:tcPr>
            <w:tcW w:w="2098" w:type="dxa"/>
            <w:tcBorders>
              <w:top w:val="single" w:sz="4" w:space="0" w:color="auto"/>
              <w:left w:val="nil"/>
              <w:bottom w:val="single" w:sz="4" w:space="0" w:color="auto"/>
              <w:right w:val="nil"/>
            </w:tcBorders>
            <w:shd w:val="clear" w:color="auto" w:fill="auto"/>
            <w:noWrap/>
            <w:vAlign w:val="center"/>
            <w:hideMark/>
          </w:tcPr>
          <w:p w14:paraId="76949D08" w14:textId="77777777" w:rsidR="00882DE7" w:rsidRPr="002E63ED" w:rsidRDefault="00882DE7" w:rsidP="0096486F">
            <w:pPr>
              <w:spacing w:line="240" w:lineRule="auto"/>
              <w:contextualSpacing/>
              <w:jc w:val="center"/>
              <w:rPr>
                <w:b/>
                <w:bCs/>
                <w:sz w:val="19"/>
                <w:szCs w:val="19"/>
              </w:rPr>
            </w:pPr>
            <w:r w:rsidRPr="002E63ED">
              <w:rPr>
                <w:b/>
                <w:bCs/>
                <w:sz w:val="19"/>
                <w:szCs w:val="19"/>
              </w:rPr>
              <w:t>Longitude</w:t>
            </w:r>
          </w:p>
        </w:tc>
      </w:tr>
      <w:tr w:rsidR="00A84425" w:rsidRPr="002E63ED" w14:paraId="14A5F136" w14:textId="77777777" w:rsidTr="00A84425">
        <w:trPr>
          <w:trHeight w:val="340"/>
        </w:trPr>
        <w:tc>
          <w:tcPr>
            <w:tcW w:w="1587" w:type="dxa"/>
            <w:tcBorders>
              <w:top w:val="single" w:sz="4" w:space="0" w:color="auto"/>
              <w:left w:val="nil"/>
              <w:bottom w:val="nil"/>
              <w:right w:val="nil"/>
            </w:tcBorders>
            <w:vAlign w:val="center"/>
          </w:tcPr>
          <w:p w14:paraId="7ED721C3" w14:textId="77777777" w:rsidR="00882DE7" w:rsidRPr="002E63ED" w:rsidRDefault="00882DE7" w:rsidP="0096486F">
            <w:pPr>
              <w:spacing w:line="240" w:lineRule="auto"/>
              <w:contextualSpacing/>
              <w:rPr>
                <w:bCs/>
                <w:sz w:val="19"/>
                <w:szCs w:val="19"/>
              </w:rPr>
            </w:pPr>
            <w:r w:rsidRPr="002E63ED">
              <w:rPr>
                <w:bCs/>
                <w:sz w:val="19"/>
                <w:szCs w:val="19"/>
              </w:rPr>
              <w:t>Floodplain</w:t>
            </w:r>
          </w:p>
        </w:tc>
        <w:tc>
          <w:tcPr>
            <w:tcW w:w="2324" w:type="dxa"/>
            <w:tcBorders>
              <w:top w:val="single" w:sz="4" w:space="0" w:color="auto"/>
              <w:left w:val="nil"/>
              <w:bottom w:val="nil"/>
              <w:right w:val="nil"/>
            </w:tcBorders>
            <w:shd w:val="clear" w:color="auto" w:fill="auto"/>
            <w:noWrap/>
            <w:vAlign w:val="center"/>
          </w:tcPr>
          <w:p w14:paraId="1E3735D2" w14:textId="77777777" w:rsidR="00882DE7" w:rsidRPr="002E63ED" w:rsidRDefault="00882DE7" w:rsidP="00A84425">
            <w:pPr>
              <w:spacing w:line="240" w:lineRule="auto"/>
              <w:contextualSpacing/>
              <w:jc w:val="center"/>
              <w:rPr>
                <w:sz w:val="19"/>
                <w:szCs w:val="19"/>
              </w:rPr>
            </w:pPr>
            <w:r w:rsidRPr="002E63ED">
              <w:rPr>
                <w:sz w:val="19"/>
                <w:szCs w:val="19"/>
              </w:rPr>
              <w:t>Murtho Forest</w:t>
            </w:r>
          </w:p>
        </w:tc>
        <w:tc>
          <w:tcPr>
            <w:tcW w:w="1871" w:type="dxa"/>
            <w:tcBorders>
              <w:top w:val="single" w:sz="4" w:space="0" w:color="auto"/>
              <w:left w:val="nil"/>
              <w:bottom w:val="nil"/>
              <w:right w:val="nil"/>
            </w:tcBorders>
            <w:shd w:val="clear" w:color="auto" w:fill="auto"/>
            <w:noWrap/>
            <w:vAlign w:val="center"/>
          </w:tcPr>
          <w:p w14:paraId="4718760E" w14:textId="77777777" w:rsidR="00882DE7" w:rsidRPr="002E63ED" w:rsidRDefault="00882DE7" w:rsidP="0096486F">
            <w:pPr>
              <w:spacing w:line="240" w:lineRule="auto"/>
              <w:contextualSpacing/>
              <w:jc w:val="center"/>
              <w:rPr>
                <w:sz w:val="19"/>
                <w:szCs w:val="19"/>
              </w:rPr>
            </w:pPr>
            <w:r w:rsidRPr="002E63ED">
              <w:rPr>
                <w:sz w:val="19"/>
                <w:szCs w:val="19"/>
              </w:rPr>
              <w:t>S34.07974</w:t>
            </w:r>
          </w:p>
        </w:tc>
        <w:tc>
          <w:tcPr>
            <w:tcW w:w="2098" w:type="dxa"/>
            <w:tcBorders>
              <w:top w:val="single" w:sz="4" w:space="0" w:color="auto"/>
              <w:left w:val="nil"/>
              <w:bottom w:val="nil"/>
              <w:right w:val="nil"/>
            </w:tcBorders>
            <w:shd w:val="clear" w:color="auto" w:fill="auto"/>
            <w:noWrap/>
            <w:vAlign w:val="center"/>
          </w:tcPr>
          <w:p w14:paraId="1075DCD7" w14:textId="77777777" w:rsidR="00882DE7" w:rsidRPr="002E63ED" w:rsidRDefault="00882DE7" w:rsidP="0096486F">
            <w:pPr>
              <w:spacing w:line="240" w:lineRule="auto"/>
              <w:contextualSpacing/>
              <w:jc w:val="center"/>
              <w:rPr>
                <w:sz w:val="19"/>
                <w:szCs w:val="19"/>
              </w:rPr>
            </w:pPr>
            <w:r w:rsidRPr="002E63ED">
              <w:rPr>
                <w:sz w:val="19"/>
                <w:szCs w:val="19"/>
              </w:rPr>
              <w:t>E140.75085</w:t>
            </w:r>
          </w:p>
        </w:tc>
      </w:tr>
      <w:tr w:rsidR="00A84425" w:rsidRPr="002E63ED" w14:paraId="5A1957F3" w14:textId="77777777" w:rsidTr="00A84425">
        <w:trPr>
          <w:trHeight w:val="340"/>
        </w:trPr>
        <w:tc>
          <w:tcPr>
            <w:tcW w:w="1587" w:type="dxa"/>
            <w:tcBorders>
              <w:left w:val="nil"/>
              <w:bottom w:val="nil"/>
              <w:right w:val="nil"/>
            </w:tcBorders>
            <w:vAlign w:val="center"/>
          </w:tcPr>
          <w:p w14:paraId="3D235492" w14:textId="77777777" w:rsidR="00882DE7" w:rsidRPr="002E63ED" w:rsidRDefault="00882DE7" w:rsidP="0096486F">
            <w:pPr>
              <w:spacing w:line="240" w:lineRule="auto"/>
              <w:contextualSpacing/>
              <w:rPr>
                <w:bCs/>
                <w:sz w:val="19"/>
                <w:szCs w:val="19"/>
              </w:rPr>
            </w:pPr>
            <w:r w:rsidRPr="002E63ED">
              <w:rPr>
                <w:bCs/>
                <w:sz w:val="19"/>
                <w:szCs w:val="19"/>
              </w:rPr>
              <w:t>Floodplain</w:t>
            </w:r>
          </w:p>
        </w:tc>
        <w:tc>
          <w:tcPr>
            <w:tcW w:w="2324" w:type="dxa"/>
            <w:tcBorders>
              <w:left w:val="nil"/>
              <w:bottom w:val="nil"/>
              <w:right w:val="nil"/>
            </w:tcBorders>
            <w:shd w:val="clear" w:color="auto" w:fill="auto"/>
            <w:noWrap/>
            <w:vAlign w:val="center"/>
          </w:tcPr>
          <w:p w14:paraId="0F704879" w14:textId="77777777" w:rsidR="00882DE7" w:rsidRPr="002E63ED" w:rsidRDefault="00882DE7" w:rsidP="00A84425">
            <w:pPr>
              <w:spacing w:line="240" w:lineRule="auto"/>
              <w:contextualSpacing/>
              <w:jc w:val="center"/>
              <w:rPr>
                <w:sz w:val="19"/>
                <w:szCs w:val="19"/>
              </w:rPr>
            </w:pPr>
            <w:r w:rsidRPr="002E63ED">
              <w:rPr>
                <w:sz w:val="19"/>
                <w:szCs w:val="19"/>
              </w:rPr>
              <w:t>Plushes Bend</w:t>
            </w:r>
          </w:p>
        </w:tc>
        <w:tc>
          <w:tcPr>
            <w:tcW w:w="1871" w:type="dxa"/>
            <w:tcBorders>
              <w:left w:val="nil"/>
              <w:bottom w:val="nil"/>
              <w:right w:val="nil"/>
            </w:tcBorders>
            <w:shd w:val="clear" w:color="auto" w:fill="auto"/>
            <w:noWrap/>
            <w:vAlign w:val="center"/>
          </w:tcPr>
          <w:p w14:paraId="6198FEDB" w14:textId="77777777" w:rsidR="00882DE7" w:rsidRPr="002E63ED" w:rsidRDefault="00882DE7" w:rsidP="0096486F">
            <w:pPr>
              <w:spacing w:line="240" w:lineRule="auto"/>
              <w:contextualSpacing/>
              <w:jc w:val="center"/>
              <w:rPr>
                <w:sz w:val="19"/>
                <w:szCs w:val="19"/>
              </w:rPr>
            </w:pPr>
            <w:r w:rsidRPr="002E63ED">
              <w:rPr>
                <w:sz w:val="19"/>
                <w:szCs w:val="19"/>
              </w:rPr>
              <w:t>S34.22775</w:t>
            </w:r>
          </w:p>
        </w:tc>
        <w:tc>
          <w:tcPr>
            <w:tcW w:w="2098" w:type="dxa"/>
            <w:tcBorders>
              <w:left w:val="nil"/>
              <w:bottom w:val="nil"/>
              <w:right w:val="nil"/>
            </w:tcBorders>
            <w:shd w:val="clear" w:color="auto" w:fill="auto"/>
            <w:noWrap/>
            <w:vAlign w:val="center"/>
          </w:tcPr>
          <w:p w14:paraId="4575FA8A" w14:textId="77777777" w:rsidR="00882DE7" w:rsidRPr="002E63ED" w:rsidRDefault="00882DE7" w:rsidP="0096486F">
            <w:pPr>
              <w:spacing w:line="240" w:lineRule="auto"/>
              <w:contextualSpacing/>
              <w:jc w:val="center"/>
              <w:rPr>
                <w:sz w:val="19"/>
                <w:szCs w:val="19"/>
              </w:rPr>
            </w:pPr>
            <w:r w:rsidRPr="002E63ED">
              <w:rPr>
                <w:sz w:val="19"/>
                <w:szCs w:val="19"/>
              </w:rPr>
              <w:t>E140.74009</w:t>
            </w:r>
          </w:p>
        </w:tc>
      </w:tr>
      <w:tr w:rsidR="00A84425" w:rsidRPr="002E63ED" w14:paraId="225C0E0D" w14:textId="77777777" w:rsidTr="00A84425">
        <w:trPr>
          <w:trHeight w:val="340"/>
        </w:trPr>
        <w:tc>
          <w:tcPr>
            <w:tcW w:w="1587" w:type="dxa"/>
            <w:tcBorders>
              <w:left w:val="nil"/>
              <w:bottom w:val="nil"/>
              <w:right w:val="nil"/>
            </w:tcBorders>
            <w:vAlign w:val="center"/>
          </w:tcPr>
          <w:p w14:paraId="194FDAA0" w14:textId="77777777" w:rsidR="00882DE7" w:rsidRPr="002E63ED" w:rsidRDefault="00882DE7" w:rsidP="0096486F">
            <w:pPr>
              <w:spacing w:line="240" w:lineRule="auto"/>
              <w:contextualSpacing/>
              <w:rPr>
                <w:bCs/>
                <w:sz w:val="19"/>
                <w:szCs w:val="19"/>
              </w:rPr>
            </w:pPr>
            <w:r w:rsidRPr="002E63ED">
              <w:rPr>
                <w:bCs/>
                <w:sz w:val="19"/>
                <w:szCs w:val="19"/>
              </w:rPr>
              <w:t>Floodplain</w:t>
            </w:r>
          </w:p>
        </w:tc>
        <w:tc>
          <w:tcPr>
            <w:tcW w:w="2324" w:type="dxa"/>
            <w:tcBorders>
              <w:left w:val="nil"/>
              <w:bottom w:val="nil"/>
              <w:right w:val="nil"/>
            </w:tcBorders>
            <w:shd w:val="clear" w:color="auto" w:fill="auto"/>
            <w:noWrap/>
            <w:vAlign w:val="center"/>
          </w:tcPr>
          <w:p w14:paraId="2782DB55" w14:textId="77777777" w:rsidR="00882DE7" w:rsidRPr="002E63ED" w:rsidRDefault="00882DE7" w:rsidP="00A84425">
            <w:pPr>
              <w:spacing w:line="240" w:lineRule="auto"/>
              <w:contextualSpacing/>
              <w:jc w:val="center"/>
              <w:rPr>
                <w:sz w:val="19"/>
                <w:szCs w:val="19"/>
              </w:rPr>
            </w:pPr>
            <w:r w:rsidRPr="002E63ED">
              <w:rPr>
                <w:sz w:val="19"/>
                <w:szCs w:val="19"/>
              </w:rPr>
              <w:t>Rilli Island</w:t>
            </w:r>
          </w:p>
        </w:tc>
        <w:tc>
          <w:tcPr>
            <w:tcW w:w="1871" w:type="dxa"/>
            <w:tcBorders>
              <w:left w:val="nil"/>
              <w:bottom w:val="nil"/>
              <w:right w:val="nil"/>
            </w:tcBorders>
            <w:shd w:val="clear" w:color="auto" w:fill="auto"/>
            <w:noWrap/>
            <w:vAlign w:val="center"/>
          </w:tcPr>
          <w:p w14:paraId="62250FFD" w14:textId="77777777" w:rsidR="00882DE7" w:rsidRPr="002E63ED" w:rsidRDefault="00882DE7" w:rsidP="0096486F">
            <w:pPr>
              <w:spacing w:line="240" w:lineRule="auto"/>
              <w:contextualSpacing/>
              <w:jc w:val="center"/>
              <w:rPr>
                <w:sz w:val="19"/>
                <w:szCs w:val="19"/>
              </w:rPr>
            </w:pPr>
            <w:r w:rsidRPr="002E63ED">
              <w:rPr>
                <w:sz w:val="19"/>
                <w:szCs w:val="19"/>
              </w:rPr>
              <w:t>S34.39145</w:t>
            </w:r>
          </w:p>
        </w:tc>
        <w:tc>
          <w:tcPr>
            <w:tcW w:w="2098" w:type="dxa"/>
            <w:tcBorders>
              <w:left w:val="nil"/>
              <w:bottom w:val="nil"/>
              <w:right w:val="nil"/>
            </w:tcBorders>
            <w:shd w:val="clear" w:color="auto" w:fill="auto"/>
            <w:noWrap/>
            <w:vAlign w:val="center"/>
          </w:tcPr>
          <w:p w14:paraId="42E33B05" w14:textId="77777777" w:rsidR="00882DE7" w:rsidRPr="002E63ED" w:rsidRDefault="00882DE7" w:rsidP="0096486F">
            <w:pPr>
              <w:spacing w:line="240" w:lineRule="auto"/>
              <w:contextualSpacing/>
              <w:jc w:val="center"/>
              <w:rPr>
                <w:sz w:val="19"/>
                <w:szCs w:val="19"/>
              </w:rPr>
            </w:pPr>
            <w:r w:rsidRPr="002E63ED">
              <w:rPr>
                <w:sz w:val="19"/>
                <w:szCs w:val="19"/>
              </w:rPr>
              <w:t>E140.59164</w:t>
            </w:r>
          </w:p>
        </w:tc>
      </w:tr>
      <w:tr w:rsidR="00A84425" w:rsidRPr="002E63ED" w14:paraId="12CB5830" w14:textId="77777777" w:rsidTr="00A84425">
        <w:trPr>
          <w:trHeight w:val="340"/>
        </w:trPr>
        <w:tc>
          <w:tcPr>
            <w:tcW w:w="1587" w:type="dxa"/>
            <w:tcBorders>
              <w:left w:val="nil"/>
              <w:right w:val="nil"/>
            </w:tcBorders>
            <w:vAlign w:val="center"/>
          </w:tcPr>
          <w:p w14:paraId="4AF66BC6" w14:textId="77777777" w:rsidR="00882DE7" w:rsidRPr="002E63ED" w:rsidRDefault="00882DE7" w:rsidP="0096486F">
            <w:pPr>
              <w:spacing w:line="240" w:lineRule="auto"/>
              <w:contextualSpacing/>
              <w:rPr>
                <w:sz w:val="19"/>
                <w:szCs w:val="19"/>
              </w:rPr>
            </w:pPr>
            <w:r w:rsidRPr="002E63ED">
              <w:rPr>
                <w:bCs/>
                <w:sz w:val="19"/>
                <w:szCs w:val="19"/>
              </w:rPr>
              <w:t>Floodplain</w:t>
            </w:r>
          </w:p>
        </w:tc>
        <w:tc>
          <w:tcPr>
            <w:tcW w:w="2324" w:type="dxa"/>
            <w:tcBorders>
              <w:left w:val="nil"/>
              <w:right w:val="nil"/>
            </w:tcBorders>
            <w:shd w:val="clear" w:color="auto" w:fill="auto"/>
            <w:noWrap/>
            <w:vAlign w:val="center"/>
          </w:tcPr>
          <w:p w14:paraId="6A915DA6" w14:textId="77777777" w:rsidR="00882DE7" w:rsidRPr="002E63ED" w:rsidRDefault="00882DE7" w:rsidP="00A84425">
            <w:pPr>
              <w:spacing w:line="240" w:lineRule="auto"/>
              <w:contextualSpacing/>
              <w:jc w:val="center"/>
              <w:rPr>
                <w:sz w:val="19"/>
                <w:szCs w:val="19"/>
              </w:rPr>
            </w:pPr>
            <w:r w:rsidRPr="002E63ED">
              <w:rPr>
                <w:sz w:val="19"/>
                <w:szCs w:val="19"/>
              </w:rPr>
              <w:t>Cobdogla</w:t>
            </w:r>
          </w:p>
        </w:tc>
        <w:tc>
          <w:tcPr>
            <w:tcW w:w="1871" w:type="dxa"/>
            <w:tcBorders>
              <w:left w:val="nil"/>
              <w:right w:val="nil"/>
            </w:tcBorders>
            <w:shd w:val="clear" w:color="auto" w:fill="auto"/>
            <w:noWrap/>
            <w:vAlign w:val="center"/>
          </w:tcPr>
          <w:p w14:paraId="65C29786" w14:textId="77777777" w:rsidR="00882DE7" w:rsidRPr="002E63ED" w:rsidRDefault="00882DE7" w:rsidP="0096486F">
            <w:pPr>
              <w:spacing w:line="240" w:lineRule="auto"/>
              <w:contextualSpacing/>
              <w:jc w:val="center"/>
              <w:rPr>
                <w:sz w:val="19"/>
                <w:szCs w:val="19"/>
              </w:rPr>
            </w:pPr>
            <w:r w:rsidRPr="002E63ED">
              <w:rPr>
                <w:sz w:val="19"/>
                <w:szCs w:val="19"/>
              </w:rPr>
              <w:t>S34.21724</w:t>
            </w:r>
          </w:p>
        </w:tc>
        <w:tc>
          <w:tcPr>
            <w:tcW w:w="2098" w:type="dxa"/>
            <w:tcBorders>
              <w:left w:val="nil"/>
              <w:right w:val="nil"/>
            </w:tcBorders>
            <w:shd w:val="clear" w:color="auto" w:fill="auto"/>
            <w:noWrap/>
            <w:vAlign w:val="center"/>
          </w:tcPr>
          <w:p w14:paraId="753BD0EF" w14:textId="77777777" w:rsidR="00882DE7" w:rsidRPr="002E63ED" w:rsidRDefault="00882DE7" w:rsidP="0096486F">
            <w:pPr>
              <w:spacing w:line="240" w:lineRule="auto"/>
              <w:contextualSpacing/>
              <w:jc w:val="center"/>
              <w:rPr>
                <w:sz w:val="19"/>
                <w:szCs w:val="19"/>
              </w:rPr>
            </w:pPr>
            <w:r w:rsidRPr="002E63ED">
              <w:rPr>
                <w:sz w:val="19"/>
                <w:szCs w:val="19"/>
              </w:rPr>
              <w:t>E140.36522</w:t>
            </w:r>
          </w:p>
        </w:tc>
      </w:tr>
      <w:tr w:rsidR="00A84425" w:rsidRPr="002E63ED" w14:paraId="0028CCC5" w14:textId="77777777" w:rsidTr="00A84425">
        <w:trPr>
          <w:trHeight w:val="340"/>
        </w:trPr>
        <w:tc>
          <w:tcPr>
            <w:tcW w:w="1587" w:type="dxa"/>
            <w:tcBorders>
              <w:left w:val="nil"/>
              <w:right w:val="nil"/>
            </w:tcBorders>
            <w:vAlign w:val="center"/>
          </w:tcPr>
          <w:p w14:paraId="1E02EA8D" w14:textId="77777777" w:rsidR="00882DE7" w:rsidRPr="002E63ED" w:rsidRDefault="00882DE7" w:rsidP="0096486F">
            <w:pPr>
              <w:spacing w:line="240" w:lineRule="auto"/>
              <w:contextualSpacing/>
              <w:rPr>
                <w:sz w:val="19"/>
                <w:szCs w:val="19"/>
              </w:rPr>
            </w:pPr>
            <w:r w:rsidRPr="002E63ED">
              <w:rPr>
                <w:sz w:val="19"/>
                <w:szCs w:val="19"/>
              </w:rPr>
              <w:t>Gorge</w:t>
            </w:r>
          </w:p>
        </w:tc>
        <w:tc>
          <w:tcPr>
            <w:tcW w:w="2324" w:type="dxa"/>
            <w:tcBorders>
              <w:left w:val="nil"/>
              <w:right w:val="nil"/>
            </w:tcBorders>
            <w:shd w:val="clear" w:color="auto" w:fill="auto"/>
            <w:noWrap/>
            <w:vAlign w:val="center"/>
          </w:tcPr>
          <w:p w14:paraId="70ECF724" w14:textId="77777777" w:rsidR="00882DE7" w:rsidRPr="002E63ED" w:rsidRDefault="00882DE7" w:rsidP="00A84425">
            <w:pPr>
              <w:spacing w:line="240" w:lineRule="auto"/>
              <w:contextualSpacing/>
              <w:jc w:val="center"/>
              <w:rPr>
                <w:sz w:val="19"/>
                <w:szCs w:val="19"/>
              </w:rPr>
            </w:pPr>
            <w:r w:rsidRPr="002E63ED">
              <w:rPr>
                <w:sz w:val="19"/>
                <w:szCs w:val="19"/>
              </w:rPr>
              <w:t>Overland Corner A</w:t>
            </w:r>
          </w:p>
        </w:tc>
        <w:tc>
          <w:tcPr>
            <w:tcW w:w="1871" w:type="dxa"/>
            <w:tcBorders>
              <w:left w:val="nil"/>
              <w:right w:val="nil"/>
            </w:tcBorders>
            <w:shd w:val="clear" w:color="auto" w:fill="auto"/>
            <w:noWrap/>
            <w:vAlign w:val="center"/>
          </w:tcPr>
          <w:p w14:paraId="4DD20AB3" w14:textId="77777777" w:rsidR="00882DE7" w:rsidRPr="002E63ED" w:rsidRDefault="00882DE7" w:rsidP="0096486F">
            <w:pPr>
              <w:spacing w:line="240" w:lineRule="auto"/>
              <w:contextualSpacing/>
              <w:jc w:val="center"/>
              <w:rPr>
                <w:sz w:val="19"/>
                <w:szCs w:val="19"/>
              </w:rPr>
            </w:pPr>
            <w:r w:rsidRPr="002E63ED">
              <w:rPr>
                <w:sz w:val="19"/>
                <w:szCs w:val="19"/>
              </w:rPr>
              <w:t>S34.15942</w:t>
            </w:r>
          </w:p>
        </w:tc>
        <w:tc>
          <w:tcPr>
            <w:tcW w:w="2098" w:type="dxa"/>
            <w:tcBorders>
              <w:left w:val="nil"/>
              <w:right w:val="nil"/>
            </w:tcBorders>
            <w:shd w:val="clear" w:color="auto" w:fill="auto"/>
            <w:noWrap/>
            <w:vAlign w:val="center"/>
          </w:tcPr>
          <w:p w14:paraId="0DF16127" w14:textId="77777777" w:rsidR="00882DE7" w:rsidRPr="002E63ED" w:rsidRDefault="00882DE7" w:rsidP="0096486F">
            <w:pPr>
              <w:spacing w:line="240" w:lineRule="auto"/>
              <w:contextualSpacing/>
              <w:jc w:val="center"/>
              <w:rPr>
                <w:sz w:val="19"/>
                <w:szCs w:val="19"/>
              </w:rPr>
            </w:pPr>
            <w:r w:rsidRPr="002E63ED">
              <w:rPr>
                <w:sz w:val="19"/>
                <w:szCs w:val="19"/>
              </w:rPr>
              <w:t>E140.33556</w:t>
            </w:r>
          </w:p>
        </w:tc>
      </w:tr>
      <w:tr w:rsidR="00A84425" w:rsidRPr="002E63ED" w14:paraId="7E64AC9E" w14:textId="77777777" w:rsidTr="00A84425">
        <w:trPr>
          <w:trHeight w:val="340"/>
        </w:trPr>
        <w:tc>
          <w:tcPr>
            <w:tcW w:w="1587" w:type="dxa"/>
            <w:tcBorders>
              <w:left w:val="nil"/>
              <w:right w:val="nil"/>
            </w:tcBorders>
            <w:vAlign w:val="center"/>
          </w:tcPr>
          <w:p w14:paraId="38444C80" w14:textId="77777777" w:rsidR="00882DE7" w:rsidRPr="002E63ED" w:rsidRDefault="00882DE7" w:rsidP="0096486F">
            <w:pPr>
              <w:spacing w:line="240" w:lineRule="auto"/>
              <w:contextualSpacing/>
              <w:rPr>
                <w:sz w:val="19"/>
                <w:szCs w:val="19"/>
              </w:rPr>
            </w:pPr>
            <w:r w:rsidRPr="002E63ED">
              <w:rPr>
                <w:sz w:val="19"/>
                <w:szCs w:val="19"/>
              </w:rPr>
              <w:t>Gorge</w:t>
            </w:r>
          </w:p>
        </w:tc>
        <w:tc>
          <w:tcPr>
            <w:tcW w:w="2324" w:type="dxa"/>
            <w:tcBorders>
              <w:left w:val="nil"/>
              <w:right w:val="nil"/>
            </w:tcBorders>
            <w:shd w:val="clear" w:color="auto" w:fill="auto"/>
            <w:noWrap/>
            <w:vAlign w:val="center"/>
          </w:tcPr>
          <w:p w14:paraId="2F37A76A" w14:textId="77777777" w:rsidR="00882DE7" w:rsidRPr="002E63ED" w:rsidRDefault="00882DE7" w:rsidP="00A84425">
            <w:pPr>
              <w:spacing w:line="240" w:lineRule="auto"/>
              <w:contextualSpacing/>
              <w:jc w:val="center"/>
              <w:rPr>
                <w:sz w:val="19"/>
                <w:szCs w:val="19"/>
              </w:rPr>
            </w:pPr>
            <w:r w:rsidRPr="002E63ED">
              <w:rPr>
                <w:sz w:val="19"/>
                <w:szCs w:val="19"/>
              </w:rPr>
              <w:t>Overland Corner B</w:t>
            </w:r>
          </w:p>
        </w:tc>
        <w:tc>
          <w:tcPr>
            <w:tcW w:w="1871" w:type="dxa"/>
            <w:tcBorders>
              <w:left w:val="nil"/>
              <w:right w:val="nil"/>
            </w:tcBorders>
            <w:shd w:val="clear" w:color="auto" w:fill="auto"/>
            <w:noWrap/>
            <w:vAlign w:val="center"/>
          </w:tcPr>
          <w:p w14:paraId="051E585D" w14:textId="77777777" w:rsidR="00882DE7" w:rsidRPr="002E63ED" w:rsidRDefault="00882DE7" w:rsidP="0096486F">
            <w:pPr>
              <w:spacing w:line="240" w:lineRule="auto"/>
              <w:contextualSpacing/>
              <w:jc w:val="center"/>
              <w:rPr>
                <w:sz w:val="19"/>
                <w:szCs w:val="19"/>
              </w:rPr>
            </w:pPr>
            <w:r w:rsidRPr="002E63ED">
              <w:rPr>
                <w:sz w:val="19"/>
                <w:szCs w:val="19"/>
              </w:rPr>
              <w:t>S34.1801</w:t>
            </w:r>
          </w:p>
        </w:tc>
        <w:tc>
          <w:tcPr>
            <w:tcW w:w="2098" w:type="dxa"/>
            <w:tcBorders>
              <w:left w:val="nil"/>
              <w:right w:val="nil"/>
            </w:tcBorders>
            <w:shd w:val="clear" w:color="auto" w:fill="auto"/>
            <w:noWrap/>
            <w:vAlign w:val="center"/>
          </w:tcPr>
          <w:p w14:paraId="7830ACDE" w14:textId="77777777" w:rsidR="00882DE7" w:rsidRPr="002E63ED" w:rsidRDefault="00882DE7" w:rsidP="0096486F">
            <w:pPr>
              <w:spacing w:line="240" w:lineRule="auto"/>
              <w:contextualSpacing/>
              <w:jc w:val="center"/>
              <w:rPr>
                <w:sz w:val="19"/>
                <w:szCs w:val="19"/>
              </w:rPr>
            </w:pPr>
            <w:r w:rsidRPr="002E63ED">
              <w:rPr>
                <w:sz w:val="19"/>
                <w:szCs w:val="19"/>
              </w:rPr>
              <w:t>E140.27827</w:t>
            </w:r>
          </w:p>
        </w:tc>
      </w:tr>
      <w:tr w:rsidR="00A84425" w:rsidRPr="002E63ED" w14:paraId="68C7978C" w14:textId="77777777" w:rsidTr="00A84425">
        <w:trPr>
          <w:trHeight w:val="340"/>
        </w:trPr>
        <w:tc>
          <w:tcPr>
            <w:tcW w:w="1587" w:type="dxa"/>
            <w:tcBorders>
              <w:left w:val="nil"/>
              <w:right w:val="nil"/>
            </w:tcBorders>
            <w:vAlign w:val="center"/>
          </w:tcPr>
          <w:p w14:paraId="773F1FDB" w14:textId="77777777" w:rsidR="00882DE7" w:rsidRPr="002E63ED" w:rsidRDefault="00882DE7" w:rsidP="0096486F">
            <w:pPr>
              <w:spacing w:line="240" w:lineRule="auto"/>
              <w:contextualSpacing/>
              <w:rPr>
                <w:sz w:val="19"/>
                <w:szCs w:val="19"/>
              </w:rPr>
            </w:pPr>
            <w:r w:rsidRPr="002E63ED">
              <w:rPr>
                <w:sz w:val="19"/>
                <w:szCs w:val="19"/>
              </w:rPr>
              <w:t>Gorge</w:t>
            </w:r>
          </w:p>
        </w:tc>
        <w:tc>
          <w:tcPr>
            <w:tcW w:w="2324" w:type="dxa"/>
            <w:tcBorders>
              <w:left w:val="nil"/>
              <w:right w:val="nil"/>
            </w:tcBorders>
            <w:shd w:val="clear" w:color="auto" w:fill="auto"/>
            <w:noWrap/>
            <w:vAlign w:val="center"/>
          </w:tcPr>
          <w:p w14:paraId="4BB61B81" w14:textId="77777777" w:rsidR="00882DE7" w:rsidRPr="002E63ED" w:rsidRDefault="00882DE7" w:rsidP="00A84425">
            <w:pPr>
              <w:spacing w:line="240" w:lineRule="auto"/>
              <w:contextualSpacing/>
              <w:jc w:val="center"/>
              <w:rPr>
                <w:sz w:val="19"/>
                <w:szCs w:val="19"/>
              </w:rPr>
            </w:pPr>
            <w:r w:rsidRPr="002E63ED">
              <w:rPr>
                <w:sz w:val="19"/>
                <w:szCs w:val="19"/>
              </w:rPr>
              <w:t>Lowbank A</w:t>
            </w:r>
          </w:p>
        </w:tc>
        <w:tc>
          <w:tcPr>
            <w:tcW w:w="1871" w:type="dxa"/>
            <w:tcBorders>
              <w:left w:val="nil"/>
              <w:right w:val="nil"/>
            </w:tcBorders>
            <w:shd w:val="clear" w:color="auto" w:fill="auto"/>
            <w:noWrap/>
            <w:vAlign w:val="center"/>
          </w:tcPr>
          <w:p w14:paraId="244A02F3" w14:textId="77777777" w:rsidR="00882DE7" w:rsidRPr="002E63ED" w:rsidRDefault="00882DE7" w:rsidP="0096486F">
            <w:pPr>
              <w:spacing w:line="240" w:lineRule="auto"/>
              <w:contextualSpacing/>
              <w:jc w:val="center"/>
              <w:rPr>
                <w:sz w:val="19"/>
                <w:szCs w:val="19"/>
              </w:rPr>
            </w:pPr>
            <w:r w:rsidRPr="002E63ED">
              <w:rPr>
                <w:sz w:val="19"/>
                <w:szCs w:val="19"/>
              </w:rPr>
              <w:t>S34.18245</w:t>
            </w:r>
          </w:p>
        </w:tc>
        <w:tc>
          <w:tcPr>
            <w:tcW w:w="2098" w:type="dxa"/>
            <w:tcBorders>
              <w:left w:val="nil"/>
              <w:right w:val="nil"/>
            </w:tcBorders>
            <w:shd w:val="clear" w:color="auto" w:fill="auto"/>
            <w:noWrap/>
            <w:vAlign w:val="center"/>
          </w:tcPr>
          <w:p w14:paraId="465FEB02" w14:textId="77777777" w:rsidR="00882DE7" w:rsidRPr="002E63ED" w:rsidRDefault="00882DE7" w:rsidP="0096486F">
            <w:pPr>
              <w:spacing w:line="240" w:lineRule="auto"/>
              <w:contextualSpacing/>
              <w:jc w:val="center"/>
              <w:rPr>
                <w:sz w:val="19"/>
                <w:szCs w:val="19"/>
              </w:rPr>
            </w:pPr>
            <w:r w:rsidRPr="002E63ED">
              <w:rPr>
                <w:sz w:val="19"/>
                <w:szCs w:val="19"/>
              </w:rPr>
              <w:t>E140.11108</w:t>
            </w:r>
          </w:p>
        </w:tc>
      </w:tr>
      <w:tr w:rsidR="00A84425" w:rsidRPr="002E63ED" w14:paraId="5D95D1CA" w14:textId="77777777" w:rsidTr="00A84425">
        <w:trPr>
          <w:trHeight w:val="340"/>
        </w:trPr>
        <w:tc>
          <w:tcPr>
            <w:tcW w:w="1587" w:type="dxa"/>
            <w:tcBorders>
              <w:left w:val="nil"/>
              <w:right w:val="nil"/>
            </w:tcBorders>
            <w:vAlign w:val="center"/>
          </w:tcPr>
          <w:p w14:paraId="4C0DBE4F" w14:textId="77777777" w:rsidR="00882DE7" w:rsidRPr="002E63ED" w:rsidRDefault="00882DE7" w:rsidP="0096486F">
            <w:pPr>
              <w:spacing w:line="240" w:lineRule="auto"/>
              <w:contextualSpacing/>
              <w:rPr>
                <w:sz w:val="19"/>
                <w:szCs w:val="19"/>
              </w:rPr>
            </w:pPr>
            <w:r w:rsidRPr="002E63ED">
              <w:rPr>
                <w:sz w:val="19"/>
                <w:szCs w:val="19"/>
              </w:rPr>
              <w:t>Gorge</w:t>
            </w:r>
          </w:p>
        </w:tc>
        <w:tc>
          <w:tcPr>
            <w:tcW w:w="2324" w:type="dxa"/>
            <w:tcBorders>
              <w:left w:val="nil"/>
              <w:right w:val="nil"/>
            </w:tcBorders>
            <w:shd w:val="clear" w:color="auto" w:fill="auto"/>
            <w:noWrap/>
            <w:vAlign w:val="center"/>
          </w:tcPr>
          <w:p w14:paraId="464ABE7B" w14:textId="77777777" w:rsidR="00882DE7" w:rsidRPr="002E63ED" w:rsidRDefault="00882DE7" w:rsidP="00A84425">
            <w:pPr>
              <w:spacing w:line="240" w:lineRule="auto"/>
              <w:contextualSpacing/>
              <w:jc w:val="center"/>
              <w:rPr>
                <w:sz w:val="19"/>
                <w:szCs w:val="19"/>
              </w:rPr>
            </w:pPr>
            <w:r w:rsidRPr="002E63ED">
              <w:rPr>
                <w:sz w:val="19"/>
                <w:szCs w:val="19"/>
              </w:rPr>
              <w:t>Lowbank B</w:t>
            </w:r>
          </w:p>
        </w:tc>
        <w:tc>
          <w:tcPr>
            <w:tcW w:w="1871" w:type="dxa"/>
            <w:tcBorders>
              <w:left w:val="nil"/>
              <w:right w:val="nil"/>
            </w:tcBorders>
            <w:shd w:val="clear" w:color="auto" w:fill="auto"/>
            <w:noWrap/>
          </w:tcPr>
          <w:p w14:paraId="3C7A5019" w14:textId="77777777" w:rsidR="00882DE7" w:rsidRPr="002E63ED" w:rsidRDefault="00882DE7" w:rsidP="0096486F">
            <w:pPr>
              <w:spacing w:line="240" w:lineRule="auto"/>
              <w:contextualSpacing/>
              <w:jc w:val="center"/>
              <w:rPr>
                <w:sz w:val="19"/>
                <w:szCs w:val="19"/>
              </w:rPr>
            </w:pPr>
            <w:r w:rsidRPr="002E63ED">
              <w:rPr>
                <w:sz w:val="19"/>
                <w:szCs w:val="19"/>
              </w:rPr>
              <w:t>S34.1645</w:t>
            </w:r>
          </w:p>
        </w:tc>
        <w:tc>
          <w:tcPr>
            <w:tcW w:w="2098" w:type="dxa"/>
            <w:tcBorders>
              <w:left w:val="nil"/>
              <w:right w:val="nil"/>
            </w:tcBorders>
            <w:shd w:val="clear" w:color="auto" w:fill="auto"/>
            <w:noWrap/>
          </w:tcPr>
          <w:p w14:paraId="3B5F99A3" w14:textId="77777777" w:rsidR="00882DE7" w:rsidRPr="002E63ED" w:rsidRDefault="00882DE7" w:rsidP="0096486F">
            <w:pPr>
              <w:spacing w:line="240" w:lineRule="auto"/>
              <w:contextualSpacing/>
              <w:jc w:val="center"/>
              <w:rPr>
                <w:sz w:val="19"/>
                <w:szCs w:val="19"/>
              </w:rPr>
            </w:pPr>
            <w:r w:rsidRPr="002E63ED">
              <w:rPr>
                <w:sz w:val="19"/>
                <w:szCs w:val="19"/>
              </w:rPr>
              <w:t>E140.03712</w:t>
            </w:r>
          </w:p>
        </w:tc>
      </w:tr>
      <w:tr w:rsidR="00A84425" w:rsidRPr="002E63ED" w14:paraId="6F7D27C8" w14:textId="77777777" w:rsidTr="00A84425">
        <w:trPr>
          <w:trHeight w:val="340"/>
        </w:trPr>
        <w:tc>
          <w:tcPr>
            <w:tcW w:w="1587" w:type="dxa"/>
            <w:tcBorders>
              <w:left w:val="nil"/>
              <w:bottom w:val="nil"/>
              <w:right w:val="nil"/>
            </w:tcBorders>
            <w:vAlign w:val="center"/>
          </w:tcPr>
          <w:p w14:paraId="579E0879" w14:textId="77777777" w:rsidR="00882DE7" w:rsidRPr="002E63ED" w:rsidRDefault="00882DE7" w:rsidP="0096486F">
            <w:pPr>
              <w:spacing w:line="240" w:lineRule="auto"/>
              <w:contextualSpacing/>
              <w:rPr>
                <w:sz w:val="19"/>
                <w:szCs w:val="19"/>
              </w:rPr>
            </w:pPr>
            <w:r w:rsidRPr="002E63ED">
              <w:rPr>
                <w:sz w:val="19"/>
                <w:szCs w:val="19"/>
              </w:rPr>
              <w:t>Gorge</w:t>
            </w:r>
          </w:p>
        </w:tc>
        <w:tc>
          <w:tcPr>
            <w:tcW w:w="2324" w:type="dxa"/>
            <w:tcBorders>
              <w:left w:val="nil"/>
              <w:bottom w:val="nil"/>
              <w:right w:val="nil"/>
            </w:tcBorders>
            <w:shd w:val="clear" w:color="auto" w:fill="auto"/>
            <w:noWrap/>
            <w:vAlign w:val="center"/>
          </w:tcPr>
          <w:p w14:paraId="64B7FED8" w14:textId="77777777" w:rsidR="00882DE7" w:rsidRPr="002E63ED" w:rsidRDefault="00882DE7" w:rsidP="00A84425">
            <w:pPr>
              <w:spacing w:line="240" w:lineRule="auto"/>
              <w:contextualSpacing/>
              <w:jc w:val="center"/>
              <w:rPr>
                <w:sz w:val="19"/>
                <w:szCs w:val="19"/>
              </w:rPr>
            </w:pPr>
            <w:r w:rsidRPr="002E63ED">
              <w:rPr>
                <w:sz w:val="19"/>
                <w:szCs w:val="19"/>
              </w:rPr>
              <w:t>Waikerie</w:t>
            </w:r>
          </w:p>
        </w:tc>
        <w:tc>
          <w:tcPr>
            <w:tcW w:w="1871" w:type="dxa"/>
            <w:tcBorders>
              <w:left w:val="nil"/>
              <w:bottom w:val="nil"/>
              <w:right w:val="nil"/>
            </w:tcBorders>
            <w:shd w:val="clear" w:color="auto" w:fill="auto"/>
            <w:noWrap/>
          </w:tcPr>
          <w:p w14:paraId="01B88C19" w14:textId="77777777" w:rsidR="00882DE7" w:rsidRPr="002E63ED" w:rsidRDefault="00882DE7" w:rsidP="0096486F">
            <w:pPr>
              <w:spacing w:line="240" w:lineRule="auto"/>
              <w:contextualSpacing/>
              <w:jc w:val="center"/>
              <w:rPr>
                <w:sz w:val="19"/>
                <w:szCs w:val="19"/>
              </w:rPr>
            </w:pPr>
            <w:r w:rsidRPr="002E63ED">
              <w:rPr>
                <w:sz w:val="19"/>
                <w:szCs w:val="19"/>
              </w:rPr>
              <w:t>S34.15823</w:t>
            </w:r>
          </w:p>
        </w:tc>
        <w:tc>
          <w:tcPr>
            <w:tcW w:w="2098" w:type="dxa"/>
            <w:tcBorders>
              <w:left w:val="nil"/>
              <w:bottom w:val="nil"/>
              <w:right w:val="nil"/>
            </w:tcBorders>
            <w:shd w:val="clear" w:color="auto" w:fill="auto"/>
            <w:noWrap/>
          </w:tcPr>
          <w:p w14:paraId="1FE35694" w14:textId="77777777" w:rsidR="00882DE7" w:rsidRPr="002E63ED" w:rsidRDefault="00882DE7" w:rsidP="0096486F">
            <w:pPr>
              <w:spacing w:line="240" w:lineRule="auto"/>
              <w:contextualSpacing/>
              <w:jc w:val="center"/>
              <w:rPr>
                <w:sz w:val="19"/>
                <w:szCs w:val="19"/>
              </w:rPr>
            </w:pPr>
            <w:r w:rsidRPr="002E63ED">
              <w:rPr>
                <w:sz w:val="19"/>
                <w:szCs w:val="19"/>
              </w:rPr>
              <w:t>E139.9241</w:t>
            </w:r>
          </w:p>
        </w:tc>
      </w:tr>
      <w:tr w:rsidR="00A84425" w:rsidRPr="002E63ED" w14:paraId="24FFCB39" w14:textId="77777777" w:rsidTr="00A84425">
        <w:trPr>
          <w:trHeight w:val="340"/>
        </w:trPr>
        <w:tc>
          <w:tcPr>
            <w:tcW w:w="1587" w:type="dxa"/>
            <w:tcBorders>
              <w:left w:val="nil"/>
              <w:bottom w:val="nil"/>
              <w:right w:val="nil"/>
            </w:tcBorders>
            <w:vAlign w:val="center"/>
          </w:tcPr>
          <w:p w14:paraId="2F6C2775" w14:textId="77777777" w:rsidR="00882DE7" w:rsidRPr="002E63ED" w:rsidRDefault="00882DE7" w:rsidP="0096486F">
            <w:pPr>
              <w:spacing w:line="240" w:lineRule="auto"/>
              <w:contextualSpacing/>
              <w:rPr>
                <w:sz w:val="19"/>
                <w:szCs w:val="19"/>
              </w:rPr>
            </w:pPr>
            <w:r w:rsidRPr="002E63ED">
              <w:rPr>
                <w:sz w:val="19"/>
                <w:szCs w:val="19"/>
              </w:rPr>
              <w:t>Gorge</w:t>
            </w:r>
          </w:p>
        </w:tc>
        <w:tc>
          <w:tcPr>
            <w:tcW w:w="2324" w:type="dxa"/>
            <w:tcBorders>
              <w:left w:val="nil"/>
              <w:bottom w:val="nil"/>
              <w:right w:val="nil"/>
            </w:tcBorders>
            <w:shd w:val="clear" w:color="auto" w:fill="auto"/>
            <w:noWrap/>
            <w:vAlign w:val="center"/>
          </w:tcPr>
          <w:p w14:paraId="63327A76" w14:textId="77777777" w:rsidR="00882DE7" w:rsidRPr="002E63ED" w:rsidRDefault="00882DE7" w:rsidP="00A84425">
            <w:pPr>
              <w:spacing w:line="240" w:lineRule="auto"/>
              <w:contextualSpacing/>
              <w:jc w:val="center"/>
              <w:rPr>
                <w:sz w:val="19"/>
                <w:szCs w:val="19"/>
              </w:rPr>
            </w:pPr>
            <w:r w:rsidRPr="002E63ED">
              <w:rPr>
                <w:sz w:val="19"/>
                <w:szCs w:val="19"/>
              </w:rPr>
              <w:t>Qualco</w:t>
            </w:r>
          </w:p>
        </w:tc>
        <w:tc>
          <w:tcPr>
            <w:tcW w:w="1871" w:type="dxa"/>
            <w:tcBorders>
              <w:left w:val="nil"/>
              <w:bottom w:val="nil"/>
              <w:right w:val="nil"/>
            </w:tcBorders>
            <w:shd w:val="clear" w:color="auto" w:fill="auto"/>
            <w:noWrap/>
          </w:tcPr>
          <w:p w14:paraId="2290DB3C" w14:textId="77777777" w:rsidR="00882DE7" w:rsidRPr="002E63ED" w:rsidRDefault="00882DE7" w:rsidP="0096486F">
            <w:pPr>
              <w:spacing w:line="240" w:lineRule="auto"/>
              <w:contextualSpacing/>
              <w:jc w:val="center"/>
              <w:rPr>
                <w:sz w:val="19"/>
                <w:szCs w:val="19"/>
              </w:rPr>
            </w:pPr>
            <w:r w:rsidRPr="002E63ED">
              <w:rPr>
                <w:sz w:val="19"/>
                <w:szCs w:val="19"/>
              </w:rPr>
              <w:t>S34.1019</w:t>
            </w:r>
          </w:p>
        </w:tc>
        <w:tc>
          <w:tcPr>
            <w:tcW w:w="2098" w:type="dxa"/>
            <w:tcBorders>
              <w:left w:val="nil"/>
              <w:bottom w:val="nil"/>
              <w:right w:val="nil"/>
            </w:tcBorders>
            <w:shd w:val="clear" w:color="auto" w:fill="auto"/>
            <w:noWrap/>
          </w:tcPr>
          <w:p w14:paraId="2A374286" w14:textId="77777777" w:rsidR="00882DE7" w:rsidRPr="002E63ED" w:rsidRDefault="00882DE7" w:rsidP="0096486F">
            <w:pPr>
              <w:spacing w:line="240" w:lineRule="auto"/>
              <w:contextualSpacing/>
              <w:jc w:val="center"/>
              <w:rPr>
                <w:sz w:val="19"/>
                <w:szCs w:val="19"/>
              </w:rPr>
            </w:pPr>
            <w:r w:rsidRPr="002E63ED">
              <w:rPr>
                <w:sz w:val="19"/>
                <w:szCs w:val="19"/>
              </w:rPr>
              <w:t>E139.87569</w:t>
            </w:r>
          </w:p>
        </w:tc>
      </w:tr>
      <w:tr w:rsidR="00A84425" w:rsidRPr="002E63ED" w14:paraId="48409396" w14:textId="77777777" w:rsidTr="00A84425">
        <w:trPr>
          <w:trHeight w:val="340"/>
        </w:trPr>
        <w:tc>
          <w:tcPr>
            <w:tcW w:w="1587" w:type="dxa"/>
            <w:tcBorders>
              <w:left w:val="nil"/>
              <w:bottom w:val="nil"/>
              <w:right w:val="nil"/>
            </w:tcBorders>
            <w:vAlign w:val="center"/>
          </w:tcPr>
          <w:p w14:paraId="04241A8F" w14:textId="77777777" w:rsidR="00882DE7" w:rsidRPr="002E63ED" w:rsidRDefault="00882DE7" w:rsidP="0096486F">
            <w:pPr>
              <w:spacing w:line="240" w:lineRule="auto"/>
              <w:contextualSpacing/>
              <w:rPr>
                <w:sz w:val="19"/>
                <w:szCs w:val="19"/>
              </w:rPr>
            </w:pPr>
            <w:r w:rsidRPr="002E63ED">
              <w:rPr>
                <w:sz w:val="19"/>
                <w:szCs w:val="19"/>
              </w:rPr>
              <w:t>Gorge</w:t>
            </w:r>
          </w:p>
        </w:tc>
        <w:tc>
          <w:tcPr>
            <w:tcW w:w="2324" w:type="dxa"/>
            <w:tcBorders>
              <w:left w:val="nil"/>
              <w:bottom w:val="nil"/>
              <w:right w:val="nil"/>
            </w:tcBorders>
            <w:shd w:val="clear" w:color="auto" w:fill="auto"/>
            <w:noWrap/>
            <w:vAlign w:val="center"/>
          </w:tcPr>
          <w:p w14:paraId="781B930C" w14:textId="77777777" w:rsidR="00882DE7" w:rsidRPr="002E63ED" w:rsidRDefault="00882DE7" w:rsidP="00A84425">
            <w:pPr>
              <w:spacing w:line="240" w:lineRule="auto"/>
              <w:contextualSpacing/>
              <w:jc w:val="center"/>
              <w:rPr>
                <w:sz w:val="19"/>
                <w:szCs w:val="19"/>
              </w:rPr>
            </w:pPr>
            <w:r w:rsidRPr="002E63ED">
              <w:rPr>
                <w:sz w:val="19"/>
                <w:szCs w:val="19"/>
              </w:rPr>
              <w:t>Cadell</w:t>
            </w:r>
          </w:p>
        </w:tc>
        <w:tc>
          <w:tcPr>
            <w:tcW w:w="1871" w:type="dxa"/>
            <w:tcBorders>
              <w:left w:val="nil"/>
              <w:bottom w:val="nil"/>
              <w:right w:val="nil"/>
            </w:tcBorders>
            <w:shd w:val="clear" w:color="auto" w:fill="auto"/>
            <w:noWrap/>
          </w:tcPr>
          <w:p w14:paraId="54E52EEA" w14:textId="77777777" w:rsidR="00882DE7" w:rsidRPr="002E63ED" w:rsidRDefault="00882DE7" w:rsidP="0096486F">
            <w:pPr>
              <w:spacing w:line="240" w:lineRule="auto"/>
              <w:contextualSpacing/>
              <w:jc w:val="center"/>
              <w:rPr>
                <w:sz w:val="19"/>
                <w:szCs w:val="19"/>
              </w:rPr>
            </w:pPr>
            <w:r w:rsidRPr="002E63ED">
              <w:rPr>
                <w:sz w:val="19"/>
                <w:szCs w:val="19"/>
              </w:rPr>
              <w:t>S34.04371</w:t>
            </w:r>
          </w:p>
        </w:tc>
        <w:tc>
          <w:tcPr>
            <w:tcW w:w="2098" w:type="dxa"/>
            <w:tcBorders>
              <w:left w:val="nil"/>
              <w:bottom w:val="nil"/>
              <w:right w:val="nil"/>
            </w:tcBorders>
            <w:shd w:val="clear" w:color="auto" w:fill="auto"/>
            <w:noWrap/>
          </w:tcPr>
          <w:p w14:paraId="7745B513" w14:textId="77777777" w:rsidR="00882DE7" w:rsidRPr="002E63ED" w:rsidRDefault="00882DE7" w:rsidP="0096486F">
            <w:pPr>
              <w:spacing w:line="240" w:lineRule="auto"/>
              <w:contextualSpacing/>
              <w:jc w:val="center"/>
              <w:rPr>
                <w:sz w:val="19"/>
                <w:szCs w:val="19"/>
              </w:rPr>
            </w:pPr>
            <w:r w:rsidRPr="002E63ED">
              <w:rPr>
                <w:sz w:val="19"/>
                <w:szCs w:val="19"/>
              </w:rPr>
              <w:t>E139.78645</w:t>
            </w:r>
          </w:p>
        </w:tc>
      </w:tr>
      <w:tr w:rsidR="00A84425" w:rsidRPr="002E63ED" w14:paraId="0D7C8AED" w14:textId="77777777" w:rsidTr="00A84425">
        <w:trPr>
          <w:trHeight w:val="340"/>
        </w:trPr>
        <w:tc>
          <w:tcPr>
            <w:tcW w:w="1587" w:type="dxa"/>
            <w:tcBorders>
              <w:left w:val="nil"/>
              <w:bottom w:val="nil"/>
              <w:right w:val="nil"/>
            </w:tcBorders>
            <w:vAlign w:val="center"/>
          </w:tcPr>
          <w:p w14:paraId="706ABABB" w14:textId="77777777" w:rsidR="00882DE7" w:rsidRPr="002E63ED" w:rsidRDefault="00882DE7" w:rsidP="0096486F">
            <w:pPr>
              <w:spacing w:line="240" w:lineRule="auto"/>
              <w:contextualSpacing/>
              <w:rPr>
                <w:sz w:val="19"/>
                <w:szCs w:val="19"/>
              </w:rPr>
            </w:pPr>
            <w:r w:rsidRPr="002E63ED">
              <w:rPr>
                <w:sz w:val="19"/>
                <w:szCs w:val="19"/>
              </w:rPr>
              <w:t>Gorge</w:t>
            </w:r>
          </w:p>
        </w:tc>
        <w:tc>
          <w:tcPr>
            <w:tcW w:w="2324" w:type="dxa"/>
            <w:tcBorders>
              <w:left w:val="nil"/>
              <w:bottom w:val="nil"/>
              <w:right w:val="nil"/>
            </w:tcBorders>
            <w:shd w:val="clear" w:color="auto" w:fill="auto"/>
            <w:noWrap/>
            <w:vAlign w:val="center"/>
          </w:tcPr>
          <w:p w14:paraId="498A7E96" w14:textId="77777777" w:rsidR="00882DE7" w:rsidRPr="002E63ED" w:rsidRDefault="00882DE7" w:rsidP="00A84425">
            <w:pPr>
              <w:spacing w:line="240" w:lineRule="auto"/>
              <w:contextualSpacing/>
              <w:jc w:val="center"/>
              <w:rPr>
                <w:sz w:val="19"/>
                <w:szCs w:val="19"/>
              </w:rPr>
            </w:pPr>
            <w:r w:rsidRPr="002E63ED">
              <w:rPr>
                <w:sz w:val="19"/>
                <w:szCs w:val="19"/>
              </w:rPr>
              <w:t>Morgan</w:t>
            </w:r>
          </w:p>
        </w:tc>
        <w:tc>
          <w:tcPr>
            <w:tcW w:w="1871" w:type="dxa"/>
            <w:tcBorders>
              <w:left w:val="nil"/>
              <w:bottom w:val="nil"/>
              <w:right w:val="nil"/>
            </w:tcBorders>
            <w:shd w:val="clear" w:color="auto" w:fill="auto"/>
            <w:noWrap/>
          </w:tcPr>
          <w:p w14:paraId="612714A3" w14:textId="77777777" w:rsidR="00882DE7" w:rsidRPr="002E63ED" w:rsidRDefault="00882DE7" w:rsidP="0096486F">
            <w:pPr>
              <w:spacing w:line="240" w:lineRule="auto"/>
              <w:contextualSpacing/>
              <w:jc w:val="center"/>
              <w:rPr>
                <w:sz w:val="19"/>
                <w:szCs w:val="19"/>
              </w:rPr>
            </w:pPr>
            <w:r w:rsidRPr="002E63ED">
              <w:rPr>
                <w:sz w:val="19"/>
                <w:szCs w:val="19"/>
              </w:rPr>
              <w:t>S34.02087</w:t>
            </w:r>
          </w:p>
        </w:tc>
        <w:tc>
          <w:tcPr>
            <w:tcW w:w="2098" w:type="dxa"/>
            <w:tcBorders>
              <w:left w:val="nil"/>
              <w:bottom w:val="nil"/>
              <w:right w:val="nil"/>
            </w:tcBorders>
            <w:shd w:val="clear" w:color="auto" w:fill="auto"/>
            <w:noWrap/>
          </w:tcPr>
          <w:p w14:paraId="334F8A61" w14:textId="77777777" w:rsidR="00882DE7" w:rsidRPr="002E63ED" w:rsidRDefault="00882DE7" w:rsidP="0096486F">
            <w:pPr>
              <w:spacing w:line="240" w:lineRule="auto"/>
              <w:contextualSpacing/>
              <w:jc w:val="center"/>
              <w:rPr>
                <w:sz w:val="19"/>
                <w:szCs w:val="19"/>
              </w:rPr>
            </w:pPr>
            <w:r w:rsidRPr="002E63ED">
              <w:rPr>
                <w:sz w:val="19"/>
                <w:szCs w:val="19"/>
              </w:rPr>
              <w:t>E139.69016</w:t>
            </w:r>
          </w:p>
        </w:tc>
      </w:tr>
      <w:tr w:rsidR="00A84425" w:rsidRPr="002E63ED" w14:paraId="5064A51D" w14:textId="77777777" w:rsidTr="00A84425">
        <w:trPr>
          <w:trHeight w:val="340"/>
        </w:trPr>
        <w:tc>
          <w:tcPr>
            <w:tcW w:w="1587" w:type="dxa"/>
            <w:tcBorders>
              <w:top w:val="nil"/>
              <w:left w:val="nil"/>
              <w:bottom w:val="nil"/>
              <w:right w:val="nil"/>
            </w:tcBorders>
            <w:vAlign w:val="center"/>
          </w:tcPr>
          <w:p w14:paraId="7DEA57D9" w14:textId="77777777" w:rsidR="00882DE7" w:rsidRPr="002E63ED" w:rsidRDefault="00882DE7" w:rsidP="0096486F">
            <w:pPr>
              <w:spacing w:line="240" w:lineRule="auto"/>
              <w:contextualSpacing/>
              <w:rPr>
                <w:sz w:val="19"/>
                <w:szCs w:val="19"/>
              </w:rPr>
            </w:pPr>
            <w:r w:rsidRPr="002E63ED">
              <w:rPr>
                <w:sz w:val="19"/>
                <w:szCs w:val="19"/>
              </w:rPr>
              <w:t>Gorge</w:t>
            </w:r>
          </w:p>
        </w:tc>
        <w:tc>
          <w:tcPr>
            <w:tcW w:w="2324" w:type="dxa"/>
            <w:tcBorders>
              <w:top w:val="nil"/>
              <w:left w:val="nil"/>
              <w:bottom w:val="nil"/>
              <w:right w:val="nil"/>
            </w:tcBorders>
            <w:shd w:val="clear" w:color="auto" w:fill="auto"/>
            <w:noWrap/>
            <w:vAlign w:val="center"/>
          </w:tcPr>
          <w:p w14:paraId="2239110D" w14:textId="77777777" w:rsidR="00882DE7" w:rsidRPr="002E63ED" w:rsidRDefault="00882DE7" w:rsidP="00A84425">
            <w:pPr>
              <w:spacing w:line="240" w:lineRule="auto"/>
              <w:contextualSpacing/>
              <w:jc w:val="center"/>
              <w:rPr>
                <w:sz w:val="19"/>
                <w:szCs w:val="19"/>
              </w:rPr>
            </w:pPr>
            <w:r w:rsidRPr="002E63ED">
              <w:rPr>
                <w:sz w:val="19"/>
                <w:szCs w:val="19"/>
              </w:rPr>
              <w:t>Scott Creek</w:t>
            </w:r>
          </w:p>
        </w:tc>
        <w:tc>
          <w:tcPr>
            <w:tcW w:w="1871" w:type="dxa"/>
            <w:tcBorders>
              <w:top w:val="nil"/>
              <w:left w:val="nil"/>
              <w:bottom w:val="nil"/>
              <w:right w:val="nil"/>
            </w:tcBorders>
            <w:shd w:val="clear" w:color="auto" w:fill="auto"/>
            <w:noWrap/>
          </w:tcPr>
          <w:p w14:paraId="024FE4E3" w14:textId="77777777" w:rsidR="00882DE7" w:rsidRPr="002E63ED" w:rsidRDefault="00882DE7" w:rsidP="0096486F">
            <w:pPr>
              <w:spacing w:line="240" w:lineRule="auto"/>
              <w:contextualSpacing/>
              <w:jc w:val="center"/>
              <w:rPr>
                <w:sz w:val="19"/>
                <w:szCs w:val="19"/>
              </w:rPr>
            </w:pPr>
            <w:r w:rsidRPr="002E63ED">
              <w:rPr>
                <w:sz w:val="19"/>
                <w:szCs w:val="19"/>
              </w:rPr>
              <w:t>S34.14839</w:t>
            </w:r>
          </w:p>
        </w:tc>
        <w:tc>
          <w:tcPr>
            <w:tcW w:w="2098" w:type="dxa"/>
            <w:tcBorders>
              <w:top w:val="nil"/>
              <w:left w:val="nil"/>
              <w:bottom w:val="nil"/>
              <w:right w:val="nil"/>
            </w:tcBorders>
            <w:shd w:val="clear" w:color="auto" w:fill="auto"/>
            <w:noWrap/>
          </w:tcPr>
          <w:p w14:paraId="4E0C7EAE" w14:textId="77777777" w:rsidR="00882DE7" w:rsidRPr="002E63ED" w:rsidRDefault="00882DE7" w:rsidP="0096486F">
            <w:pPr>
              <w:spacing w:line="240" w:lineRule="auto"/>
              <w:contextualSpacing/>
              <w:jc w:val="center"/>
              <w:rPr>
                <w:sz w:val="19"/>
                <w:szCs w:val="19"/>
              </w:rPr>
            </w:pPr>
            <w:r w:rsidRPr="002E63ED">
              <w:rPr>
                <w:sz w:val="19"/>
                <w:szCs w:val="19"/>
              </w:rPr>
              <w:t>E139.66095</w:t>
            </w:r>
          </w:p>
        </w:tc>
      </w:tr>
      <w:tr w:rsidR="00A84425" w:rsidRPr="002E63ED" w14:paraId="167EEDBA" w14:textId="77777777" w:rsidTr="00A84425">
        <w:trPr>
          <w:trHeight w:val="340"/>
        </w:trPr>
        <w:tc>
          <w:tcPr>
            <w:tcW w:w="1587" w:type="dxa"/>
            <w:tcBorders>
              <w:top w:val="nil"/>
              <w:left w:val="nil"/>
              <w:bottom w:val="nil"/>
              <w:right w:val="nil"/>
            </w:tcBorders>
            <w:vAlign w:val="center"/>
          </w:tcPr>
          <w:p w14:paraId="401F3A74" w14:textId="77777777" w:rsidR="00882DE7" w:rsidRPr="002E63ED" w:rsidRDefault="00882DE7" w:rsidP="0096486F">
            <w:pPr>
              <w:spacing w:line="240" w:lineRule="auto"/>
              <w:contextualSpacing/>
              <w:rPr>
                <w:sz w:val="19"/>
                <w:szCs w:val="19"/>
              </w:rPr>
            </w:pPr>
            <w:r w:rsidRPr="002E63ED">
              <w:rPr>
                <w:sz w:val="19"/>
                <w:szCs w:val="19"/>
              </w:rPr>
              <w:t>Gorge</w:t>
            </w:r>
          </w:p>
        </w:tc>
        <w:tc>
          <w:tcPr>
            <w:tcW w:w="2324" w:type="dxa"/>
            <w:tcBorders>
              <w:top w:val="nil"/>
              <w:left w:val="nil"/>
              <w:bottom w:val="nil"/>
              <w:right w:val="nil"/>
            </w:tcBorders>
            <w:shd w:val="clear" w:color="auto" w:fill="auto"/>
            <w:noWrap/>
            <w:vAlign w:val="center"/>
          </w:tcPr>
          <w:p w14:paraId="091243B8" w14:textId="77777777" w:rsidR="00882DE7" w:rsidRPr="002E63ED" w:rsidRDefault="00882DE7" w:rsidP="00A84425">
            <w:pPr>
              <w:spacing w:line="240" w:lineRule="auto"/>
              <w:contextualSpacing/>
              <w:jc w:val="center"/>
              <w:rPr>
                <w:sz w:val="19"/>
                <w:szCs w:val="19"/>
              </w:rPr>
            </w:pPr>
            <w:r w:rsidRPr="002E63ED">
              <w:rPr>
                <w:sz w:val="19"/>
                <w:szCs w:val="19"/>
              </w:rPr>
              <w:t>Blanchetown</w:t>
            </w:r>
          </w:p>
        </w:tc>
        <w:tc>
          <w:tcPr>
            <w:tcW w:w="1871" w:type="dxa"/>
            <w:tcBorders>
              <w:top w:val="nil"/>
              <w:left w:val="nil"/>
              <w:bottom w:val="nil"/>
              <w:right w:val="nil"/>
            </w:tcBorders>
            <w:shd w:val="clear" w:color="auto" w:fill="auto"/>
            <w:noWrap/>
          </w:tcPr>
          <w:p w14:paraId="1CBC9993" w14:textId="77777777" w:rsidR="00882DE7" w:rsidRPr="002E63ED" w:rsidRDefault="00882DE7" w:rsidP="0096486F">
            <w:pPr>
              <w:spacing w:line="240" w:lineRule="auto"/>
              <w:contextualSpacing/>
              <w:jc w:val="center"/>
              <w:rPr>
                <w:sz w:val="19"/>
                <w:szCs w:val="19"/>
              </w:rPr>
            </w:pPr>
            <w:r w:rsidRPr="002E63ED">
              <w:rPr>
                <w:sz w:val="19"/>
                <w:szCs w:val="19"/>
              </w:rPr>
              <w:t>S34.27104</w:t>
            </w:r>
          </w:p>
        </w:tc>
        <w:tc>
          <w:tcPr>
            <w:tcW w:w="2098" w:type="dxa"/>
            <w:tcBorders>
              <w:top w:val="nil"/>
              <w:left w:val="nil"/>
              <w:bottom w:val="nil"/>
              <w:right w:val="nil"/>
            </w:tcBorders>
            <w:shd w:val="clear" w:color="auto" w:fill="auto"/>
            <w:noWrap/>
          </w:tcPr>
          <w:p w14:paraId="0A5C6AEE" w14:textId="77777777" w:rsidR="00882DE7" w:rsidRPr="002E63ED" w:rsidRDefault="00882DE7" w:rsidP="0096486F">
            <w:pPr>
              <w:spacing w:line="240" w:lineRule="auto"/>
              <w:contextualSpacing/>
              <w:jc w:val="center"/>
              <w:rPr>
                <w:sz w:val="19"/>
                <w:szCs w:val="19"/>
              </w:rPr>
            </w:pPr>
            <w:r w:rsidRPr="002E63ED">
              <w:rPr>
                <w:sz w:val="19"/>
                <w:szCs w:val="19"/>
              </w:rPr>
              <w:t>E139.62602</w:t>
            </w:r>
          </w:p>
        </w:tc>
      </w:tr>
      <w:tr w:rsidR="00A84425" w:rsidRPr="002E63ED" w14:paraId="0BE59CFB" w14:textId="77777777" w:rsidTr="00A84425">
        <w:trPr>
          <w:trHeight w:val="340"/>
        </w:trPr>
        <w:tc>
          <w:tcPr>
            <w:tcW w:w="1587" w:type="dxa"/>
            <w:tcBorders>
              <w:top w:val="nil"/>
              <w:left w:val="nil"/>
              <w:right w:val="nil"/>
            </w:tcBorders>
            <w:vAlign w:val="center"/>
          </w:tcPr>
          <w:p w14:paraId="1E72B411" w14:textId="77777777" w:rsidR="00882DE7" w:rsidRPr="002E63ED" w:rsidRDefault="00882DE7" w:rsidP="0096486F">
            <w:pPr>
              <w:spacing w:line="240" w:lineRule="auto"/>
              <w:contextualSpacing/>
              <w:rPr>
                <w:sz w:val="19"/>
                <w:szCs w:val="19"/>
              </w:rPr>
            </w:pPr>
            <w:r w:rsidRPr="002E63ED">
              <w:rPr>
                <w:sz w:val="19"/>
                <w:szCs w:val="19"/>
              </w:rPr>
              <w:t>Gorge</w:t>
            </w:r>
          </w:p>
        </w:tc>
        <w:tc>
          <w:tcPr>
            <w:tcW w:w="2324" w:type="dxa"/>
            <w:tcBorders>
              <w:top w:val="nil"/>
              <w:left w:val="nil"/>
              <w:right w:val="nil"/>
            </w:tcBorders>
            <w:shd w:val="clear" w:color="auto" w:fill="auto"/>
            <w:noWrap/>
            <w:vAlign w:val="center"/>
          </w:tcPr>
          <w:p w14:paraId="3172AC32" w14:textId="77777777" w:rsidR="00882DE7" w:rsidRPr="002E63ED" w:rsidRDefault="00882DE7" w:rsidP="00A84425">
            <w:pPr>
              <w:spacing w:line="240" w:lineRule="auto"/>
              <w:contextualSpacing/>
              <w:jc w:val="center"/>
              <w:rPr>
                <w:sz w:val="19"/>
                <w:szCs w:val="19"/>
              </w:rPr>
            </w:pPr>
            <w:r w:rsidRPr="002E63ED">
              <w:rPr>
                <w:sz w:val="19"/>
                <w:szCs w:val="19"/>
              </w:rPr>
              <w:t>Swan Reach</w:t>
            </w:r>
          </w:p>
        </w:tc>
        <w:tc>
          <w:tcPr>
            <w:tcW w:w="1871" w:type="dxa"/>
            <w:tcBorders>
              <w:top w:val="nil"/>
              <w:left w:val="nil"/>
              <w:right w:val="nil"/>
            </w:tcBorders>
            <w:shd w:val="clear" w:color="auto" w:fill="auto"/>
            <w:noWrap/>
            <w:vAlign w:val="center"/>
          </w:tcPr>
          <w:p w14:paraId="1744C099" w14:textId="77777777" w:rsidR="00882DE7" w:rsidRPr="002E63ED" w:rsidRDefault="00882DE7" w:rsidP="0096486F">
            <w:pPr>
              <w:spacing w:line="240" w:lineRule="auto"/>
              <w:contextualSpacing/>
              <w:jc w:val="center"/>
              <w:rPr>
                <w:sz w:val="19"/>
                <w:szCs w:val="19"/>
              </w:rPr>
            </w:pPr>
            <w:r w:rsidRPr="002E63ED">
              <w:rPr>
                <w:sz w:val="19"/>
                <w:szCs w:val="19"/>
              </w:rPr>
              <w:t>S34.55317</w:t>
            </w:r>
          </w:p>
        </w:tc>
        <w:tc>
          <w:tcPr>
            <w:tcW w:w="2098" w:type="dxa"/>
            <w:tcBorders>
              <w:top w:val="nil"/>
              <w:left w:val="nil"/>
              <w:right w:val="nil"/>
            </w:tcBorders>
            <w:shd w:val="clear" w:color="auto" w:fill="auto"/>
            <w:noWrap/>
            <w:vAlign w:val="center"/>
          </w:tcPr>
          <w:p w14:paraId="439D7D88" w14:textId="77777777" w:rsidR="00882DE7" w:rsidRPr="002E63ED" w:rsidRDefault="00882DE7" w:rsidP="0096486F">
            <w:pPr>
              <w:spacing w:line="240" w:lineRule="auto"/>
              <w:contextualSpacing/>
              <w:jc w:val="center"/>
              <w:rPr>
                <w:sz w:val="19"/>
                <w:szCs w:val="19"/>
              </w:rPr>
            </w:pPr>
            <w:r w:rsidRPr="002E63ED">
              <w:rPr>
                <w:sz w:val="19"/>
                <w:szCs w:val="19"/>
              </w:rPr>
              <w:t>E139.60809</w:t>
            </w:r>
          </w:p>
        </w:tc>
      </w:tr>
      <w:tr w:rsidR="00A84425" w:rsidRPr="002E63ED" w14:paraId="3C1865B4" w14:textId="77777777" w:rsidTr="00A84425">
        <w:trPr>
          <w:trHeight w:val="340"/>
        </w:trPr>
        <w:tc>
          <w:tcPr>
            <w:tcW w:w="1587" w:type="dxa"/>
            <w:tcBorders>
              <w:top w:val="nil"/>
              <w:left w:val="nil"/>
              <w:bottom w:val="single" w:sz="4" w:space="0" w:color="auto"/>
              <w:right w:val="nil"/>
            </w:tcBorders>
            <w:vAlign w:val="center"/>
          </w:tcPr>
          <w:p w14:paraId="02C4031B" w14:textId="77777777" w:rsidR="00882DE7" w:rsidRPr="002E63ED" w:rsidRDefault="00882DE7" w:rsidP="0096486F">
            <w:pPr>
              <w:spacing w:line="240" w:lineRule="auto"/>
              <w:contextualSpacing/>
              <w:rPr>
                <w:sz w:val="19"/>
                <w:szCs w:val="19"/>
              </w:rPr>
            </w:pPr>
            <w:r w:rsidRPr="002E63ED">
              <w:rPr>
                <w:sz w:val="19"/>
                <w:szCs w:val="19"/>
              </w:rPr>
              <w:t>Gorge</w:t>
            </w:r>
          </w:p>
        </w:tc>
        <w:tc>
          <w:tcPr>
            <w:tcW w:w="2324" w:type="dxa"/>
            <w:tcBorders>
              <w:top w:val="nil"/>
              <w:left w:val="nil"/>
              <w:bottom w:val="single" w:sz="4" w:space="0" w:color="auto"/>
              <w:right w:val="nil"/>
            </w:tcBorders>
            <w:shd w:val="clear" w:color="auto" w:fill="auto"/>
            <w:noWrap/>
            <w:vAlign w:val="center"/>
          </w:tcPr>
          <w:p w14:paraId="34B7E5F2" w14:textId="77777777" w:rsidR="00882DE7" w:rsidRPr="002E63ED" w:rsidRDefault="00882DE7" w:rsidP="00A84425">
            <w:pPr>
              <w:spacing w:line="240" w:lineRule="auto"/>
              <w:contextualSpacing/>
              <w:jc w:val="center"/>
              <w:rPr>
                <w:sz w:val="19"/>
                <w:szCs w:val="19"/>
              </w:rPr>
            </w:pPr>
            <w:r w:rsidRPr="002E63ED">
              <w:rPr>
                <w:sz w:val="19"/>
                <w:szCs w:val="19"/>
              </w:rPr>
              <w:t>Caurnamont</w:t>
            </w:r>
          </w:p>
        </w:tc>
        <w:tc>
          <w:tcPr>
            <w:tcW w:w="1871" w:type="dxa"/>
            <w:tcBorders>
              <w:top w:val="nil"/>
              <w:left w:val="nil"/>
              <w:bottom w:val="single" w:sz="4" w:space="0" w:color="auto"/>
              <w:right w:val="nil"/>
            </w:tcBorders>
            <w:shd w:val="clear" w:color="auto" w:fill="auto"/>
            <w:noWrap/>
            <w:vAlign w:val="center"/>
          </w:tcPr>
          <w:p w14:paraId="0DFD452B" w14:textId="77777777" w:rsidR="00882DE7" w:rsidRPr="002E63ED" w:rsidRDefault="00882DE7" w:rsidP="0096486F">
            <w:pPr>
              <w:spacing w:line="240" w:lineRule="auto"/>
              <w:contextualSpacing/>
              <w:jc w:val="center"/>
              <w:rPr>
                <w:sz w:val="19"/>
                <w:szCs w:val="19"/>
              </w:rPr>
            </w:pPr>
            <w:r w:rsidRPr="002E63ED">
              <w:rPr>
                <w:sz w:val="19"/>
                <w:szCs w:val="19"/>
              </w:rPr>
              <w:t>S34.83723</w:t>
            </w:r>
          </w:p>
        </w:tc>
        <w:tc>
          <w:tcPr>
            <w:tcW w:w="2098" w:type="dxa"/>
            <w:tcBorders>
              <w:top w:val="nil"/>
              <w:left w:val="nil"/>
              <w:bottom w:val="single" w:sz="4" w:space="0" w:color="auto"/>
              <w:right w:val="nil"/>
            </w:tcBorders>
            <w:shd w:val="clear" w:color="auto" w:fill="auto"/>
            <w:noWrap/>
            <w:vAlign w:val="center"/>
          </w:tcPr>
          <w:p w14:paraId="48533B57" w14:textId="77777777" w:rsidR="00882DE7" w:rsidRPr="002E63ED" w:rsidRDefault="00882DE7" w:rsidP="0096486F">
            <w:pPr>
              <w:spacing w:line="240" w:lineRule="auto"/>
              <w:contextualSpacing/>
              <w:jc w:val="center"/>
              <w:rPr>
                <w:sz w:val="19"/>
                <w:szCs w:val="19"/>
              </w:rPr>
            </w:pPr>
            <w:r w:rsidRPr="002E63ED">
              <w:rPr>
                <w:sz w:val="19"/>
                <w:szCs w:val="19"/>
              </w:rPr>
              <w:t>E139.57341</w:t>
            </w:r>
          </w:p>
        </w:tc>
      </w:tr>
    </w:tbl>
    <w:p w14:paraId="1EA26BF1" w14:textId="77777777" w:rsidR="00002794" w:rsidRPr="00B61C7B" w:rsidRDefault="00002794" w:rsidP="00002794">
      <w:pPr>
        <w:spacing w:before="0" w:after="200" w:line="276" w:lineRule="auto"/>
        <w:rPr>
          <w:b/>
          <w:color w:val="1F497D" w:themeColor="text2"/>
          <w:sz w:val="26"/>
          <w:szCs w:val="26"/>
        </w:rPr>
      </w:pPr>
      <w:r w:rsidRPr="00B61C7B">
        <w:rPr>
          <w:b/>
          <w:color w:val="1F497D" w:themeColor="text2"/>
          <w:sz w:val="26"/>
          <w:szCs w:val="26"/>
        </w:rPr>
        <w:lastRenderedPageBreak/>
        <w:t>Methods</w:t>
      </w:r>
    </w:p>
    <w:p w14:paraId="5813B1AC" w14:textId="77777777" w:rsidR="00002794" w:rsidRPr="00B61C7B" w:rsidRDefault="00002794" w:rsidP="00002794">
      <w:pPr>
        <w:spacing w:before="0" w:after="200" w:line="276" w:lineRule="auto"/>
        <w:rPr>
          <w:b/>
          <w:i/>
          <w:color w:val="1F497D" w:themeColor="text2"/>
          <w:sz w:val="24"/>
          <w:szCs w:val="24"/>
        </w:rPr>
      </w:pPr>
      <w:r w:rsidRPr="00B61C7B">
        <w:rPr>
          <w:b/>
          <w:i/>
          <w:color w:val="1F497D" w:themeColor="text2"/>
          <w:sz w:val="24"/>
          <w:szCs w:val="24"/>
        </w:rPr>
        <w:t xml:space="preserve">Analysis of water </w:t>
      </w:r>
      <w:r w:rsidRPr="00B61C7B">
        <w:rPr>
          <w:b/>
          <w:i/>
          <w:color w:val="1F497D" w:themeColor="text2"/>
          <w:sz w:val="24"/>
          <w:szCs w:val="24"/>
          <w:vertAlign w:val="superscript"/>
        </w:rPr>
        <w:t>87</w:t>
      </w:r>
      <w:r w:rsidRPr="00B61C7B">
        <w:rPr>
          <w:b/>
          <w:i/>
          <w:color w:val="1F497D" w:themeColor="text2"/>
          <w:sz w:val="24"/>
          <w:szCs w:val="24"/>
        </w:rPr>
        <w:t>Sr/</w:t>
      </w:r>
      <w:r w:rsidRPr="00B61C7B">
        <w:rPr>
          <w:b/>
          <w:i/>
          <w:color w:val="1F497D" w:themeColor="text2"/>
          <w:sz w:val="24"/>
          <w:szCs w:val="24"/>
          <w:vertAlign w:val="superscript"/>
        </w:rPr>
        <w:t>86</w:t>
      </w:r>
      <w:r w:rsidRPr="00B61C7B">
        <w:rPr>
          <w:b/>
          <w:i/>
          <w:color w:val="1F497D" w:themeColor="text2"/>
          <w:sz w:val="24"/>
          <w:szCs w:val="24"/>
        </w:rPr>
        <w:t>Sr at sites across the southern MDB</w:t>
      </w:r>
    </w:p>
    <w:p w14:paraId="071D6E81" w14:textId="77777777" w:rsidR="003D1F08" w:rsidRPr="003D1F08" w:rsidRDefault="003D1F08" w:rsidP="003D1F08">
      <w:pPr>
        <w:rPr>
          <w:color w:val="auto"/>
        </w:rPr>
      </w:pPr>
      <w:r w:rsidRPr="003D1F08">
        <w:rPr>
          <w:color w:val="auto"/>
        </w:rPr>
        <w:t xml:space="preserve">Immediately after sampling, river water samples for Sr isotope work (unfiltered, not acidified) were refrigerated and transferred to the University of Melbourne. An aliquot (20 ml) of each sample was filtered through a pre-contaminated 0.25 µm Acrodisc syringe-mounted filter into a clean beaker, weighed, mixed with pure </w:t>
      </w:r>
      <w:r w:rsidRPr="003D1F08">
        <w:rPr>
          <w:color w:val="auto"/>
          <w:vertAlign w:val="superscript"/>
        </w:rPr>
        <w:t>84</w:t>
      </w:r>
      <w:r w:rsidRPr="003D1F08">
        <w:rPr>
          <w:color w:val="auto"/>
        </w:rPr>
        <w:t xml:space="preserve">Sr spike and dried overnight in a HEPA-filtered fume cupboard. Filtering in the laboratory rather than in the field simplifies sampling and avoids contamination problems. Tests with waters for which both field-filtered and laboratory-filtered splits were available showed no difference in dissolved </w:t>
      </w:r>
      <w:r w:rsidRPr="003D1F08">
        <w:rPr>
          <w:color w:val="auto"/>
          <w:vertAlign w:val="superscript"/>
        </w:rPr>
        <w:t>87</w:t>
      </w:r>
      <w:r w:rsidRPr="003D1F08">
        <w:rPr>
          <w:color w:val="auto"/>
        </w:rPr>
        <w:t>Sr/</w:t>
      </w:r>
      <w:r w:rsidRPr="003D1F08">
        <w:rPr>
          <w:color w:val="auto"/>
          <w:vertAlign w:val="superscript"/>
        </w:rPr>
        <w:t>86</w:t>
      </w:r>
      <w:r w:rsidRPr="003D1F08">
        <w:rPr>
          <w:color w:val="auto"/>
        </w:rPr>
        <w:t>Sr even after periods of several months between collection and laboratory filtering. This is consistent with the findings of Palmer and Edmond (1989).</w:t>
      </w:r>
    </w:p>
    <w:p w14:paraId="0F24FF64" w14:textId="076944A8" w:rsidR="003D1F08" w:rsidRPr="003D1F08" w:rsidRDefault="003D1F08" w:rsidP="003D1F08">
      <w:pPr>
        <w:rPr>
          <w:color w:val="auto"/>
        </w:rPr>
      </w:pPr>
      <w:r w:rsidRPr="003D1F08">
        <w:rPr>
          <w:color w:val="auto"/>
        </w:rPr>
        <w:t xml:space="preserve">Strontium was extracted from filtered water samples using a single pass over a small (0.15 ml) bed of EICHROM Sr resin (50–100 µm). Following Pin </w:t>
      </w:r>
      <w:r w:rsidRPr="003D1F08">
        <w:rPr>
          <w:i/>
          <w:color w:val="auto"/>
        </w:rPr>
        <w:t>et al</w:t>
      </w:r>
      <w:r w:rsidRPr="003D1F08">
        <w:rPr>
          <w:color w:val="auto"/>
        </w:rPr>
        <w:t xml:space="preserve">. (1994), samples were loaded in 2M nitric acid, followed by removal of matrix elements from the resin with 2M and 7M nitric acid, and collection of a Sr fraction in 0.05M nitric acid. The total blank, including syringe-filtering, is ≤0.1 ng, implying sample to blank ratios of ≥4000; blank corrections were therefore insignificant. Strontium isotope ratios were measured on a “Nu Plasma” multi-collector inductively coupled plasma mass spectrometer (MC-ICPMS, Nu Instruments, Wrexham, UK), with sample uptake via an ARIDUS desolvating nebulizer. Instrumental mass bias was corrected by normalising to </w:t>
      </w:r>
      <w:r w:rsidRPr="003D1F08">
        <w:rPr>
          <w:color w:val="auto"/>
          <w:vertAlign w:val="superscript"/>
        </w:rPr>
        <w:t>88</w:t>
      </w:r>
      <w:r w:rsidRPr="003D1F08">
        <w:rPr>
          <w:color w:val="auto"/>
        </w:rPr>
        <w:t>Sr/</w:t>
      </w:r>
      <w:r w:rsidRPr="003D1F08">
        <w:rPr>
          <w:color w:val="auto"/>
          <w:vertAlign w:val="superscript"/>
        </w:rPr>
        <w:t>86</w:t>
      </w:r>
      <w:r w:rsidRPr="003D1F08">
        <w:rPr>
          <w:color w:val="auto"/>
        </w:rPr>
        <w:t xml:space="preserve">Sr=8.37521 using the exponential law as part of an on-line iterative spike-stripping/internal normalisation procedure, and </w:t>
      </w:r>
      <w:r w:rsidRPr="003D1F08">
        <w:rPr>
          <w:color w:val="auto"/>
          <w:vertAlign w:val="superscript"/>
        </w:rPr>
        <w:t>87</w:t>
      </w:r>
      <w:r w:rsidRPr="003D1F08">
        <w:rPr>
          <w:color w:val="auto"/>
        </w:rPr>
        <w:t>Sr/</w:t>
      </w:r>
      <w:r w:rsidRPr="003D1F08">
        <w:rPr>
          <w:color w:val="auto"/>
          <w:vertAlign w:val="superscript"/>
        </w:rPr>
        <w:t>86</w:t>
      </w:r>
      <w:r w:rsidRPr="003D1F08">
        <w:rPr>
          <w:color w:val="auto"/>
        </w:rPr>
        <w:t>Sr results reported relative to a ratio of 0.710230 for the SRM987 Sr isotope standard. A typical analysis (at least 30 ten-second integrations) has an internal within-run precision of 0.000020 (±2se) while the external precision of the data is ±0.000040 (2sd). The rock standards BCR-2 and BHVO-2 average 0.704996±51 (2sd) and 0.703454±43 (2sd), respectively, while modern seawater Sr (coral EN-1 from Enewetak Atoll) averages 0.709155±37 (2sd); all results are consistent with published TIMS and MC-ICPMS reference data.</w:t>
      </w:r>
    </w:p>
    <w:p w14:paraId="22690833" w14:textId="11C2265F" w:rsidR="00002794" w:rsidRPr="00B61C7B" w:rsidRDefault="00002794" w:rsidP="00002794">
      <w:pPr>
        <w:spacing w:before="0" w:after="200" w:line="276" w:lineRule="auto"/>
        <w:rPr>
          <w:b/>
          <w:i/>
          <w:color w:val="1F497D" w:themeColor="text2"/>
          <w:sz w:val="24"/>
          <w:szCs w:val="24"/>
        </w:rPr>
      </w:pPr>
      <w:r w:rsidRPr="00B61C7B">
        <w:rPr>
          <w:b/>
          <w:i/>
          <w:color w:val="1F497D" w:themeColor="text2"/>
          <w:sz w:val="24"/>
          <w:szCs w:val="24"/>
        </w:rPr>
        <w:t>Sampling eggs and larvae</w:t>
      </w:r>
    </w:p>
    <w:p w14:paraId="37EBB628" w14:textId="7FD52E23" w:rsidR="006F4CBC" w:rsidRPr="008244EA" w:rsidRDefault="006F4CBC" w:rsidP="006F4CBC">
      <w:r w:rsidRPr="008244EA">
        <w:t xml:space="preserve">Larval fish sampling was conducted approximately fortnightly between 6 October 2015 and 21 January 2016. Three day-time and three night-time plankton tows were </w:t>
      </w:r>
      <w:r w:rsidRPr="008244EA">
        <w:lastRenderedPageBreak/>
        <w:t xml:space="preserve">undertaken on the same day at sites 5 km </w:t>
      </w:r>
      <w:r w:rsidR="009F6005">
        <w:t>below</w:t>
      </w:r>
      <w:r w:rsidRPr="008244EA">
        <w:t xml:space="preserve"> each lock, while one day-time plankton tow was undertaken at all other sites (Table </w:t>
      </w:r>
      <w:r w:rsidR="007E5224">
        <w:t>H2</w:t>
      </w:r>
      <w:r w:rsidRPr="008244EA">
        <w:t>). For each sampling trip, sites were sampled within a two-day period. Plankton tows were conducted using a pair of square-framed bongo nets with 500 µm mesh; each net was 0.5 x 0.5 m and 3 m long (Figure H2). The volume of water (m</w:t>
      </w:r>
      <w:r w:rsidRPr="008244EA">
        <w:rPr>
          <w:vertAlign w:val="superscript"/>
        </w:rPr>
        <w:t>3</w:t>
      </w:r>
      <w:r w:rsidRPr="008244EA">
        <w:t>) filtered through each net was determined using a calibrated flow meter (General Oceanics™, model 2030R) placed in the centre of the mouth openings. Fish in all samples were preserved (70-95% ethanol) in the field and returned to the laboratory for processing. Samples were sorted using a dissecting microscope. Larvae and eggs were identified, and where possible, classified as pre-flexion (i.e. early stage larvae with notochord predominately straight) or post-flexion (i.e. the start of upward flexion of the notochord and appearance of fin rays and fin fold) following Serafini and Humphries (2004).</w:t>
      </w:r>
    </w:p>
    <w:p w14:paraId="435143B2" w14:textId="6046D12B" w:rsidR="00002794" w:rsidRPr="00B61C7B" w:rsidRDefault="00002794" w:rsidP="00002794">
      <w:pPr>
        <w:spacing w:before="0" w:after="200" w:line="276" w:lineRule="auto"/>
        <w:rPr>
          <w:b/>
          <w:i/>
          <w:sz w:val="24"/>
          <w:szCs w:val="24"/>
        </w:rPr>
      </w:pPr>
      <w:r w:rsidRPr="00B61C7B">
        <w:rPr>
          <w:b/>
          <w:i/>
          <w:color w:val="1F497D" w:themeColor="text2"/>
          <w:sz w:val="24"/>
          <w:szCs w:val="24"/>
        </w:rPr>
        <w:t xml:space="preserve">Sampling </w:t>
      </w:r>
      <w:r w:rsidR="00600087">
        <w:rPr>
          <w:b/>
          <w:i/>
          <w:color w:val="1F497D" w:themeColor="text2"/>
          <w:sz w:val="24"/>
          <w:szCs w:val="24"/>
        </w:rPr>
        <w:t>YOY</w:t>
      </w:r>
      <w:r w:rsidRPr="00B61C7B">
        <w:rPr>
          <w:b/>
          <w:i/>
          <w:color w:val="1F497D" w:themeColor="text2"/>
          <w:sz w:val="24"/>
          <w:szCs w:val="24"/>
        </w:rPr>
        <w:t xml:space="preserve"> and population age-structure</w:t>
      </w:r>
    </w:p>
    <w:p w14:paraId="08E50231" w14:textId="3938AD7C" w:rsidR="006F4CBC" w:rsidRPr="00285A61" w:rsidRDefault="006F4CBC" w:rsidP="006F4CBC">
      <w:pPr>
        <w:rPr>
          <w:highlight w:val="yellow"/>
        </w:rPr>
      </w:pPr>
      <w:r w:rsidRPr="00245958">
        <w:t xml:space="preserve">Adult and juvenile golden perch </w:t>
      </w:r>
      <w:r w:rsidR="00921E04">
        <w:t xml:space="preserve">(and silver perch) </w:t>
      </w:r>
      <w:r w:rsidRPr="00245958">
        <w:t>were sampled by boat electrofishing using a 7.5 kW Smith Root (Model GPP 7.5) electrofishing unit (Figure H3). Sampling was undertaken in April 2016 to maximise the chance of collecting YOY spawned in the spring–summer 2015/16 spawning season.</w:t>
      </w:r>
      <w:bookmarkStart w:id="195" w:name="_Toc396249016"/>
      <w:r w:rsidRPr="00245958">
        <w:t xml:space="preserve"> Electrofishing was conducted during daylight hours and all available littoral habitats were fished. At each site the total time during which electrical </w:t>
      </w:r>
      <w:r w:rsidRPr="009E5D8E">
        <w:t xml:space="preserve">current was applied ranged from approximately 879 to 2880 seconds. All individuals were measured to the nearest mm (total length, TL) and a </w:t>
      </w:r>
      <w:bookmarkEnd w:id="195"/>
      <w:r w:rsidR="00503BAA">
        <w:t>subsample of golden perch</w:t>
      </w:r>
      <w:r w:rsidRPr="009E5D8E">
        <w:t xml:space="preserve"> (</w:t>
      </w:r>
      <w:r w:rsidRPr="009E5D8E">
        <w:rPr>
          <w:i/>
        </w:rPr>
        <w:t>n =</w:t>
      </w:r>
      <w:r w:rsidRPr="009E5D8E">
        <w:t xml:space="preserve"> </w:t>
      </w:r>
      <w:r>
        <w:t>55</w:t>
      </w:r>
      <w:r w:rsidRPr="009E5D8E">
        <w:t>–</w:t>
      </w:r>
      <w:r>
        <w:t>74</w:t>
      </w:r>
      <w:r w:rsidRPr="009E5D8E">
        <w:t>) proportionally</w:t>
      </w:r>
      <w:r w:rsidRPr="00245958">
        <w:t xml:space="preserve"> representing the length-frequency of golden perch collected from the gorge and floodplain geomorphic zones of the LMR Selected Area was retained for ageing. </w:t>
      </w:r>
      <w:r w:rsidR="00503BAA">
        <w:t>A</w:t>
      </w:r>
      <w:r w:rsidR="006C1254">
        <w:t>ll</w:t>
      </w:r>
      <w:r w:rsidR="00503BAA">
        <w:t xml:space="preserve"> silver perch (</w:t>
      </w:r>
      <w:r w:rsidR="00503BAA" w:rsidRPr="00503BAA">
        <w:rPr>
          <w:i/>
        </w:rPr>
        <w:t>n</w:t>
      </w:r>
      <w:r w:rsidR="00503BAA">
        <w:t xml:space="preserve"> = 9) </w:t>
      </w:r>
      <w:r w:rsidR="00503BAA" w:rsidRPr="00245958">
        <w:t xml:space="preserve">collected from </w:t>
      </w:r>
      <w:r w:rsidR="00503BAA">
        <w:t>floodplain geomorphic zone</w:t>
      </w:r>
      <w:r w:rsidR="006C1254">
        <w:t xml:space="preserve"> were</w:t>
      </w:r>
      <w:r w:rsidR="00503BAA" w:rsidRPr="00245958">
        <w:t xml:space="preserve"> retained for ageing</w:t>
      </w:r>
      <w:r w:rsidR="00503BAA">
        <w:t>.</w:t>
      </w:r>
    </w:p>
    <w:p w14:paraId="2E071F37" w14:textId="77777777" w:rsidR="00002794" w:rsidRPr="00B61C7B" w:rsidRDefault="00002794" w:rsidP="00002794">
      <w:pPr>
        <w:spacing w:before="0" w:after="200" w:line="276" w:lineRule="auto"/>
        <w:rPr>
          <w:b/>
          <w:i/>
          <w:color w:val="1F497D" w:themeColor="text2"/>
          <w:sz w:val="24"/>
          <w:szCs w:val="24"/>
        </w:rPr>
      </w:pPr>
      <w:r w:rsidRPr="00B61C7B">
        <w:rPr>
          <w:b/>
          <w:i/>
          <w:color w:val="1F497D" w:themeColor="text2"/>
          <w:sz w:val="24"/>
          <w:szCs w:val="24"/>
        </w:rPr>
        <w:t>Ageing</w:t>
      </w:r>
    </w:p>
    <w:p w14:paraId="62453CB2" w14:textId="77777777" w:rsidR="00002794" w:rsidRPr="00F878B2" w:rsidRDefault="00002794" w:rsidP="00002794">
      <w:pPr>
        <w:spacing w:before="0" w:after="200" w:line="276" w:lineRule="auto"/>
        <w:rPr>
          <w:i/>
          <w:color w:val="auto"/>
          <w:sz w:val="24"/>
          <w:szCs w:val="24"/>
          <w:u w:val="single"/>
        </w:rPr>
      </w:pPr>
      <w:r w:rsidRPr="00F878B2">
        <w:rPr>
          <w:i/>
          <w:color w:val="auto"/>
          <w:sz w:val="24"/>
          <w:szCs w:val="24"/>
          <w:u w:val="single"/>
        </w:rPr>
        <w:t>Larvae and YOY</w:t>
      </w:r>
    </w:p>
    <w:p w14:paraId="0B323406" w14:textId="78880282" w:rsidR="00F0407E" w:rsidRPr="00B13A75" w:rsidRDefault="0051130A" w:rsidP="00F0407E">
      <w:r w:rsidRPr="00253FC5">
        <w:t>To estimate the spawn date of larval and YOY golden perch</w:t>
      </w:r>
      <w:r>
        <w:t xml:space="preserve"> and silver perch</w:t>
      </w:r>
      <w:r w:rsidRPr="00253FC5">
        <w:t>, daily increment counts in otolith microstructure were examined</w:t>
      </w:r>
      <w:r>
        <w:t xml:space="preserve">. </w:t>
      </w:r>
      <w:r w:rsidRPr="00253FC5">
        <w:t xml:space="preserve"> </w:t>
      </w:r>
      <w:r w:rsidR="001064C4">
        <w:t>L</w:t>
      </w:r>
      <w:r w:rsidR="00F0407E" w:rsidRPr="00B13A75">
        <w:t>arvae/juveniles were measured to the nearest millimetre and sagittal otoliths were removed. Otoliths were mounted individually in Crystalbond</w:t>
      </w:r>
      <w:r w:rsidR="00F0407E" w:rsidRPr="00B13A75">
        <w:rPr>
          <w:vertAlign w:val="superscript"/>
        </w:rPr>
        <w:t>TM</w:t>
      </w:r>
      <w:r w:rsidR="00F0407E" w:rsidRPr="00B13A75">
        <w:t xml:space="preserve">, proximal surface downwards, and polished </w:t>
      </w:r>
      <w:r w:rsidR="00F0407E" w:rsidRPr="00B13A75">
        <w:lastRenderedPageBreak/>
        <w:t>down to the primordium using a graded series of wetted lapping films (</w:t>
      </w:r>
      <w:r w:rsidR="00602DB7">
        <w:t xml:space="preserve">15, 9 and </w:t>
      </w:r>
      <w:r w:rsidR="003D1F08">
        <w:t>3 </w:t>
      </w:r>
      <w:r w:rsidR="003D1F08">
        <w:rPr>
          <w:rFonts w:ascii="Symbol" w:hAnsi="Symbol"/>
        </w:rPr>
        <w:t></w:t>
      </w:r>
      <w:r w:rsidR="003D1F08" w:rsidRPr="00B13A75">
        <w:t>m</w:t>
      </w:r>
      <w:r w:rsidR="00F0407E" w:rsidRPr="00B13A75">
        <w:t>). Sections were then polished using 0.3 µm alu</w:t>
      </w:r>
      <w:r w:rsidR="00602DB7">
        <w:t>mina slurry to a thickness of 40–8</w:t>
      </w:r>
      <w:r w:rsidR="00F0407E" w:rsidRPr="00B13A75">
        <w:t>0 µm.</w:t>
      </w:r>
    </w:p>
    <w:p w14:paraId="64719DB5" w14:textId="324D9BDA" w:rsidR="00F11FE0" w:rsidRPr="00253FC5" w:rsidRDefault="00F0407E" w:rsidP="00F0407E">
      <w:r w:rsidRPr="00B13A75">
        <w:t xml:space="preserve">Sections were examined using a compound microscope (x 600) fitted with a digital camera and </w:t>
      </w:r>
      <w:r w:rsidR="00E35600">
        <w:t>Olympus Stream</w:t>
      </w:r>
      <w:r w:rsidRPr="00B13A75">
        <w:t xml:space="preserve"> image analysis software </w:t>
      </w:r>
      <w:r w:rsidR="00E35600" w:rsidRPr="00B13A75">
        <w:t xml:space="preserve">(version </w:t>
      </w:r>
      <w:r w:rsidR="00E35600">
        <w:t>1.9.1</w:t>
      </w:r>
      <w:r w:rsidR="00E35600" w:rsidRPr="00B13A75">
        <w:t xml:space="preserve">, </w:t>
      </w:r>
      <w:r w:rsidR="00E35600">
        <w:t>Olympus Corporation,</w:t>
      </w:r>
      <w:r w:rsidR="00E35600" w:rsidRPr="00B13A75">
        <w:t xml:space="preserve"> </w:t>
      </w:r>
      <w:r w:rsidR="00E35600">
        <w:t>Munster</w:t>
      </w:r>
      <w:r w:rsidR="00E35600" w:rsidRPr="00B13A75">
        <w:t xml:space="preserve">, </w:t>
      </w:r>
      <w:r w:rsidR="00E35600">
        <w:t>Germany</w:t>
      </w:r>
      <w:r w:rsidR="00E35600" w:rsidRPr="00B13A75">
        <w:t>)</w:t>
      </w:r>
      <w:r w:rsidRPr="00B13A75">
        <w:t>. Increments were counted blind with respect to fish length and capture date. Estimates of age were determined by counting the number of increments from the primordium to the otolith edge (Figure H3). Three successive counts were made by two readers for one otolith from each fish. If these differed by more than 10%, or differed by more than 3 days in the case of very young fish (&lt;30 days), the otolith was rejected, but if not, the mean was used as an estimate of the number of increments. Increment counts were considered to represent true age of larval and juvenile golden perch (Brown and Wooden 2007) and spawn dates were determined by subtracting the estimated age from the capture date (Zampatti and Leigh 2013a; 2013b).</w:t>
      </w:r>
    </w:p>
    <w:p w14:paraId="75BC2030" w14:textId="77777777" w:rsidR="00002794" w:rsidRPr="00F878B2" w:rsidRDefault="00002794" w:rsidP="00002794">
      <w:pPr>
        <w:spacing w:before="0" w:after="200" w:line="276" w:lineRule="auto"/>
        <w:rPr>
          <w:i/>
          <w:color w:val="auto"/>
          <w:sz w:val="24"/>
          <w:szCs w:val="24"/>
          <w:u w:val="single"/>
        </w:rPr>
      </w:pPr>
      <w:r w:rsidRPr="00F878B2">
        <w:rPr>
          <w:i/>
          <w:color w:val="auto"/>
          <w:sz w:val="24"/>
          <w:szCs w:val="24"/>
          <w:u w:val="single"/>
        </w:rPr>
        <w:t>Juveniles and adults</w:t>
      </w:r>
    </w:p>
    <w:p w14:paraId="5203DFA9" w14:textId="2DEF032B" w:rsidR="00F0407E" w:rsidRPr="00B13A75" w:rsidRDefault="00F0407E" w:rsidP="00F0407E">
      <w:r w:rsidRPr="00B13A75">
        <w:t xml:space="preserve">Golden perch exhibit considerable variation in length-at-age in the MDB (Anderson </w:t>
      </w:r>
      <w:r w:rsidRPr="00B13A75">
        <w:rPr>
          <w:i/>
          <w:iCs/>
        </w:rPr>
        <w:t>et al.</w:t>
      </w:r>
      <w:r w:rsidRPr="00B13A75">
        <w:t xml:space="preserve"> 1992). Therefore to accurately assess the age structure and year-class strength of golden perch</w:t>
      </w:r>
      <w:r w:rsidR="001064C4">
        <w:t xml:space="preserve"> (and silver perch)</w:t>
      </w:r>
      <w:r w:rsidRPr="00B13A75">
        <w:t xml:space="preserve">, we investigated both length and age-frequency distributions. </w:t>
      </w:r>
      <w:r w:rsidR="001064C4">
        <w:t>Golden perch (</w:t>
      </w:r>
      <w:r w:rsidR="001064C4" w:rsidRPr="001064C4">
        <w:rPr>
          <w:i/>
        </w:rPr>
        <w:t>n</w:t>
      </w:r>
      <w:r w:rsidR="001064C4">
        <w:t xml:space="preserve"> = </w:t>
      </w:r>
      <w:r w:rsidR="00503BAA">
        <w:t>129</w:t>
      </w:r>
      <w:r w:rsidR="001064C4">
        <w:t xml:space="preserve">) and </w:t>
      </w:r>
      <w:r w:rsidR="001064C4" w:rsidRPr="00FC460A">
        <w:t>silver perch (</w:t>
      </w:r>
      <w:r w:rsidR="001064C4" w:rsidRPr="00FC460A">
        <w:rPr>
          <w:i/>
        </w:rPr>
        <w:t>n</w:t>
      </w:r>
      <w:r w:rsidR="001064C4" w:rsidRPr="00FC460A">
        <w:t xml:space="preserve"> = </w:t>
      </w:r>
      <w:r w:rsidR="00FC460A" w:rsidRPr="00FC460A">
        <w:t>9</w:t>
      </w:r>
      <w:r w:rsidR="001064C4" w:rsidRPr="00FC460A">
        <w:t>)</w:t>
      </w:r>
      <w:r w:rsidRPr="00FC460A">
        <w:t xml:space="preserve"> retained</w:t>
      </w:r>
      <w:r w:rsidRPr="00B13A75">
        <w:t xml:space="preserve"> for </w:t>
      </w:r>
      <w:r w:rsidR="001064C4">
        <w:t xml:space="preserve">ageing </w:t>
      </w:r>
      <w:r w:rsidRPr="0097590E">
        <w:t>were</w:t>
      </w:r>
      <w:r w:rsidRPr="00B13A75">
        <w:t xml:space="preserve"> euthanized and sagittal otoliths were removed. Whole otoliths were embedded in clear casting resin and a single 400 to 600 </w:t>
      </w:r>
      <w:r w:rsidRPr="00B13A75">
        <w:sym w:font="Symbol" w:char="F06D"/>
      </w:r>
      <w:r w:rsidRPr="00B13A75">
        <w:t>m transverse section was prepared. Sections were examined using a dissecting microscope (x 25) under transmitted light. Estimates of age were determined independently by three readers by counting the number of discernible opaque zones (annuli) from the primordium to the otolith edge. YOY (&lt;1 year old) fish were defined as individuals lacking clearly discernible annuli.</w:t>
      </w:r>
    </w:p>
    <w:p w14:paraId="226A311B" w14:textId="79A82F55" w:rsidR="00002794" w:rsidRPr="00B61C7B" w:rsidRDefault="00F0407E" w:rsidP="00002794">
      <w:pPr>
        <w:spacing w:before="0" w:after="200" w:line="276" w:lineRule="auto"/>
        <w:rPr>
          <w:b/>
          <w:i/>
          <w:color w:val="1F497D" w:themeColor="text2"/>
          <w:sz w:val="24"/>
          <w:szCs w:val="24"/>
        </w:rPr>
      </w:pPr>
      <w:r>
        <w:rPr>
          <w:b/>
          <w:i/>
          <w:color w:val="1F497D" w:themeColor="text2"/>
          <w:sz w:val="24"/>
          <w:szCs w:val="24"/>
        </w:rPr>
        <w:t xml:space="preserve">Otolith </w:t>
      </w:r>
      <w:r w:rsidR="00002794" w:rsidRPr="00F0407E">
        <w:rPr>
          <w:b/>
          <w:i/>
          <w:color w:val="1F497D" w:themeColor="text2"/>
          <w:sz w:val="24"/>
          <w:szCs w:val="24"/>
          <w:vertAlign w:val="superscript"/>
        </w:rPr>
        <w:t>87</w:t>
      </w:r>
      <w:r w:rsidR="00002794" w:rsidRPr="00B61C7B">
        <w:rPr>
          <w:b/>
          <w:i/>
          <w:color w:val="1F497D" w:themeColor="text2"/>
          <w:sz w:val="24"/>
          <w:szCs w:val="24"/>
        </w:rPr>
        <w:t>Sr/</w:t>
      </w:r>
      <w:r w:rsidR="00002794" w:rsidRPr="00F0407E">
        <w:rPr>
          <w:b/>
          <w:i/>
          <w:color w:val="1F497D" w:themeColor="text2"/>
          <w:sz w:val="24"/>
          <w:szCs w:val="24"/>
          <w:vertAlign w:val="superscript"/>
        </w:rPr>
        <w:t>86</w:t>
      </w:r>
      <w:r w:rsidR="00002794" w:rsidRPr="00B61C7B">
        <w:rPr>
          <w:b/>
          <w:i/>
          <w:color w:val="1F497D" w:themeColor="text2"/>
          <w:sz w:val="24"/>
          <w:szCs w:val="24"/>
        </w:rPr>
        <w:t xml:space="preserve">Sr analysis </w:t>
      </w:r>
    </w:p>
    <w:p w14:paraId="5EEAA888" w14:textId="559047D8" w:rsidR="00002794" w:rsidRPr="00F878B2" w:rsidRDefault="006C1254" w:rsidP="00002794">
      <w:pPr>
        <w:spacing w:before="0" w:after="200" w:line="276" w:lineRule="auto"/>
        <w:rPr>
          <w:i/>
          <w:color w:val="auto"/>
          <w:sz w:val="24"/>
          <w:szCs w:val="24"/>
          <w:u w:val="single"/>
        </w:rPr>
      </w:pPr>
      <w:r>
        <w:rPr>
          <w:i/>
          <w:color w:val="auto"/>
          <w:sz w:val="24"/>
          <w:szCs w:val="24"/>
          <w:u w:val="single"/>
        </w:rPr>
        <w:t>Larvae,</w:t>
      </w:r>
      <w:r w:rsidR="00002794" w:rsidRPr="00F878B2">
        <w:rPr>
          <w:i/>
          <w:color w:val="auto"/>
          <w:sz w:val="24"/>
          <w:szCs w:val="24"/>
          <w:u w:val="single"/>
        </w:rPr>
        <w:t xml:space="preserve"> </w:t>
      </w:r>
      <w:r w:rsidR="00A25474" w:rsidRPr="00F878B2">
        <w:rPr>
          <w:i/>
          <w:color w:val="auto"/>
          <w:sz w:val="24"/>
          <w:szCs w:val="24"/>
          <w:u w:val="single"/>
        </w:rPr>
        <w:t>YOY</w:t>
      </w:r>
      <w:r>
        <w:rPr>
          <w:i/>
          <w:color w:val="auto"/>
          <w:sz w:val="24"/>
          <w:szCs w:val="24"/>
          <w:u w:val="single"/>
        </w:rPr>
        <w:t xml:space="preserve"> and adult</w:t>
      </w:r>
      <w:r w:rsidR="00002794" w:rsidRPr="00F878B2">
        <w:rPr>
          <w:i/>
          <w:color w:val="auto"/>
          <w:sz w:val="24"/>
          <w:szCs w:val="24"/>
          <w:u w:val="single"/>
        </w:rPr>
        <w:t xml:space="preserve"> otolith preparation</w:t>
      </w:r>
    </w:p>
    <w:p w14:paraId="03F5C173" w14:textId="77777777" w:rsidR="00F0407E" w:rsidRDefault="00F0407E" w:rsidP="00F0407E">
      <w:r w:rsidRPr="00B13A75">
        <w:t>Sagittal otoliths were dissected and mounted individually in Crystalbond</w:t>
      </w:r>
      <w:r w:rsidRPr="00B13A75">
        <w:rPr>
          <w:vertAlign w:val="superscript"/>
        </w:rPr>
        <w:t>TM</w:t>
      </w:r>
      <w:r w:rsidRPr="00B13A75">
        <w:t xml:space="preserve">, proximal surface downwards, on an acid-washed glass slide and polished down to the primordium using a graded series of wetted lapping films (9, 5 and, 3 μm). The slide was then reheated and the polished otolith transferred to a ‘master’ slide, on which otoliths from all collection sites were combined and arranged randomly to remove </w:t>
      </w:r>
      <w:r w:rsidRPr="00B13A75">
        <w:lastRenderedPageBreak/>
        <w:t xml:space="preserve">any systematic bias during analysis. The samples were rinsed in Milli-Q water (Millipore) and air dried overnight in a class 100 laminar flow cabinet at room temperature. </w:t>
      </w:r>
    </w:p>
    <w:p w14:paraId="02B787F9" w14:textId="77777777" w:rsidR="00002794" w:rsidRPr="003D1F08" w:rsidRDefault="00002794" w:rsidP="00002794">
      <w:pPr>
        <w:spacing w:before="0" w:after="200" w:line="276" w:lineRule="auto"/>
        <w:rPr>
          <w:i/>
          <w:color w:val="auto"/>
          <w:sz w:val="24"/>
          <w:szCs w:val="24"/>
          <w:u w:val="single"/>
        </w:rPr>
      </w:pPr>
      <w:r w:rsidRPr="003D1F08">
        <w:rPr>
          <w:i/>
          <w:color w:val="auto"/>
          <w:sz w:val="24"/>
          <w:szCs w:val="24"/>
          <w:u w:val="single"/>
        </w:rPr>
        <w:t>LA-ICPMS</w:t>
      </w:r>
    </w:p>
    <w:p w14:paraId="79EFDA17" w14:textId="57B09AAE" w:rsidR="003D1F08" w:rsidRPr="003D1F08" w:rsidRDefault="003D1F08" w:rsidP="003D1F08">
      <w:pPr>
        <w:rPr>
          <w:color w:val="auto"/>
        </w:rPr>
      </w:pPr>
      <w:r w:rsidRPr="003D1F08">
        <w:rPr>
          <w:i/>
          <w:color w:val="auto"/>
        </w:rPr>
        <w:t>In situ</w:t>
      </w:r>
      <w:r w:rsidRPr="003D1F08">
        <w:rPr>
          <w:color w:val="auto"/>
        </w:rPr>
        <w:t xml:space="preserve"> microsampling analysis of </w:t>
      </w:r>
      <w:r w:rsidRPr="003D1F08">
        <w:rPr>
          <w:color w:val="auto"/>
          <w:vertAlign w:val="superscript"/>
        </w:rPr>
        <w:t>87</w:t>
      </w:r>
      <w:r w:rsidRPr="003D1F08">
        <w:rPr>
          <w:color w:val="auto"/>
        </w:rPr>
        <w:t>Sr/</w:t>
      </w:r>
      <w:r w:rsidRPr="003D1F08">
        <w:rPr>
          <w:color w:val="auto"/>
          <w:vertAlign w:val="superscript"/>
        </w:rPr>
        <w:t>86</w:t>
      </w:r>
      <w:r w:rsidRPr="003D1F08">
        <w:rPr>
          <w:color w:val="auto"/>
        </w:rPr>
        <w:t>Sr in the otoliths of larval and juvenile golden perch (and silver perch) was achieved by laser ablation – inductively coupled plasma mass spectrometry (LA-MC-ICPMS). The experimental system consisted of a ‘Nu Plasma’ multi-collector ICPMS (Nu Instruments, Wrexham, UK), coupled to a ‘RESOlution’ 193 nm excimer laser ablation system (formerly Resonetics, USA, now distributed by Australian Scientific Instruments, Canberra). Otolith mounts were placed in the sample cell and the primordium of each otolith was located visually via a 400× objective and video imaging system. The intended ablation path on each sample was digitally plotted using GeoStar v6.14 software (Resonetics, USA). After pre-ablation to clean the surface of the intended analysis path, and a 20–30 sec background measurement, each otolith was ablated along a transect from the primordium to the dorsal margin at the widest radius using a 6 × 100 um rectangular laser slit. The laser was operated with a fluence of around 2-3 Jcm</w:t>
      </w:r>
      <w:r w:rsidRPr="003D1F08">
        <w:rPr>
          <w:color w:val="auto"/>
          <w:vertAlign w:val="superscript"/>
        </w:rPr>
        <w:t>-2</w:t>
      </w:r>
      <w:r w:rsidRPr="003D1F08">
        <w:rPr>
          <w:color w:val="auto"/>
        </w:rPr>
        <w:t>, pulsed at 10 Hz and scanned at 5 or 10 um sec</w:t>
      </w:r>
      <w:r w:rsidRPr="003D1F08">
        <w:rPr>
          <w:color w:val="auto"/>
          <w:vertAlign w:val="superscript"/>
        </w:rPr>
        <w:t>-1</w:t>
      </w:r>
      <w:r w:rsidRPr="003D1F08">
        <w:rPr>
          <w:color w:val="auto"/>
        </w:rPr>
        <w:t xml:space="preserve"> (depending on the size of the otolith) across the sample. Ablation was performed under a pure helium (He) atmosphere followed by rapid transport of the ablated products to the MC-ICPMS in the argon carrier gas. After online correction for isobaric interferences (Kr, Rb, Ca argides, Ca dimers) and mass bias (internal normalisation to </w:t>
      </w:r>
      <w:r w:rsidRPr="003D1F08">
        <w:rPr>
          <w:color w:val="auto"/>
          <w:vertAlign w:val="superscript"/>
        </w:rPr>
        <w:t>88</w:t>
      </w:r>
      <w:r w:rsidRPr="003D1F08">
        <w:rPr>
          <w:color w:val="auto"/>
        </w:rPr>
        <w:t>Sr/</w:t>
      </w:r>
      <w:r w:rsidRPr="003D1F08">
        <w:rPr>
          <w:color w:val="auto"/>
          <w:vertAlign w:val="superscript"/>
        </w:rPr>
        <w:t>86</w:t>
      </w:r>
      <w:r w:rsidRPr="003D1F08">
        <w:rPr>
          <w:color w:val="auto"/>
        </w:rPr>
        <w:t xml:space="preserve">Sr = 8.37521, Woodhead </w:t>
      </w:r>
      <w:r w:rsidRPr="003D1F08">
        <w:rPr>
          <w:i/>
          <w:color w:val="auto"/>
        </w:rPr>
        <w:t>et al</w:t>
      </w:r>
      <w:r w:rsidRPr="003D1F08">
        <w:rPr>
          <w:color w:val="auto"/>
        </w:rPr>
        <w:t xml:space="preserve">., 2005), further data reduction was done offline using the Iolite software (v.2.13, Paton </w:t>
      </w:r>
      <w:r w:rsidRPr="003D1F08">
        <w:rPr>
          <w:i/>
          <w:color w:val="auto"/>
        </w:rPr>
        <w:t>et al</w:t>
      </w:r>
      <w:r w:rsidRPr="003D1F08">
        <w:rPr>
          <w:color w:val="auto"/>
        </w:rPr>
        <w:t>. 2011).</w:t>
      </w:r>
    </w:p>
    <w:p w14:paraId="018EA084" w14:textId="7EBEAADE" w:rsidR="003D1F08" w:rsidRPr="003D1F08" w:rsidRDefault="003D1F08" w:rsidP="003D1F08">
      <w:pPr>
        <w:rPr>
          <w:color w:val="auto"/>
        </w:rPr>
      </w:pPr>
      <w:r w:rsidRPr="003D1F08">
        <w:rPr>
          <w:color w:val="auto"/>
        </w:rPr>
        <w:t xml:space="preserve">A modern marine mollusc shell was analysed during set-up and after every 10 otolith ablations, to check data accuracy and reproducibility. Solution-mode Sr isotope data for this shell indicate a </w:t>
      </w:r>
      <w:r w:rsidRPr="003D1F08">
        <w:rPr>
          <w:color w:val="auto"/>
          <w:vertAlign w:val="superscript"/>
        </w:rPr>
        <w:t>87</w:t>
      </w:r>
      <w:r w:rsidRPr="003D1F08">
        <w:rPr>
          <w:color w:val="auto"/>
        </w:rPr>
        <w:t>Sr/</w:t>
      </w:r>
      <w:r w:rsidRPr="003D1F08">
        <w:rPr>
          <w:color w:val="auto"/>
          <w:vertAlign w:val="superscript"/>
        </w:rPr>
        <w:t>86</w:t>
      </w:r>
      <w:r w:rsidRPr="003D1F08">
        <w:rPr>
          <w:color w:val="auto"/>
        </w:rPr>
        <w:t xml:space="preserve">Sr of 0.70916, identical to the composition of modern seawater Sr (0.709160, MacArthur and Howarth, 2004, relative to SRM987 = 0.710230). Typical within-run precision of individual ablations of this mollusc shell was ± 0.00005 (±2se), and </w:t>
      </w:r>
      <w:r w:rsidRPr="003D1F08">
        <w:rPr>
          <w:color w:val="auto"/>
          <w:vertAlign w:val="superscript"/>
        </w:rPr>
        <w:t>87</w:t>
      </w:r>
      <w:r w:rsidRPr="003D1F08">
        <w:rPr>
          <w:color w:val="auto"/>
        </w:rPr>
        <w:t>Sr/</w:t>
      </w:r>
      <w:r w:rsidRPr="003D1F08">
        <w:rPr>
          <w:color w:val="auto"/>
          <w:vertAlign w:val="superscript"/>
        </w:rPr>
        <w:t>86</w:t>
      </w:r>
      <w:r w:rsidRPr="003D1F08">
        <w:rPr>
          <w:color w:val="auto"/>
        </w:rPr>
        <w:t xml:space="preserve">Sr averaged 0.70918±0.00017 (±1sd, </w:t>
      </w:r>
      <w:r w:rsidRPr="00B52FFE">
        <w:rPr>
          <w:i/>
          <w:color w:val="auto"/>
        </w:rPr>
        <w:t>n</w:t>
      </w:r>
      <w:r w:rsidR="00B52FFE">
        <w:rPr>
          <w:color w:val="auto"/>
        </w:rPr>
        <w:t xml:space="preserve"> </w:t>
      </w:r>
      <w:r w:rsidRPr="003D1F08">
        <w:rPr>
          <w:color w:val="auto"/>
        </w:rPr>
        <w:t>=</w:t>
      </w:r>
      <w:r w:rsidR="00B52FFE">
        <w:rPr>
          <w:color w:val="auto"/>
        </w:rPr>
        <w:t xml:space="preserve"> </w:t>
      </w:r>
      <w:r w:rsidRPr="003D1F08">
        <w:rPr>
          <w:color w:val="auto"/>
        </w:rPr>
        <w:t>24).</w:t>
      </w:r>
    </w:p>
    <w:p w14:paraId="1CDC4DCE" w14:textId="77777777" w:rsidR="0096486F" w:rsidRDefault="0096486F" w:rsidP="003D1F08">
      <w:pPr>
        <w:rPr>
          <w:b/>
          <w:color w:val="1F497D" w:themeColor="text2"/>
          <w:sz w:val="26"/>
          <w:szCs w:val="26"/>
        </w:rPr>
      </w:pPr>
    </w:p>
    <w:p w14:paraId="31B25603" w14:textId="77777777" w:rsidR="0096486F" w:rsidRDefault="0096486F">
      <w:pPr>
        <w:spacing w:before="0" w:after="200" w:line="276" w:lineRule="auto"/>
        <w:jc w:val="left"/>
        <w:rPr>
          <w:b/>
          <w:color w:val="1F497D" w:themeColor="text2"/>
          <w:sz w:val="26"/>
          <w:szCs w:val="26"/>
        </w:rPr>
      </w:pPr>
      <w:r>
        <w:rPr>
          <w:b/>
          <w:color w:val="1F497D" w:themeColor="text2"/>
          <w:sz w:val="26"/>
          <w:szCs w:val="26"/>
        </w:rPr>
        <w:br w:type="page"/>
      </w:r>
    </w:p>
    <w:p w14:paraId="5948E319" w14:textId="770E6364" w:rsidR="00002794" w:rsidRPr="00B61C7B" w:rsidRDefault="00002794" w:rsidP="003D1F08">
      <w:pPr>
        <w:rPr>
          <w:b/>
          <w:color w:val="1F497D" w:themeColor="text2"/>
          <w:sz w:val="26"/>
          <w:szCs w:val="26"/>
        </w:rPr>
      </w:pPr>
      <w:r w:rsidRPr="00B61C7B">
        <w:rPr>
          <w:b/>
          <w:color w:val="1F497D" w:themeColor="text2"/>
          <w:sz w:val="26"/>
          <w:szCs w:val="26"/>
        </w:rPr>
        <w:lastRenderedPageBreak/>
        <w:t>Results</w:t>
      </w:r>
    </w:p>
    <w:p w14:paraId="5C3D1E4E" w14:textId="77777777" w:rsidR="00002794" w:rsidRPr="00B61C7B" w:rsidRDefault="00002794" w:rsidP="00002794">
      <w:pPr>
        <w:spacing w:before="0" w:after="200" w:line="276" w:lineRule="auto"/>
        <w:rPr>
          <w:b/>
          <w:i/>
          <w:color w:val="1F497D" w:themeColor="text2"/>
          <w:sz w:val="24"/>
          <w:szCs w:val="24"/>
        </w:rPr>
      </w:pPr>
      <w:r w:rsidRPr="00B61C7B">
        <w:rPr>
          <w:b/>
          <w:i/>
          <w:color w:val="1F497D" w:themeColor="text2"/>
          <w:sz w:val="24"/>
          <w:szCs w:val="24"/>
        </w:rPr>
        <w:t xml:space="preserve">Water </w:t>
      </w:r>
      <w:r w:rsidRPr="00B61C7B">
        <w:rPr>
          <w:b/>
          <w:i/>
          <w:color w:val="1F497D" w:themeColor="text2"/>
          <w:sz w:val="24"/>
          <w:szCs w:val="24"/>
          <w:vertAlign w:val="superscript"/>
        </w:rPr>
        <w:t>87</w:t>
      </w:r>
      <w:r w:rsidRPr="00B61C7B">
        <w:rPr>
          <w:b/>
          <w:i/>
          <w:color w:val="1F497D" w:themeColor="text2"/>
          <w:sz w:val="24"/>
          <w:szCs w:val="24"/>
        </w:rPr>
        <w:t>Sr/</w:t>
      </w:r>
      <w:r w:rsidRPr="00B61C7B">
        <w:rPr>
          <w:b/>
          <w:i/>
          <w:color w:val="1F497D" w:themeColor="text2"/>
          <w:sz w:val="24"/>
          <w:szCs w:val="24"/>
          <w:vertAlign w:val="superscript"/>
        </w:rPr>
        <w:t>86</w:t>
      </w:r>
      <w:r w:rsidRPr="00B61C7B">
        <w:rPr>
          <w:b/>
          <w:i/>
          <w:color w:val="1F497D" w:themeColor="text2"/>
          <w:sz w:val="24"/>
          <w:szCs w:val="24"/>
        </w:rPr>
        <w:t>Sr and hydrology</w:t>
      </w:r>
    </w:p>
    <w:p w14:paraId="342E74E5" w14:textId="7FDEF566" w:rsidR="00F0407E" w:rsidRPr="00285A61" w:rsidRDefault="00F0407E" w:rsidP="00F0407E">
      <w:pPr>
        <w:rPr>
          <w:highlight w:val="yellow"/>
        </w:rPr>
      </w:pPr>
      <w:r w:rsidRPr="00B13A75">
        <w:t>Water sample collection commenced in mid-September 2015 and extended, at the majority of sites, through until mid</w:t>
      </w:r>
      <w:r>
        <w:t>-</w:t>
      </w:r>
      <w:r w:rsidRPr="00B13A75">
        <w:t xml:space="preserve">February </w:t>
      </w:r>
      <w:r w:rsidRPr="00771A79">
        <w:t xml:space="preserve">2016. Overall, </w:t>
      </w:r>
      <w:r w:rsidRPr="00771A79">
        <w:rPr>
          <w:vertAlign w:val="superscript"/>
        </w:rPr>
        <w:t>87</w:t>
      </w:r>
      <w:r w:rsidRPr="00771A79">
        <w:t>Sr/</w:t>
      </w:r>
      <w:r w:rsidRPr="00771A79">
        <w:rPr>
          <w:vertAlign w:val="superscript"/>
        </w:rPr>
        <w:t>86</w:t>
      </w:r>
      <w:r w:rsidRPr="00771A79">
        <w:t xml:space="preserve">Sr at most locations remained reasonably stable throughout the period of collection, with the highest ratios (&gt;0.7185) measured in the Murray River at Barmah and the Edward River, and the lowest (&lt;0.7080) in the Darling River (Figure H4). </w:t>
      </w:r>
      <w:r w:rsidRPr="001555DF">
        <w:t xml:space="preserve">Water </w:t>
      </w:r>
      <w:r w:rsidRPr="001555DF">
        <w:rPr>
          <w:vertAlign w:val="superscript"/>
        </w:rPr>
        <w:t>87</w:t>
      </w:r>
      <w:r w:rsidRPr="001555DF">
        <w:t>Sr/</w:t>
      </w:r>
      <w:r w:rsidRPr="001555DF">
        <w:rPr>
          <w:vertAlign w:val="superscript"/>
        </w:rPr>
        <w:t>86</w:t>
      </w:r>
      <w:r w:rsidRPr="001555DF">
        <w:t xml:space="preserve">Sr generally decreased longitudinally along the Murray River as tributaries with distinct and relatively temporally stable </w:t>
      </w:r>
      <w:r w:rsidRPr="001555DF">
        <w:rPr>
          <w:vertAlign w:val="superscript"/>
        </w:rPr>
        <w:t>87</w:t>
      </w:r>
      <w:r w:rsidRPr="001555DF">
        <w:t>Sr/</w:t>
      </w:r>
      <w:r w:rsidRPr="001555DF">
        <w:rPr>
          <w:vertAlign w:val="superscript"/>
        </w:rPr>
        <w:t>86</w:t>
      </w:r>
      <w:r w:rsidRPr="001555DF">
        <w:t xml:space="preserve">Sr (e.g. Goulburn </w:t>
      </w:r>
      <w:r>
        <w:t>R</w:t>
      </w:r>
      <w:r w:rsidR="00C874A9">
        <w:t>iver</w:t>
      </w:r>
      <w:r w:rsidRPr="001555DF">
        <w:t xml:space="preserve">) contribute to discharge. </w:t>
      </w:r>
      <w:r>
        <w:t>There was, however, overlap in wa</w:t>
      </w:r>
      <w:r w:rsidRPr="000E734A">
        <w:t xml:space="preserve">ter </w:t>
      </w:r>
      <w:r w:rsidRPr="000E734A">
        <w:rPr>
          <w:vertAlign w:val="superscript"/>
        </w:rPr>
        <w:t>87</w:t>
      </w:r>
      <w:r w:rsidRPr="000E734A">
        <w:t>Sr/</w:t>
      </w:r>
      <w:r w:rsidRPr="000E734A">
        <w:rPr>
          <w:vertAlign w:val="superscript"/>
        </w:rPr>
        <w:t>86</w:t>
      </w:r>
      <w:r w:rsidRPr="000E734A">
        <w:t xml:space="preserve">Sr </w:t>
      </w:r>
      <w:r>
        <w:t xml:space="preserve">between some tributary and main-stem Murray </w:t>
      </w:r>
      <w:r w:rsidR="00D20187">
        <w:t xml:space="preserve">River </w:t>
      </w:r>
      <w:r>
        <w:t>sites</w:t>
      </w:r>
      <w:r w:rsidR="00C874A9">
        <w:t>;</w:t>
      </w:r>
      <w:r>
        <w:t xml:space="preserve"> for example</w:t>
      </w:r>
      <w:r w:rsidR="00C874A9">
        <w:t xml:space="preserve">, </w:t>
      </w:r>
      <w:r w:rsidRPr="001555DF">
        <w:rPr>
          <w:vertAlign w:val="superscript"/>
        </w:rPr>
        <w:t>87</w:t>
      </w:r>
      <w:r w:rsidRPr="001555DF">
        <w:t>Sr/</w:t>
      </w:r>
      <w:r w:rsidRPr="001555DF">
        <w:rPr>
          <w:vertAlign w:val="superscript"/>
        </w:rPr>
        <w:t>86</w:t>
      </w:r>
      <w:r w:rsidRPr="001555DF">
        <w:t xml:space="preserve">Sr </w:t>
      </w:r>
      <w:r>
        <w:t>in</w:t>
      </w:r>
      <w:r w:rsidRPr="001555DF">
        <w:t xml:space="preserve"> the Goulburn River </w:t>
      </w:r>
      <w:r>
        <w:t>was similar to</w:t>
      </w:r>
      <w:r w:rsidRPr="001555DF">
        <w:t xml:space="preserve"> </w:t>
      </w:r>
      <w:r w:rsidRPr="001555DF">
        <w:rPr>
          <w:vertAlign w:val="superscript"/>
        </w:rPr>
        <w:t>87</w:t>
      </w:r>
      <w:r w:rsidRPr="001555DF">
        <w:t>Sr/</w:t>
      </w:r>
      <w:r w:rsidRPr="001555DF">
        <w:rPr>
          <w:vertAlign w:val="superscript"/>
        </w:rPr>
        <w:t>86</w:t>
      </w:r>
      <w:r w:rsidRPr="001555DF">
        <w:t xml:space="preserve">Sr at Lock 11 in the mid-Murray River and Lock 9 in the lower River Murray from early October to mid-November, and </w:t>
      </w:r>
      <w:r w:rsidRPr="001555DF">
        <w:rPr>
          <w:vertAlign w:val="superscript"/>
        </w:rPr>
        <w:t>87</w:t>
      </w:r>
      <w:r w:rsidRPr="001555DF">
        <w:t>Sr/</w:t>
      </w:r>
      <w:r w:rsidRPr="001555DF">
        <w:rPr>
          <w:vertAlign w:val="superscript"/>
        </w:rPr>
        <w:t>86</w:t>
      </w:r>
      <w:r w:rsidRPr="001555DF">
        <w:t xml:space="preserve">Sr of the Murrumbidgee River showed overlap with </w:t>
      </w:r>
      <w:r w:rsidRPr="001555DF">
        <w:rPr>
          <w:vertAlign w:val="superscript"/>
        </w:rPr>
        <w:t>87</w:t>
      </w:r>
      <w:r w:rsidRPr="001555DF">
        <w:t>Sr/</w:t>
      </w:r>
      <w:r w:rsidRPr="001555DF">
        <w:rPr>
          <w:vertAlign w:val="superscript"/>
        </w:rPr>
        <w:t>86</w:t>
      </w:r>
      <w:r w:rsidRPr="001555DF">
        <w:t xml:space="preserve">Sr at Lock 6 in the LMR from mid-October. Water </w:t>
      </w:r>
      <w:r w:rsidRPr="001555DF">
        <w:rPr>
          <w:vertAlign w:val="superscript"/>
        </w:rPr>
        <w:t>87</w:t>
      </w:r>
      <w:r w:rsidRPr="001555DF">
        <w:t>Sr/</w:t>
      </w:r>
      <w:r w:rsidRPr="001555DF">
        <w:rPr>
          <w:vertAlign w:val="superscript"/>
        </w:rPr>
        <w:t>86</w:t>
      </w:r>
      <w:r w:rsidRPr="001555DF">
        <w:t xml:space="preserve">Sr was most variable </w:t>
      </w:r>
      <w:r>
        <w:t>in</w:t>
      </w:r>
      <w:r w:rsidRPr="001555DF">
        <w:t xml:space="preserve"> the Murrumbidgee River (0.7145–0.7161), particularly between mid-September and </w:t>
      </w:r>
      <w:r>
        <w:t>e</w:t>
      </w:r>
      <w:r w:rsidRPr="001555DF">
        <w:t>arly December 2015 (Figure H4).</w:t>
      </w:r>
    </w:p>
    <w:p w14:paraId="086AB42F" w14:textId="1536801B" w:rsidR="00002794" w:rsidRDefault="0017382D" w:rsidP="00FC460A">
      <w:pPr>
        <w:spacing w:before="0" w:after="200" w:line="276" w:lineRule="auto"/>
        <w:jc w:val="center"/>
      </w:pPr>
      <w:r w:rsidRPr="0017382D">
        <w:rPr>
          <w:noProof/>
          <w:lang w:eastAsia="en-AU"/>
        </w:rPr>
        <w:drawing>
          <wp:inline distT="0" distB="0" distL="0" distR="0" wp14:anchorId="6CB3D8A1" wp14:editId="354AE4C1">
            <wp:extent cx="5583600" cy="2838438"/>
            <wp:effectExtent l="0" t="0" r="0" b="63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9" cstate="email">
                      <a:extLst>
                        <a:ext uri="{28A0092B-C50C-407E-A947-70E740481C1C}">
                          <a14:useLocalDpi xmlns:a14="http://schemas.microsoft.com/office/drawing/2010/main"/>
                        </a:ext>
                      </a:extLst>
                    </a:blip>
                    <a:srcRect t="5256" r="2841"/>
                    <a:stretch/>
                  </pic:blipFill>
                  <pic:spPr bwMode="auto">
                    <a:xfrm>
                      <a:off x="0" y="0"/>
                      <a:ext cx="5583600" cy="2838438"/>
                    </a:xfrm>
                    <a:prstGeom prst="rect">
                      <a:avLst/>
                    </a:prstGeom>
                    <a:noFill/>
                    <a:ln>
                      <a:noFill/>
                    </a:ln>
                    <a:extLst>
                      <a:ext uri="{53640926-AAD7-44D8-BBD7-CCE9431645EC}">
                        <a14:shadowObscured xmlns:a14="http://schemas.microsoft.com/office/drawing/2010/main"/>
                      </a:ext>
                    </a:extLst>
                  </pic:spPr>
                </pic:pic>
              </a:graphicData>
            </a:graphic>
          </wp:inline>
        </w:drawing>
      </w:r>
      <w:r w:rsidRPr="0017382D">
        <w:t xml:space="preserve"> </w:t>
      </w:r>
    </w:p>
    <w:p w14:paraId="008F1225" w14:textId="133C2336" w:rsidR="00F11FE0" w:rsidRPr="0080280A" w:rsidRDefault="00F11FE0" w:rsidP="00B46038">
      <w:pPr>
        <w:pStyle w:val="Captions"/>
      </w:pPr>
      <w:bookmarkStart w:id="196" w:name="_Ref394497209"/>
      <w:bookmarkStart w:id="197" w:name="_Toc403728237"/>
      <w:r w:rsidRPr="0080280A">
        <w:t>Figure</w:t>
      </w:r>
      <w:bookmarkEnd w:id="196"/>
      <w:r w:rsidR="00A27BD7">
        <w:t xml:space="preserve"> </w:t>
      </w:r>
      <w:r w:rsidR="00DF548C">
        <w:t>H</w:t>
      </w:r>
      <w:r w:rsidR="00FE4724">
        <w:t>4</w:t>
      </w:r>
      <w:r>
        <w:t>.</w:t>
      </w:r>
      <w:r w:rsidRPr="0080280A">
        <w:t xml:space="preserve"> </w:t>
      </w:r>
      <w:r w:rsidR="00FA1F5B" w:rsidRPr="00F0547D">
        <w:rPr>
          <w:vertAlign w:val="superscript"/>
        </w:rPr>
        <w:t>87</w:t>
      </w:r>
      <w:r w:rsidR="00FA1F5B" w:rsidRPr="00F0547D">
        <w:t>Sr/</w:t>
      </w:r>
      <w:r w:rsidR="00FA1F5B" w:rsidRPr="00F0547D">
        <w:rPr>
          <w:vertAlign w:val="superscript"/>
        </w:rPr>
        <w:t>86</w:t>
      </w:r>
      <w:r w:rsidR="00FA1F5B" w:rsidRPr="00F0547D">
        <w:t>Sr ratios in water samples collected from mid-September 2015 to late February 2016 in the Murray (Lock 1, 6, 9, 11 Torrumbarry and Barmah), Darling, Goulburn, Edward and Murrumbidgee rivers</w:t>
      </w:r>
      <w:r w:rsidRPr="0080280A">
        <w:t>.</w:t>
      </w:r>
      <w:bookmarkEnd w:id="197"/>
    </w:p>
    <w:p w14:paraId="58FAF7E4" w14:textId="11341703" w:rsidR="00FA1F5B" w:rsidRPr="00285A61" w:rsidRDefault="00FA1F5B" w:rsidP="00FA1F5B">
      <w:pPr>
        <w:rPr>
          <w:highlight w:val="yellow"/>
        </w:rPr>
      </w:pPr>
      <w:r w:rsidRPr="008534FA">
        <w:t xml:space="preserve">From mid-September 2015 to March 2016, flow in the LMR (discharge at the </w:t>
      </w:r>
      <w:r w:rsidR="005106B5">
        <w:t>South Australian</w:t>
      </w:r>
      <w:r w:rsidR="006408D0">
        <w:t xml:space="preserve"> </w:t>
      </w:r>
      <w:r w:rsidRPr="008534FA">
        <w:t>border, QSA) ranged approximately 5,600</w:t>
      </w:r>
      <w:r w:rsidRPr="008534FA">
        <w:rPr>
          <w:rFonts w:cstheme="minorHAnsi"/>
        </w:rPr>
        <w:t>–</w:t>
      </w:r>
      <w:r w:rsidRPr="008534FA">
        <w:t>11,700 ML day</w:t>
      </w:r>
      <w:r w:rsidRPr="008534FA">
        <w:rPr>
          <w:vertAlign w:val="superscript"/>
        </w:rPr>
        <w:t xml:space="preserve">-1 </w:t>
      </w:r>
      <w:r w:rsidRPr="008534FA">
        <w:t xml:space="preserve">(Figure H5). From </w:t>
      </w:r>
      <w:r w:rsidRPr="008534FA">
        <w:lastRenderedPageBreak/>
        <w:t>mid-September to late October 2015, flow ranged 9,600</w:t>
      </w:r>
      <w:r w:rsidRPr="008534FA">
        <w:rPr>
          <w:rFonts w:cstheme="minorHAnsi"/>
        </w:rPr>
        <w:t>–</w:t>
      </w:r>
      <w:r w:rsidRPr="008534FA">
        <w:t>11,700 ML day</w:t>
      </w:r>
      <w:r w:rsidRPr="008534FA">
        <w:rPr>
          <w:vertAlign w:val="superscript"/>
        </w:rPr>
        <w:t>-1</w:t>
      </w:r>
      <w:r w:rsidRPr="008534FA">
        <w:t xml:space="preserve"> before steadily decreasing to 5,600 ML day</w:t>
      </w:r>
      <w:r w:rsidRPr="008534FA">
        <w:rPr>
          <w:vertAlign w:val="superscript"/>
        </w:rPr>
        <w:t>-1</w:t>
      </w:r>
      <w:r>
        <w:t xml:space="preserve"> by</w:t>
      </w:r>
      <w:r w:rsidRPr="008534FA">
        <w:t xml:space="preserve"> late November 2015. From late November, flow gradually increased to 10,000 ML day</w:t>
      </w:r>
      <w:r w:rsidRPr="008534FA">
        <w:rPr>
          <w:vertAlign w:val="superscript"/>
        </w:rPr>
        <w:t>-1</w:t>
      </w:r>
      <w:r>
        <w:t xml:space="preserve"> in early February 2016</w:t>
      </w:r>
      <w:r w:rsidRPr="008534FA">
        <w:t xml:space="preserve">, </w:t>
      </w:r>
      <w:r>
        <w:t>before declining to 6,</w:t>
      </w:r>
      <w:r w:rsidRPr="00592C19">
        <w:t>500 ML day</w:t>
      </w:r>
      <w:r w:rsidR="00FC0139">
        <w:rPr>
          <w:vertAlign w:val="superscript"/>
        </w:rPr>
        <w:noBreakHyphen/>
      </w:r>
      <w:r w:rsidRPr="001B145E">
        <w:rPr>
          <w:vertAlign w:val="superscript"/>
        </w:rPr>
        <w:t>1</w:t>
      </w:r>
      <w:r w:rsidRPr="00592C19">
        <w:t xml:space="preserve"> in mid-March 2016. QSA was </w:t>
      </w:r>
      <w:r w:rsidR="00C874A9">
        <w:t xml:space="preserve">mainly </w:t>
      </w:r>
      <w:r w:rsidRPr="00592C19">
        <w:t>comprised of flow from the upper Murray River, Murrumbidgee River and Victorian tributaries of the Murray River (</w:t>
      </w:r>
      <w:r w:rsidRPr="00592C19">
        <w:fldChar w:fldCharType="begin"/>
      </w:r>
      <w:r w:rsidRPr="00592C19">
        <w:instrText xml:space="preserve"> REF _Ref427583483 \h  \* MERGEFORMAT </w:instrText>
      </w:r>
      <w:r w:rsidRPr="00592C19">
        <w:fldChar w:fldCharType="separate"/>
      </w:r>
      <w:r w:rsidR="004260C4" w:rsidRPr="00A75FE3">
        <w:t xml:space="preserve">Figure </w:t>
      </w:r>
      <w:r w:rsidR="004260C4">
        <w:t>6</w:t>
      </w:r>
      <w:r w:rsidRPr="00592C19">
        <w:fldChar w:fldCharType="end"/>
      </w:r>
      <w:r w:rsidRPr="00592C19">
        <w:t>).</w:t>
      </w:r>
    </w:p>
    <w:p w14:paraId="2F04DC11" w14:textId="5277CA7B" w:rsidR="00FA1F5B" w:rsidRPr="00285A61" w:rsidRDefault="00FA1F5B" w:rsidP="00FA1F5B">
      <w:pPr>
        <w:rPr>
          <w:highlight w:val="yellow"/>
        </w:rPr>
      </w:pPr>
      <w:r w:rsidRPr="005C69BC">
        <w:t>Flow in the mid-reaches of the Murray River at Euston peaked at 17,600 ML day</w:t>
      </w:r>
      <w:r w:rsidRPr="005C69BC">
        <w:rPr>
          <w:vertAlign w:val="superscript"/>
        </w:rPr>
        <w:t>-1</w:t>
      </w:r>
      <w:r w:rsidRPr="005C69BC">
        <w:t xml:space="preserve"> in mid-September 2015 then steadily decreased to 7,500 ML day</w:t>
      </w:r>
      <w:r w:rsidRPr="005C69BC">
        <w:rPr>
          <w:vertAlign w:val="superscript"/>
        </w:rPr>
        <w:t>-1</w:t>
      </w:r>
      <w:r w:rsidRPr="005C69BC">
        <w:t xml:space="preserve"> in early October 2015, before rising again to peaks of 14,400 ML day</w:t>
      </w:r>
      <w:r w:rsidRPr="005C69BC">
        <w:rPr>
          <w:vertAlign w:val="superscript"/>
        </w:rPr>
        <w:t>-1</w:t>
      </w:r>
      <w:r w:rsidRPr="005C69BC">
        <w:t xml:space="preserve"> and 14,300 ML day</w:t>
      </w:r>
      <w:r w:rsidRPr="005C69BC">
        <w:rPr>
          <w:vertAlign w:val="superscript"/>
        </w:rPr>
        <w:t>-1</w:t>
      </w:r>
      <w:r w:rsidRPr="005C69BC">
        <w:t xml:space="preserve"> in late October and mid-November 2015, respectively</w:t>
      </w:r>
      <w:r>
        <w:t xml:space="preserve"> </w:t>
      </w:r>
      <w:r w:rsidRPr="005C69BC">
        <w:t>(Figure H5). Flow then decreased to approximately 7,000 ML day</w:t>
      </w:r>
      <w:r w:rsidRPr="005C69BC">
        <w:rPr>
          <w:vertAlign w:val="superscript"/>
        </w:rPr>
        <w:t>-1</w:t>
      </w:r>
      <w:r w:rsidRPr="005C69BC">
        <w:t xml:space="preserve"> in early December 2015 be</w:t>
      </w:r>
      <w:r w:rsidR="009B76EA">
        <w:t>fore gradually rising to 11,800 </w:t>
      </w:r>
      <w:r w:rsidRPr="005C69BC">
        <w:t>ML day</w:t>
      </w:r>
      <w:r w:rsidRPr="005C69BC">
        <w:rPr>
          <w:vertAlign w:val="superscript"/>
        </w:rPr>
        <w:t>-1</w:t>
      </w:r>
      <w:r w:rsidRPr="005C69BC">
        <w:t xml:space="preserve"> in mid-February 2016. Flow in the Darling River at Burtundy was mostly absent </w:t>
      </w:r>
      <w:r>
        <w:t>(</w:t>
      </w:r>
      <w:r w:rsidRPr="005C69BC">
        <w:t>&lt;20 ML day</w:t>
      </w:r>
      <w:r>
        <w:t>)</w:t>
      </w:r>
      <w:r w:rsidRPr="005C69BC">
        <w:t xml:space="preserve"> from early September 2015 to March 2016 (Figure H5). </w:t>
      </w:r>
    </w:p>
    <w:p w14:paraId="687B43C7" w14:textId="05B2E3B8" w:rsidR="00FA1F5B" w:rsidRPr="00285A61" w:rsidRDefault="00FA1F5B" w:rsidP="00FA1F5B">
      <w:pPr>
        <w:rPr>
          <w:highlight w:val="yellow"/>
        </w:rPr>
      </w:pPr>
      <w:r w:rsidRPr="00A3423B">
        <w:t xml:space="preserve">From early September 2015 to early March 2016, the contribution of Commonwealth environmental water to flow at the </w:t>
      </w:r>
      <w:r w:rsidR="005106B5">
        <w:t>South Australian</w:t>
      </w:r>
      <w:r w:rsidRPr="00A3423B">
        <w:t xml:space="preserve"> border ranged 0–6,700</w:t>
      </w:r>
      <w:r>
        <w:t> </w:t>
      </w:r>
      <w:r w:rsidRPr="00A3423B">
        <w:t>ML</w:t>
      </w:r>
      <w:r>
        <w:t> </w:t>
      </w:r>
      <w:r w:rsidRPr="00A3423B">
        <w:t>day</w:t>
      </w:r>
      <w:r w:rsidRPr="00A3423B">
        <w:rPr>
          <w:vertAlign w:val="superscript"/>
        </w:rPr>
        <w:noBreakHyphen/>
        <w:t>1</w:t>
      </w:r>
      <w:r w:rsidRPr="00A3423B">
        <w:t xml:space="preserve">, </w:t>
      </w:r>
      <w:r w:rsidRPr="002E5899">
        <w:t>peaking</w:t>
      </w:r>
      <w:r>
        <w:t xml:space="preserve"> initially</w:t>
      </w:r>
      <w:r w:rsidRPr="002E5899">
        <w:t xml:space="preserve"> at ~5,900</w:t>
      </w:r>
      <w:r>
        <w:t> </w:t>
      </w:r>
      <w:r w:rsidRPr="002E5899">
        <w:t>ML day</w:t>
      </w:r>
      <w:r w:rsidRPr="002E5899">
        <w:rPr>
          <w:vertAlign w:val="superscript"/>
        </w:rPr>
        <w:t>-1</w:t>
      </w:r>
      <w:r w:rsidRPr="002E5899">
        <w:t xml:space="preserve"> on 21 September and </w:t>
      </w:r>
      <w:r>
        <w:t xml:space="preserve">then </w:t>
      </w:r>
      <w:r w:rsidRPr="002E5899">
        <w:t>at ~6,700 ML day</w:t>
      </w:r>
      <w:r w:rsidRPr="002E5899">
        <w:rPr>
          <w:vertAlign w:val="superscript"/>
        </w:rPr>
        <w:t>-1</w:t>
      </w:r>
      <w:r w:rsidRPr="002E5899">
        <w:t xml:space="preserve"> on 2</w:t>
      </w:r>
      <w:r w:rsidR="00F43927">
        <w:t>8</w:t>
      </w:r>
      <w:r w:rsidRPr="002E5899">
        <w:t xml:space="preserve"> October 2015 (</w:t>
      </w:r>
      <w:r w:rsidRPr="002E5899">
        <w:rPr>
          <w:color w:val="FF0000"/>
        </w:rPr>
        <w:fldChar w:fldCharType="begin"/>
      </w:r>
      <w:r w:rsidRPr="002E5899">
        <w:instrText xml:space="preserve"> REF _Ref416335496 \h </w:instrText>
      </w:r>
      <w:r w:rsidRPr="002E5899">
        <w:rPr>
          <w:color w:val="FF0000"/>
        </w:rPr>
        <w:instrText xml:space="preserve"> \* MERGEFORMAT </w:instrText>
      </w:r>
      <w:r w:rsidRPr="002E5899">
        <w:rPr>
          <w:color w:val="FF0000"/>
        </w:rPr>
      </w:r>
      <w:r w:rsidRPr="002E5899">
        <w:rPr>
          <w:color w:val="FF0000"/>
        </w:rPr>
        <w:fldChar w:fldCharType="separate"/>
      </w:r>
      <w:r w:rsidR="004260C4" w:rsidRPr="00160EF9">
        <w:t xml:space="preserve">Figure </w:t>
      </w:r>
      <w:r w:rsidR="004260C4">
        <w:rPr>
          <w:noProof/>
        </w:rPr>
        <w:t>3</w:t>
      </w:r>
      <w:r w:rsidRPr="002E5899">
        <w:rPr>
          <w:color w:val="FF0000"/>
        </w:rPr>
        <w:fldChar w:fldCharType="end"/>
      </w:r>
      <w:r w:rsidRPr="002E5899">
        <w:t>). Environmental water from the MDBA’s The Living Murray program was delivered 30 August to 22 October 2015, and 28 February to 29 March 2016, peaking at ~3,000–3,500 ML day</w:t>
      </w:r>
      <w:r w:rsidRPr="002E5899">
        <w:rPr>
          <w:vertAlign w:val="superscript"/>
        </w:rPr>
        <w:noBreakHyphen/>
        <w:t>1</w:t>
      </w:r>
      <w:r w:rsidRPr="002E5899">
        <w:t xml:space="preserve"> 23 September to 8 October 2015</w:t>
      </w:r>
      <w:r>
        <w:t xml:space="preserve"> (</w:t>
      </w:r>
      <w:r w:rsidR="00C874A9">
        <w:fldChar w:fldCharType="begin"/>
      </w:r>
      <w:r w:rsidR="00C874A9">
        <w:instrText xml:space="preserve"> REF _Ref416335496 \h </w:instrText>
      </w:r>
      <w:r w:rsidR="00C874A9">
        <w:fldChar w:fldCharType="separate"/>
      </w:r>
      <w:r w:rsidR="004260C4" w:rsidRPr="00160EF9">
        <w:t xml:space="preserve">Figure </w:t>
      </w:r>
      <w:r w:rsidR="004260C4">
        <w:rPr>
          <w:noProof/>
        </w:rPr>
        <w:t>3</w:t>
      </w:r>
      <w:r w:rsidR="00C874A9">
        <w:fldChar w:fldCharType="end"/>
      </w:r>
      <w:r>
        <w:t>)</w:t>
      </w:r>
      <w:r w:rsidRPr="002E5899">
        <w:t>.</w:t>
      </w:r>
    </w:p>
    <w:p w14:paraId="52573D26" w14:textId="4DE9FFFF" w:rsidR="00F11FE0" w:rsidRDefault="00FA1F5B" w:rsidP="00D02003">
      <w:r w:rsidRPr="0093241E">
        <w:t xml:space="preserve">Throughout the sampling period, </w:t>
      </w:r>
      <w:r w:rsidRPr="0093241E">
        <w:rPr>
          <w:vertAlign w:val="superscript"/>
        </w:rPr>
        <w:t>87</w:t>
      </w:r>
      <w:r w:rsidRPr="0093241E">
        <w:t>Sr/</w:t>
      </w:r>
      <w:r w:rsidRPr="0093241E">
        <w:rPr>
          <w:vertAlign w:val="superscript"/>
        </w:rPr>
        <w:t>86</w:t>
      </w:r>
      <w:r w:rsidRPr="0093241E">
        <w:t xml:space="preserve">Sr in water samples collected from Lock 9, 6 and 1 in the lower River Murray, reflected water delivery from the mid-Murray River, and </w:t>
      </w:r>
      <w:r>
        <w:t>negligible</w:t>
      </w:r>
      <w:r w:rsidRPr="0093241E">
        <w:t xml:space="preserve"> input from the Darling River (Figures H4 and H5).</w:t>
      </w:r>
    </w:p>
    <w:p w14:paraId="77D1BF48" w14:textId="47B71A3A" w:rsidR="00D02003" w:rsidRDefault="003C7386" w:rsidP="00FA1F5B">
      <w:pPr>
        <w:jc w:val="center"/>
      </w:pPr>
      <w:r w:rsidRPr="003C7386">
        <w:rPr>
          <w:noProof/>
          <w:lang w:eastAsia="en-AU"/>
        </w:rPr>
        <w:lastRenderedPageBreak/>
        <w:drawing>
          <wp:inline distT="0" distB="0" distL="0" distR="0" wp14:anchorId="685BF962" wp14:editId="367F2B91">
            <wp:extent cx="5389200" cy="3262488"/>
            <wp:effectExtent l="0" t="0" r="254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0" cstate="email">
                      <a:extLst>
                        <a:ext uri="{28A0092B-C50C-407E-A947-70E740481C1C}">
                          <a14:useLocalDpi xmlns:a14="http://schemas.microsoft.com/office/drawing/2010/main"/>
                        </a:ext>
                      </a:extLst>
                    </a:blip>
                    <a:srcRect t="8298"/>
                    <a:stretch/>
                  </pic:blipFill>
                  <pic:spPr bwMode="auto">
                    <a:xfrm>
                      <a:off x="0" y="0"/>
                      <a:ext cx="5389200" cy="3262488"/>
                    </a:xfrm>
                    <a:prstGeom prst="rect">
                      <a:avLst/>
                    </a:prstGeom>
                    <a:noFill/>
                    <a:ln>
                      <a:noFill/>
                    </a:ln>
                    <a:extLst>
                      <a:ext uri="{53640926-AAD7-44D8-BBD7-CCE9431645EC}">
                        <a14:shadowObscured xmlns:a14="http://schemas.microsoft.com/office/drawing/2010/main"/>
                      </a:ext>
                    </a:extLst>
                  </pic:spPr>
                </pic:pic>
              </a:graphicData>
            </a:graphic>
          </wp:inline>
        </w:drawing>
      </w:r>
      <w:r w:rsidRPr="003C7386">
        <w:t xml:space="preserve"> </w:t>
      </w:r>
    </w:p>
    <w:p w14:paraId="44A41D40" w14:textId="49974018" w:rsidR="00D02003" w:rsidRDefault="00D02003" w:rsidP="00B46038">
      <w:pPr>
        <w:pStyle w:val="Captions"/>
      </w:pPr>
      <w:bookmarkStart w:id="198" w:name="_Ref426972388"/>
      <w:r w:rsidRPr="00503319">
        <w:t>Figure</w:t>
      </w:r>
      <w:bookmarkEnd w:id="198"/>
      <w:r w:rsidR="00A27BD7">
        <w:t xml:space="preserve"> </w:t>
      </w:r>
      <w:r w:rsidR="00DF548C">
        <w:t>H</w:t>
      </w:r>
      <w:r w:rsidR="00FE4724">
        <w:t>5</w:t>
      </w:r>
      <w:r>
        <w:t>.</w:t>
      </w:r>
      <w:r w:rsidRPr="00503319">
        <w:t xml:space="preserve"> </w:t>
      </w:r>
      <w:r w:rsidR="00FA1F5B" w:rsidRPr="00DF32D6">
        <w:t>Mean daily discharge (ML day</w:t>
      </w:r>
      <w:r w:rsidR="00FA1F5B" w:rsidRPr="00DF32D6">
        <w:rPr>
          <w:vertAlign w:val="superscript"/>
        </w:rPr>
        <w:t>-1</w:t>
      </w:r>
      <w:r w:rsidR="00FA1F5B" w:rsidRPr="00DF32D6">
        <w:t>) in the Murray River at the South Australian border (dashed black line) and Euston (dashed blue line)</w:t>
      </w:r>
      <w:r w:rsidR="00FA1F5B">
        <w:t>. Mean daily discharge for the</w:t>
      </w:r>
      <w:r w:rsidR="00FA1F5B" w:rsidRPr="00DF32D6">
        <w:t xml:space="preserve"> Darling River at Burtundy </w:t>
      </w:r>
      <w:r w:rsidR="00FA1F5B">
        <w:t>was &lt;20 ML day</w:t>
      </w:r>
      <w:r w:rsidR="00FA1F5B" w:rsidRPr="001B145E">
        <w:rPr>
          <w:vertAlign w:val="superscript"/>
        </w:rPr>
        <w:t>-1</w:t>
      </w:r>
      <w:r w:rsidR="00FA1F5B">
        <w:t xml:space="preserve"> during sampling</w:t>
      </w:r>
      <w:r w:rsidR="00FA1F5B" w:rsidRPr="00DF32D6">
        <w:t xml:space="preserve">. </w:t>
      </w:r>
      <w:r w:rsidR="00FA1F5B" w:rsidRPr="00DF32D6">
        <w:rPr>
          <w:vertAlign w:val="superscript"/>
        </w:rPr>
        <w:t>87</w:t>
      </w:r>
      <w:r w:rsidR="00FA1F5B" w:rsidRPr="00DF32D6">
        <w:t>Sr/</w:t>
      </w:r>
      <w:r w:rsidR="00FA1F5B" w:rsidRPr="00DF32D6">
        <w:rPr>
          <w:vertAlign w:val="superscript"/>
        </w:rPr>
        <w:t>86</w:t>
      </w:r>
      <w:r w:rsidR="00FA1F5B" w:rsidRPr="00DF32D6">
        <w:t>Sr in water samples collected from mid-September 2015 to late February 2016 in the lower River Murray at Lock 9 (solid triangles), Lock 6 (solid circles) and Lock 1 (open squares), and the Darling River at Menindee (Weir 32) (open triangles)</w:t>
      </w:r>
      <w:r w:rsidRPr="00503319">
        <w:t>.</w:t>
      </w:r>
    </w:p>
    <w:p w14:paraId="6660D95A" w14:textId="77777777" w:rsidR="00E35600" w:rsidRDefault="00E35600" w:rsidP="00002794">
      <w:pPr>
        <w:spacing w:before="0" w:after="200" w:line="276" w:lineRule="auto"/>
        <w:rPr>
          <w:b/>
          <w:i/>
          <w:color w:val="1F497D" w:themeColor="text2"/>
          <w:sz w:val="24"/>
          <w:szCs w:val="24"/>
        </w:rPr>
      </w:pPr>
    </w:p>
    <w:p w14:paraId="6702EFE6" w14:textId="327E8836" w:rsidR="00002794" w:rsidRPr="00E2223F" w:rsidRDefault="00F36F32" w:rsidP="00002794">
      <w:pPr>
        <w:spacing w:before="0" w:after="200" w:line="276" w:lineRule="auto"/>
        <w:rPr>
          <w:b/>
          <w:i/>
          <w:color w:val="1F497D" w:themeColor="text2"/>
          <w:sz w:val="24"/>
          <w:szCs w:val="24"/>
        </w:rPr>
      </w:pPr>
      <w:r w:rsidRPr="00E2223F">
        <w:rPr>
          <w:b/>
          <w:i/>
          <w:color w:val="1F497D" w:themeColor="text2"/>
          <w:sz w:val="24"/>
          <w:szCs w:val="24"/>
        </w:rPr>
        <w:t>L</w:t>
      </w:r>
      <w:r w:rsidR="00FA1F5B" w:rsidRPr="00E2223F">
        <w:rPr>
          <w:b/>
          <w:i/>
          <w:color w:val="1F497D" w:themeColor="text2"/>
          <w:sz w:val="24"/>
          <w:szCs w:val="24"/>
        </w:rPr>
        <w:t xml:space="preserve">arval </w:t>
      </w:r>
      <w:r w:rsidRPr="00E2223F">
        <w:rPr>
          <w:b/>
          <w:i/>
          <w:color w:val="1F497D" w:themeColor="text2"/>
          <w:sz w:val="24"/>
          <w:szCs w:val="24"/>
        </w:rPr>
        <w:t xml:space="preserve">fish </w:t>
      </w:r>
      <w:r w:rsidR="00AF024C">
        <w:rPr>
          <w:b/>
          <w:i/>
          <w:color w:val="1F497D" w:themeColor="text2"/>
          <w:sz w:val="24"/>
          <w:szCs w:val="24"/>
        </w:rPr>
        <w:t>assemblage</w:t>
      </w:r>
    </w:p>
    <w:p w14:paraId="549FE520" w14:textId="5F7A1D75" w:rsidR="001D75C2" w:rsidRDefault="000E4390" w:rsidP="00965BDD">
      <w:r w:rsidRPr="00E2223F">
        <w:rPr>
          <w:lang w:val="en-US"/>
        </w:rPr>
        <w:t>A total of 18,499 larvae from five</w:t>
      </w:r>
      <w:r w:rsidR="00BE4586" w:rsidRPr="00E2223F">
        <w:rPr>
          <w:lang w:val="en-US"/>
        </w:rPr>
        <w:t xml:space="preserve"> </w:t>
      </w:r>
      <w:r w:rsidRPr="00E2223F">
        <w:rPr>
          <w:lang w:val="en-US"/>
        </w:rPr>
        <w:t xml:space="preserve">small-bodied species and 3,736 larvae from six </w:t>
      </w:r>
      <w:r w:rsidR="00BE4586" w:rsidRPr="00E2223F">
        <w:rPr>
          <w:lang w:val="en-US"/>
        </w:rPr>
        <w:t>large-bodied sp</w:t>
      </w:r>
      <w:r w:rsidR="00E1481D">
        <w:rPr>
          <w:lang w:val="en-US"/>
        </w:rPr>
        <w:t>ecies were sampled by plankton tows</w:t>
      </w:r>
      <w:r w:rsidR="00BE4586" w:rsidRPr="00E2223F">
        <w:rPr>
          <w:lang w:val="en-US"/>
        </w:rPr>
        <w:t xml:space="preserve"> from three sites in </w:t>
      </w:r>
      <w:r w:rsidR="00541C9D">
        <w:rPr>
          <w:lang w:val="en-US"/>
        </w:rPr>
        <w:t xml:space="preserve">each of </w:t>
      </w:r>
      <w:r w:rsidR="00BE4586" w:rsidRPr="00E2223F">
        <w:rPr>
          <w:lang w:val="en-US"/>
        </w:rPr>
        <w:t>the gorge and floodplain geomorphic zone</w:t>
      </w:r>
      <w:r w:rsidRPr="00E2223F">
        <w:rPr>
          <w:lang w:val="en-US"/>
        </w:rPr>
        <w:t>s (combined)</w:t>
      </w:r>
      <w:r w:rsidR="00BE4586" w:rsidRPr="00E2223F">
        <w:rPr>
          <w:lang w:val="en-US"/>
        </w:rPr>
        <w:t xml:space="preserve"> of the LMR Selected Area (Table</w:t>
      </w:r>
      <w:r w:rsidR="00E1481D">
        <w:rPr>
          <w:lang w:val="en-US"/>
        </w:rPr>
        <w:t>s</w:t>
      </w:r>
      <w:r w:rsidR="00BE4586" w:rsidRPr="00E2223F">
        <w:rPr>
          <w:lang w:val="en-US"/>
        </w:rPr>
        <w:t xml:space="preserve"> H</w:t>
      </w:r>
      <w:r w:rsidR="00E1481D">
        <w:rPr>
          <w:lang w:val="en-US"/>
        </w:rPr>
        <w:t>2 and H</w:t>
      </w:r>
      <w:r w:rsidR="00BE4586" w:rsidRPr="00E2223F">
        <w:rPr>
          <w:lang w:val="en-US"/>
        </w:rPr>
        <w:t>4</w:t>
      </w:r>
      <w:r w:rsidR="00965BDD" w:rsidRPr="00E2223F">
        <w:rPr>
          <w:lang w:val="en-US"/>
        </w:rPr>
        <w:t>). Flathead gudgeons (</w:t>
      </w:r>
      <w:r w:rsidR="00965BDD" w:rsidRPr="00E2223F">
        <w:rPr>
          <w:i/>
          <w:lang w:val="en-US"/>
        </w:rPr>
        <w:t xml:space="preserve">Philypnodon </w:t>
      </w:r>
      <w:r w:rsidR="00965BDD" w:rsidRPr="00E2223F">
        <w:rPr>
          <w:lang w:val="en-US"/>
        </w:rPr>
        <w:t>spp.)</w:t>
      </w:r>
      <w:r w:rsidR="00E2223F" w:rsidRPr="00E2223F">
        <w:rPr>
          <w:lang w:val="en-US"/>
        </w:rPr>
        <w:t>, carp gudgeon and Australian smelt (</w:t>
      </w:r>
      <w:r w:rsidR="00E2223F" w:rsidRPr="00E2223F">
        <w:rPr>
          <w:i/>
          <w:lang w:val="en-US"/>
        </w:rPr>
        <w:t>Retropinna semoni</w:t>
      </w:r>
      <w:r w:rsidR="00E2223F" w:rsidRPr="00E2223F">
        <w:rPr>
          <w:lang w:val="en-US"/>
        </w:rPr>
        <w:t>) were the most abundant small-bodied species, while bony herring was the most abundant large-bodied species.</w:t>
      </w:r>
      <w:r w:rsidR="00E1481D">
        <w:rPr>
          <w:lang w:val="en-US"/>
        </w:rPr>
        <w:t xml:space="preserve"> Silver perch, golden perch and Murray rainbowfish were sampled in low abundance (&lt;5 individuals</w:t>
      </w:r>
      <w:r w:rsidR="00541C9D">
        <w:rPr>
          <w:lang w:val="en-US"/>
        </w:rPr>
        <w:t xml:space="preserve"> per species</w:t>
      </w:r>
      <w:r w:rsidR="00E1481D">
        <w:rPr>
          <w:lang w:val="en-US"/>
        </w:rPr>
        <w:t>)</w:t>
      </w:r>
      <w:r w:rsidR="00AF024C">
        <w:rPr>
          <w:lang w:val="en-US"/>
        </w:rPr>
        <w:t>.</w:t>
      </w:r>
    </w:p>
    <w:p w14:paraId="3888C19E" w14:textId="77777777" w:rsidR="007B1CD9" w:rsidRDefault="001D75C2">
      <w:pPr>
        <w:spacing w:before="0" w:after="200" w:line="276" w:lineRule="auto"/>
        <w:jc w:val="left"/>
        <w:sectPr w:rsidR="007B1CD9" w:rsidSect="00F020E5">
          <w:pgSz w:w="11900" w:h="16840" w:code="9"/>
          <w:pgMar w:top="1440" w:right="1440" w:bottom="1440" w:left="1440" w:header="709" w:footer="709" w:gutter="0"/>
          <w:cols w:space="708"/>
          <w:docGrid w:linePitch="360"/>
        </w:sectPr>
      </w:pPr>
      <w:r>
        <w:br w:type="page"/>
      </w:r>
    </w:p>
    <w:p w14:paraId="52A2B327" w14:textId="13BF1DE1" w:rsidR="007B1CD9" w:rsidRDefault="007B1CD9" w:rsidP="00B46038">
      <w:pPr>
        <w:pStyle w:val="Captions"/>
      </w:pPr>
      <w:r w:rsidRPr="00487A0B">
        <w:lastRenderedPageBreak/>
        <w:t>Table H</w:t>
      </w:r>
      <w:r w:rsidR="00487A0B" w:rsidRPr="00487A0B">
        <w:t>4</w:t>
      </w:r>
      <w:r w:rsidRPr="00487A0B">
        <w:t>. Total</w:t>
      </w:r>
      <w:r>
        <w:t xml:space="preserve"> catches from l</w:t>
      </w:r>
      <w:r w:rsidRPr="005F5803">
        <w:t xml:space="preserve">arval fish </w:t>
      </w:r>
      <w:r w:rsidR="00401873">
        <w:t xml:space="preserve">sampling </w:t>
      </w:r>
      <w:r w:rsidRPr="005F5803">
        <w:t xml:space="preserve">conducted between 6 October 2015 and 21 January 2016. Three day-time and three night-time plankton tows were undertaken on the same day at sites 5 km </w:t>
      </w:r>
      <w:r w:rsidR="00C701E6">
        <w:t>downstream (DS) each lock</w:t>
      </w:r>
      <w:r w:rsidRPr="005F5803">
        <w:t>, while one day-time plankton tow was undertaken at sites</w:t>
      </w:r>
      <w:r w:rsidR="00C701E6">
        <w:t xml:space="preserve"> that were 7 km and 9 km downstream</w:t>
      </w:r>
      <w:r>
        <w:t xml:space="preserve"> each lock.</w:t>
      </w:r>
    </w:p>
    <w:tbl>
      <w:tblPr>
        <w:tblW w:w="0" w:type="auto"/>
        <w:tblLook w:val="04A0" w:firstRow="1" w:lastRow="0" w:firstColumn="1" w:lastColumn="0" w:noHBand="0" w:noVBand="1"/>
      </w:tblPr>
      <w:tblGrid>
        <w:gridCol w:w="2494"/>
        <w:gridCol w:w="884"/>
        <w:gridCol w:w="937"/>
        <w:gridCol w:w="937"/>
        <w:gridCol w:w="695"/>
        <w:gridCol w:w="884"/>
        <w:gridCol w:w="937"/>
        <w:gridCol w:w="937"/>
        <w:gridCol w:w="929"/>
        <w:gridCol w:w="1276"/>
      </w:tblGrid>
      <w:tr w:rsidR="00A84425" w:rsidRPr="002E63ED" w14:paraId="03E345EA" w14:textId="77777777" w:rsidTr="00A84425">
        <w:trPr>
          <w:trHeight w:val="330"/>
        </w:trPr>
        <w:tc>
          <w:tcPr>
            <w:tcW w:w="2494" w:type="dxa"/>
            <w:vMerge w:val="restart"/>
            <w:tcBorders>
              <w:top w:val="single" w:sz="4" w:space="0" w:color="auto"/>
              <w:left w:val="single" w:sz="4" w:space="0" w:color="auto"/>
              <w:right w:val="nil"/>
            </w:tcBorders>
            <w:shd w:val="clear" w:color="auto" w:fill="auto"/>
            <w:noWrap/>
            <w:vAlign w:val="bottom"/>
            <w:hideMark/>
          </w:tcPr>
          <w:p w14:paraId="3B751896" w14:textId="77777777" w:rsidR="00A84425" w:rsidRPr="002E63ED" w:rsidRDefault="00A84425"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 </w:t>
            </w:r>
          </w:p>
          <w:p w14:paraId="2815DFC4" w14:textId="163CF33C" w:rsidR="00A84425" w:rsidRPr="002E63ED" w:rsidRDefault="00A84425" w:rsidP="005C3079">
            <w:pPr>
              <w:spacing w:before="0" w:after="0" w:line="240" w:lineRule="auto"/>
              <w:jc w:val="left"/>
              <w:rPr>
                <w:rFonts w:cs="Arial"/>
                <w:color w:val="auto"/>
                <w:kern w:val="0"/>
                <w:sz w:val="19"/>
                <w:szCs w:val="19"/>
                <w:lang w:eastAsia="en-AU"/>
              </w:rPr>
            </w:pPr>
            <w:r w:rsidRPr="002E63ED">
              <w:rPr>
                <w:rFonts w:cs="Arial"/>
                <w:b/>
                <w:bCs/>
                <w:color w:val="auto"/>
                <w:kern w:val="0"/>
                <w:sz w:val="19"/>
                <w:szCs w:val="19"/>
                <w:lang w:eastAsia="en-AU"/>
              </w:rPr>
              <w:t>Site</w:t>
            </w:r>
          </w:p>
        </w:tc>
        <w:tc>
          <w:tcPr>
            <w:tcW w:w="0" w:type="auto"/>
            <w:gridSpan w:val="4"/>
            <w:tcBorders>
              <w:top w:val="single" w:sz="4" w:space="0" w:color="auto"/>
              <w:left w:val="single" w:sz="4" w:space="0" w:color="auto"/>
              <w:bottom w:val="nil"/>
              <w:right w:val="nil"/>
            </w:tcBorders>
            <w:shd w:val="clear" w:color="auto" w:fill="auto"/>
            <w:noWrap/>
            <w:vAlign w:val="bottom"/>
            <w:hideMark/>
          </w:tcPr>
          <w:p w14:paraId="5732B132" w14:textId="68C25E83" w:rsidR="00A84425" w:rsidRPr="002E63ED" w:rsidRDefault="00A84425" w:rsidP="00BA21CE">
            <w:pPr>
              <w:spacing w:before="0" w:after="0" w:line="240" w:lineRule="auto"/>
              <w:jc w:val="center"/>
              <w:rPr>
                <w:rFonts w:cs="Arial"/>
                <w:color w:val="auto"/>
                <w:kern w:val="0"/>
                <w:sz w:val="19"/>
                <w:szCs w:val="19"/>
                <w:lang w:eastAsia="en-AU"/>
              </w:rPr>
            </w:pPr>
            <w:r w:rsidRPr="002E63ED">
              <w:rPr>
                <w:rFonts w:cs="Arial"/>
                <w:b/>
                <w:bCs/>
                <w:color w:val="auto"/>
                <w:kern w:val="0"/>
                <w:sz w:val="19"/>
                <w:szCs w:val="19"/>
                <w:lang w:eastAsia="en-AU"/>
              </w:rPr>
              <w:t>Lock 1</w:t>
            </w:r>
          </w:p>
        </w:tc>
        <w:tc>
          <w:tcPr>
            <w:tcW w:w="3687" w:type="dxa"/>
            <w:gridSpan w:val="4"/>
            <w:tcBorders>
              <w:top w:val="single" w:sz="4" w:space="0" w:color="auto"/>
              <w:left w:val="single" w:sz="4" w:space="0" w:color="auto"/>
              <w:bottom w:val="nil"/>
              <w:right w:val="single" w:sz="4" w:space="0" w:color="auto"/>
            </w:tcBorders>
            <w:shd w:val="clear" w:color="auto" w:fill="auto"/>
            <w:noWrap/>
            <w:vAlign w:val="bottom"/>
            <w:hideMark/>
          </w:tcPr>
          <w:p w14:paraId="4F2B8012" w14:textId="699BE590" w:rsidR="00A84425" w:rsidRPr="002E63ED" w:rsidRDefault="00A84425" w:rsidP="00BA21CE">
            <w:pPr>
              <w:spacing w:before="0" w:after="0" w:line="240" w:lineRule="auto"/>
              <w:jc w:val="center"/>
              <w:rPr>
                <w:rFonts w:cs="Arial"/>
                <w:b/>
                <w:bCs/>
                <w:color w:val="auto"/>
                <w:kern w:val="0"/>
                <w:sz w:val="19"/>
                <w:szCs w:val="19"/>
                <w:lang w:eastAsia="en-AU"/>
              </w:rPr>
            </w:pPr>
            <w:r w:rsidRPr="002E63ED">
              <w:rPr>
                <w:rFonts w:cs="Arial"/>
                <w:b/>
                <w:bCs/>
                <w:color w:val="auto"/>
                <w:kern w:val="0"/>
                <w:sz w:val="19"/>
                <w:szCs w:val="19"/>
                <w:lang w:eastAsia="en-AU"/>
              </w:rPr>
              <w:t>Lock 6</w:t>
            </w:r>
          </w:p>
        </w:tc>
        <w:tc>
          <w:tcPr>
            <w:tcW w:w="1276" w:type="dxa"/>
            <w:vMerge w:val="restart"/>
            <w:tcBorders>
              <w:top w:val="single" w:sz="4" w:space="0" w:color="auto"/>
              <w:left w:val="nil"/>
              <w:right w:val="single" w:sz="4" w:space="0" w:color="auto"/>
            </w:tcBorders>
            <w:shd w:val="clear" w:color="auto" w:fill="auto"/>
            <w:noWrap/>
            <w:vAlign w:val="bottom"/>
            <w:hideMark/>
          </w:tcPr>
          <w:p w14:paraId="52DD03B0" w14:textId="539A0FF4" w:rsidR="00A84425" w:rsidRPr="002E63ED" w:rsidRDefault="00A84425" w:rsidP="00A84425">
            <w:pPr>
              <w:spacing w:before="0" w:after="0" w:line="240" w:lineRule="auto"/>
              <w:jc w:val="left"/>
              <w:rPr>
                <w:rFonts w:cs="Arial"/>
                <w:b/>
                <w:bCs/>
                <w:color w:val="auto"/>
                <w:kern w:val="0"/>
                <w:sz w:val="19"/>
                <w:szCs w:val="19"/>
                <w:lang w:eastAsia="en-AU"/>
              </w:rPr>
            </w:pPr>
            <w:r w:rsidRPr="002E63ED">
              <w:rPr>
                <w:rFonts w:cs="Arial"/>
                <w:b/>
                <w:bCs/>
                <w:color w:val="auto"/>
                <w:kern w:val="0"/>
                <w:sz w:val="19"/>
                <w:szCs w:val="19"/>
                <w:lang w:eastAsia="en-AU"/>
              </w:rPr>
              <w:t>Grand total</w:t>
            </w:r>
          </w:p>
        </w:tc>
      </w:tr>
      <w:tr w:rsidR="00A84425" w:rsidRPr="002E63ED" w14:paraId="1426861D" w14:textId="77777777" w:rsidTr="00A84425">
        <w:trPr>
          <w:trHeight w:val="330"/>
        </w:trPr>
        <w:tc>
          <w:tcPr>
            <w:tcW w:w="2494" w:type="dxa"/>
            <w:vMerge/>
            <w:tcBorders>
              <w:left w:val="single" w:sz="4" w:space="0" w:color="auto"/>
              <w:bottom w:val="nil"/>
              <w:right w:val="nil"/>
            </w:tcBorders>
            <w:shd w:val="clear" w:color="auto" w:fill="auto"/>
            <w:noWrap/>
            <w:vAlign w:val="bottom"/>
            <w:hideMark/>
          </w:tcPr>
          <w:p w14:paraId="40FDE6B8" w14:textId="09C73CD3" w:rsidR="00A84425" w:rsidRPr="002E63ED" w:rsidRDefault="00A84425" w:rsidP="005C3079">
            <w:pPr>
              <w:spacing w:before="0" w:after="0" w:line="240" w:lineRule="auto"/>
              <w:jc w:val="left"/>
              <w:rPr>
                <w:rFonts w:cs="Arial"/>
                <w:b/>
                <w:bCs/>
                <w:color w:val="auto"/>
                <w:kern w:val="0"/>
                <w:sz w:val="19"/>
                <w:szCs w:val="19"/>
                <w:lang w:eastAsia="en-AU"/>
              </w:rPr>
            </w:pPr>
          </w:p>
        </w:tc>
        <w:tc>
          <w:tcPr>
            <w:tcW w:w="0" w:type="auto"/>
            <w:tcBorders>
              <w:top w:val="nil"/>
              <w:left w:val="single" w:sz="4" w:space="0" w:color="auto"/>
              <w:bottom w:val="nil"/>
              <w:right w:val="nil"/>
            </w:tcBorders>
            <w:shd w:val="clear" w:color="auto" w:fill="auto"/>
            <w:noWrap/>
            <w:vAlign w:val="bottom"/>
            <w:hideMark/>
          </w:tcPr>
          <w:p w14:paraId="6788E9F9" w14:textId="77777777" w:rsidR="00A84425" w:rsidRPr="002E63ED" w:rsidRDefault="00A84425"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5km DS</w:t>
            </w:r>
          </w:p>
        </w:tc>
        <w:tc>
          <w:tcPr>
            <w:tcW w:w="0" w:type="auto"/>
            <w:tcBorders>
              <w:top w:val="nil"/>
              <w:left w:val="nil"/>
              <w:bottom w:val="nil"/>
              <w:right w:val="nil"/>
            </w:tcBorders>
            <w:shd w:val="clear" w:color="auto" w:fill="auto"/>
            <w:noWrap/>
            <w:vAlign w:val="bottom"/>
            <w:hideMark/>
          </w:tcPr>
          <w:p w14:paraId="0A84DA17" w14:textId="77777777" w:rsidR="00A84425" w:rsidRPr="002E63ED" w:rsidRDefault="00A84425"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7 km DS</w:t>
            </w:r>
          </w:p>
        </w:tc>
        <w:tc>
          <w:tcPr>
            <w:tcW w:w="0" w:type="auto"/>
            <w:tcBorders>
              <w:top w:val="nil"/>
              <w:left w:val="nil"/>
              <w:bottom w:val="nil"/>
              <w:right w:val="nil"/>
            </w:tcBorders>
            <w:shd w:val="clear" w:color="auto" w:fill="auto"/>
            <w:noWrap/>
            <w:vAlign w:val="bottom"/>
            <w:hideMark/>
          </w:tcPr>
          <w:p w14:paraId="25AF55A9" w14:textId="77777777" w:rsidR="00A84425" w:rsidRPr="002E63ED" w:rsidRDefault="00A84425"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9 km DS</w:t>
            </w:r>
          </w:p>
        </w:tc>
        <w:tc>
          <w:tcPr>
            <w:tcW w:w="0" w:type="auto"/>
            <w:tcBorders>
              <w:top w:val="nil"/>
              <w:left w:val="nil"/>
              <w:bottom w:val="nil"/>
              <w:right w:val="nil"/>
            </w:tcBorders>
            <w:shd w:val="clear" w:color="auto" w:fill="auto"/>
            <w:noWrap/>
            <w:vAlign w:val="bottom"/>
            <w:hideMark/>
          </w:tcPr>
          <w:p w14:paraId="5275FBCD" w14:textId="77777777" w:rsidR="00A84425" w:rsidRPr="002E63ED" w:rsidRDefault="00A84425" w:rsidP="005C3079">
            <w:pPr>
              <w:spacing w:before="0" w:after="0" w:line="240" w:lineRule="auto"/>
              <w:jc w:val="left"/>
              <w:rPr>
                <w:rFonts w:cs="Arial"/>
                <w:b/>
                <w:bCs/>
                <w:color w:val="auto"/>
                <w:kern w:val="0"/>
                <w:sz w:val="19"/>
                <w:szCs w:val="19"/>
                <w:lang w:eastAsia="en-AU"/>
              </w:rPr>
            </w:pPr>
            <w:r w:rsidRPr="002E63ED">
              <w:rPr>
                <w:rFonts w:cs="Arial"/>
                <w:b/>
                <w:bCs/>
                <w:color w:val="auto"/>
                <w:kern w:val="0"/>
                <w:sz w:val="19"/>
                <w:szCs w:val="19"/>
                <w:lang w:eastAsia="en-AU"/>
              </w:rPr>
              <w:t>Total</w:t>
            </w:r>
          </w:p>
        </w:tc>
        <w:tc>
          <w:tcPr>
            <w:tcW w:w="0" w:type="auto"/>
            <w:tcBorders>
              <w:top w:val="nil"/>
              <w:left w:val="single" w:sz="4" w:space="0" w:color="auto"/>
              <w:bottom w:val="nil"/>
              <w:right w:val="nil"/>
            </w:tcBorders>
            <w:shd w:val="clear" w:color="auto" w:fill="auto"/>
            <w:noWrap/>
            <w:vAlign w:val="bottom"/>
            <w:hideMark/>
          </w:tcPr>
          <w:p w14:paraId="1349C549" w14:textId="77777777" w:rsidR="00A84425" w:rsidRPr="002E63ED" w:rsidRDefault="00A84425"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5km DS</w:t>
            </w:r>
          </w:p>
        </w:tc>
        <w:tc>
          <w:tcPr>
            <w:tcW w:w="0" w:type="auto"/>
            <w:tcBorders>
              <w:top w:val="nil"/>
              <w:left w:val="nil"/>
              <w:bottom w:val="nil"/>
              <w:right w:val="nil"/>
            </w:tcBorders>
            <w:shd w:val="clear" w:color="auto" w:fill="auto"/>
            <w:noWrap/>
            <w:vAlign w:val="bottom"/>
            <w:hideMark/>
          </w:tcPr>
          <w:p w14:paraId="102244E2" w14:textId="77777777" w:rsidR="00A84425" w:rsidRPr="002E63ED" w:rsidRDefault="00A84425"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7 km DS</w:t>
            </w:r>
          </w:p>
        </w:tc>
        <w:tc>
          <w:tcPr>
            <w:tcW w:w="0" w:type="auto"/>
            <w:tcBorders>
              <w:top w:val="nil"/>
              <w:left w:val="nil"/>
              <w:bottom w:val="nil"/>
              <w:right w:val="nil"/>
            </w:tcBorders>
            <w:shd w:val="clear" w:color="auto" w:fill="auto"/>
            <w:noWrap/>
            <w:vAlign w:val="bottom"/>
            <w:hideMark/>
          </w:tcPr>
          <w:p w14:paraId="0DB950E5" w14:textId="77777777" w:rsidR="00A84425" w:rsidRPr="002E63ED" w:rsidRDefault="00A84425"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9 km DS</w:t>
            </w:r>
          </w:p>
        </w:tc>
        <w:tc>
          <w:tcPr>
            <w:tcW w:w="929" w:type="dxa"/>
            <w:tcBorders>
              <w:top w:val="nil"/>
              <w:left w:val="nil"/>
              <w:bottom w:val="nil"/>
              <w:right w:val="single" w:sz="4" w:space="0" w:color="auto"/>
            </w:tcBorders>
            <w:shd w:val="clear" w:color="auto" w:fill="auto"/>
            <w:noWrap/>
            <w:vAlign w:val="bottom"/>
            <w:hideMark/>
          </w:tcPr>
          <w:p w14:paraId="19611CE9" w14:textId="77777777" w:rsidR="00A84425" w:rsidRPr="002E63ED" w:rsidRDefault="00A84425" w:rsidP="005C3079">
            <w:pPr>
              <w:spacing w:before="0" w:after="0" w:line="240" w:lineRule="auto"/>
              <w:jc w:val="left"/>
              <w:rPr>
                <w:rFonts w:cs="Arial"/>
                <w:b/>
                <w:bCs/>
                <w:color w:val="auto"/>
                <w:kern w:val="0"/>
                <w:sz w:val="19"/>
                <w:szCs w:val="19"/>
                <w:lang w:eastAsia="en-AU"/>
              </w:rPr>
            </w:pPr>
            <w:r w:rsidRPr="002E63ED">
              <w:rPr>
                <w:rFonts w:cs="Arial"/>
                <w:b/>
                <w:bCs/>
                <w:color w:val="auto"/>
                <w:kern w:val="0"/>
                <w:sz w:val="19"/>
                <w:szCs w:val="19"/>
                <w:lang w:eastAsia="en-AU"/>
              </w:rPr>
              <w:t>Total</w:t>
            </w:r>
          </w:p>
        </w:tc>
        <w:tc>
          <w:tcPr>
            <w:tcW w:w="1276" w:type="dxa"/>
            <w:vMerge/>
            <w:tcBorders>
              <w:left w:val="nil"/>
              <w:bottom w:val="nil"/>
              <w:right w:val="single" w:sz="4" w:space="0" w:color="auto"/>
            </w:tcBorders>
            <w:shd w:val="clear" w:color="auto" w:fill="auto"/>
            <w:noWrap/>
            <w:vAlign w:val="bottom"/>
            <w:hideMark/>
          </w:tcPr>
          <w:p w14:paraId="3D9EE791" w14:textId="3702981A" w:rsidR="00A84425" w:rsidRPr="002E63ED" w:rsidRDefault="00A84425">
            <w:pPr>
              <w:spacing w:before="0" w:after="0" w:line="240" w:lineRule="auto"/>
              <w:jc w:val="left"/>
              <w:rPr>
                <w:rFonts w:cs="Arial"/>
                <w:b/>
                <w:bCs/>
                <w:color w:val="auto"/>
                <w:kern w:val="0"/>
                <w:sz w:val="19"/>
                <w:szCs w:val="19"/>
                <w:lang w:eastAsia="en-AU"/>
              </w:rPr>
            </w:pPr>
          </w:p>
        </w:tc>
      </w:tr>
      <w:tr w:rsidR="008B70CD" w:rsidRPr="002E63ED" w14:paraId="1B48472A" w14:textId="77777777" w:rsidTr="00A84425">
        <w:trPr>
          <w:trHeight w:val="330"/>
        </w:trPr>
        <w:tc>
          <w:tcPr>
            <w:tcW w:w="2494" w:type="dxa"/>
            <w:tcBorders>
              <w:top w:val="single" w:sz="4" w:space="0" w:color="auto"/>
              <w:left w:val="single" w:sz="4" w:space="0" w:color="auto"/>
              <w:bottom w:val="nil"/>
              <w:right w:val="single" w:sz="4" w:space="0" w:color="auto"/>
            </w:tcBorders>
            <w:shd w:val="clear" w:color="auto" w:fill="auto"/>
            <w:noWrap/>
            <w:vAlign w:val="bottom"/>
            <w:hideMark/>
          </w:tcPr>
          <w:p w14:paraId="24F3B13F" w14:textId="77777777" w:rsidR="005C3079" w:rsidRPr="002E63ED" w:rsidRDefault="005C3079" w:rsidP="005C3079">
            <w:pPr>
              <w:spacing w:before="0" w:after="0" w:line="240" w:lineRule="auto"/>
              <w:jc w:val="left"/>
              <w:rPr>
                <w:rFonts w:cs="Arial"/>
                <w:b/>
                <w:bCs/>
                <w:color w:val="auto"/>
                <w:kern w:val="0"/>
                <w:sz w:val="19"/>
                <w:szCs w:val="19"/>
                <w:lang w:eastAsia="en-AU"/>
              </w:rPr>
            </w:pPr>
            <w:r w:rsidRPr="002E63ED">
              <w:rPr>
                <w:rFonts w:cs="Arial"/>
                <w:b/>
                <w:bCs/>
                <w:color w:val="auto"/>
                <w:kern w:val="0"/>
                <w:sz w:val="19"/>
                <w:szCs w:val="19"/>
                <w:lang w:eastAsia="en-AU"/>
              </w:rPr>
              <w:t>Small-bodied</w:t>
            </w:r>
          </w:p>
        </w:tc>
        <w:tc>
          <w:tcPr>
            <w:tcW w:w="0" w:type="auto"/>
            <w:tcBorders>
              <w:top w:val="single" w:sz="4" w:space="0" w:color="auto"/>
              <w:left w:val="nil"/>
              <w:bottom w:val="nil"/>
              <w:right w:val="nil"/>
            </w:tcBorders>
            <w:shd w:val="clear" w:color="auto" w:fill="auto"/>
            <w:noWrap/>
            <w:vAlign w:val="bottom"/>
            <w:hideMark/>
          </w:tcPr>
          <w:p w14:paraId="33E385E5" w14:textId="77777777" w:rsidR="005C3079" w:rsidRPr="002E63ED" w:rsidRDefault="005C3079"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 </w:t>
            </w:r>
          </w:p>
        </w:tc>
        <w:tc>
          <w:tcPr>
            <w:tcW w:w="0" w:type="auto"/>
            <w:tcBorders>
              <w:top w:val="single" w:sz="4" w:space="0" w:color="auto"/>
              <w:left w:val="nil"/>
              <w:bottom w:val="nil"/>
              <w:right w:val="nil"/>
            </w:tcBorders>
            <w:shd w:val="clear" w:color="auto" w:fill="auto"/>
            <w:noWrap/>
            <w:vAlign w:val="bottom"/>
            <w:hideMark/>
          </w:tcPr>
          <w:p w14:paraId="3A946B06" w14:textId="77777777" w:rsidR="005C3079" w:rsidRPr="002E63ED" w:rsidRDefault="005C3079"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 </w:t>
            </w:r>
          </w:p>
        </w:tc>
        <w:tc>
          <w:tcPr>
            <w:tcW w:w="0" w:type="auto"/>
            <w:tcBorders>
              <w:top w:val="single" w:sz="4" w:space="0" w:color="auto"/>
              <w:left w:val="nil"/>
              <w:bottom w:val="nil"/>
              <w:right w:val="nil"/>
            </w:tcBorders>
            <w:shd w:val="clear" w:color="auto" w:fill="auto"/>
            <w:noWrap/>
            <w:vAlign w:val="bottom"/>
            <w:hideMark/>
          </w:tcPr>
          <w:p w14:paraId="6ADA8DEF" w14:textId="77777777" w:rsidR="005C3079" w:rsidRPr="002E63ED" w:rsidRDefault="005C3079"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 </w:t>
            </w:r>
          </w:p>
        </w:tc>
        <w:tc>
          <w:tcPr>
            <w:tcW w:w="0" w:type="auto"/>
            <w:tcBorders>
              <w:top w:val="single" w:sz="4" w:space="0" w:color="auto"/>
              <w:left w:val="nil"/>
              <w:bottom w:val="nil"/>
              <w:right w:val="single" w:sz="4" w:space="0" w:color="auto"/>
            </w:tcBorders>
            <w:shd w:val="clear" w:color="auto" w:fill="auto"/>
            <w:noWrap/>
            <w:vAlign w:val="bottom"/>
            <w:hideMark/>
          </w:tcPr>
          <w:p w14:paraId="5D83F1F9" w14:textId="77777777" w:rsidR="005C3079" w:rsidRPr="002E63ED" w:rsidRDefault="005C3079" w:rsidP="005C3079">
            <w:pPr>
              <w:spacing w:before="0" w:after="0" w:line="240" w:lineRule="auto"/>
              <w:jc w:val="left"/>
              <w:rPr>
                <w:rFonts w:cs="Arial"/>
                <w:b/>
                <w:bCs/>
                <w:color w:val="auto"/>
                <w:kern w:val="0"/>
                <w:sz w:val="19"/>
                <w:szCs w:val="19"/>
                <w:lang w:eastAsia="en-AU"/>
              </w:rPr>
            </w:pPr>
            <w:r w:rsidRPr="002E63ED">
              <w:rPr>
                <w:rFonts w:cs="Arial"/>
                <w:b/>
                <w:bCs/>
                <w:color w:val="auto"/>
                <w:kern w:val="0"/>
                <w:sz w:val="19"/>
                <w:szCs w:val="19"/>
                <w:lang w:eastAsia="en-AU"/>
              </w:rPr>
              <w:t> </w:t>
            </w:r>
          </w:p>
        </w:tc>
        <w:tc>
          <w:tcPr>
            <w:tcW w:w="0" w:type="auto"/>
            <w:tcBorders>
              <w:top w:val="single" w:sz="4" w:space="0" w:color="auto"/>
              <w:left w:val="nil"/>
              <w:bottom w:val="nil"/>
              <w:right w:val="nil"/>
            </w:tcBorders>
            <w:shd w:val="clear" w:color="auto" w:fill="auto"/>
            <w:noWrap/>
            <w:vAlign w:val="bottom"/>
            <w:hideMark/>
          </w:tcPr>
          <w:p w14:paraId="29E6C9E1" w14:textId="77777777" w:rsidR="005C3079" w:rsidRPr="002E63ED" w:rsidRDefault="005C3079"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 </w:t>
            </w:r>
          </w:p>
        </w:tc>
        <w:tc>
          <w:tcPr>
            <w:tcW w:w="0" w:type="auto"/>
            <w:tcBorders>
              <w:top w:val="single" w:sz="4" w:space="0" w:color="auto"/>
              <w:left w:val="nil"/>
              <w:bottom w:val="nil"/>
              <w:right w:val="nil"/>
            </w:tcBorders>
            <w:shd w:val="clear" w:color="auto" w:fill="auto"/>
            <w:noWrap/>
            <w:vAlign w:val="bottom"/>
            <w:hideMark/>
          </w:tcPr>
          <w:p w14:paraId="15DB9036" w14:textId="77777777" w:rsidR="005C3079" w:rsidRPr="002E63ED" w:rsidRDefault="005C3079"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 </w:t>
            </w:r>
          </w:p>
        </w:tc>
        <w:tc>
          <w:tcPr>
            <w:tcW w:w="0" w:type="auto"/>
            <w:tcBorders>
              <w:top w:val="single" w:sz="4" w:space="0" w:color="auto"/>
              <w:left w:val="nil"/>
              <w:bottom w:val="nil"/>
              <w:right w:val="nil"/>
            </w:tcBorders>
            <w:shd w:val="clear" w:color="auto" w:fill="auto"/>
            <w:noWrap/>
            <w:vAlign w:val="bottom"/>
            <w:hideMark/>
          </w:tcPr>
          <w:p w14:paraId="2338286F" w14:textId="77777777" w:rsidR="005C3079" w:rsidRPr="002E63ED" w:rsidRDefault="005C3079"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 </w:t>
            </w:r>
          </w:p>
        </w:tc>
        <w:tc>
          <w:tcPr>
            <w:tcW w:w="929" w:type="dxa"/>
            <w:tcBorders>
              <w:top w:val="single" w:sz="4" w:space="0" w:color="auto"/>
              <w:left w:val="nil"/>
              <w:bottom w:val="nil"/>
              <w:right w:val="single" w:sz="4" w:space="0" w:color="auto"/>
            </w:tcBorders>
            <w:shd w:val="clear" w:color="auto" w:fill="auto"/>
            <w:noWrap/>
            <w:vAlign w:val="bottom"/>
            <w:hideMark/>
          </w:tcPr>
          <w:p w14:paraId="3C73E25F" w14:textId="77777777" w:rsidR="005C3079" w:rsidRPr="002E63ED" w:rsidRDefault="005C3079" w:rsidP="005C3079">
            <w:pPr>
              <w:spacing w:before="0" w:after="0" w:line="240" w:lineRule="auto"/>
              <w:jc w:val="left"/>
              <w:rPr>
                <w:rFonts w:cs="Arial"/>
                <w:b/>
                <w:bCs/>
                <w:color w:val="auto"/>
                <w:kern w:val="0"/>
                <w:sz w:val="19"/>
                <w:szCs w:val="19"/>
                <w:lang w:eastAsia="en-AU"/>
              </w:rPr>
            </w:pPr>
            <w:r w:rsidRPr="002E63ED">
              <w:rPr>
                <w:rFonts w:cs="Arial"/>
                <w:b/>
                <w:bCs/>
                <w:color w:val="auto"/>
                <w:kern w:val="0"/>
                <w:sz w:val="19"/>
                <w:szCs w:val="19"/>
                <w:lang w:eastAsia="en-AU"/>
              </w:rPr>
              <w:t> </w:t>
            </w:r>
          </w:p>
        </w:tc>
        <w:tc>
          <w:tcPr>
            <w:tcW w:w="1276" w:type="dxa"/>
            <w:tcBorders>
              <w:top w:val="single" w:sz="4" w:space="0" w:color="auto"/>
              <w:left w:val="nil"/>
              <w:bottom w:val="nil"/>
              <w:right w:val="single" w:sz="4" w:space="0" w:color="auto"/>
            </w:tcBorders>
            <w:shd w:val="clear" w:color="auto" w:fill="auto"/>
            <w:noWrap/>
            <w:vAlign w:val="bottom"/>
            <w:hideMark/>
          </w:tcPr>
          <w:p w14:paraId="44C02B41" w14:textId="77777777" w:rsidR="005C3079" w:rsidRPr="002E63ED" w:rsidRDefault="005C3079" w:rsidP="005C3079">
            <w:pPr>
              <w:spacing w:before="0" w:after="0" w:line="240" w:lineRule="auto"/>
              <w:jc w:val="left"/>
              <w:rPr>
                <w:rFonts w:cs="Arial"/>
                <w:b/>
                <w:bCs/>
                <w:color w:val="auto"/>
                <w:kern w:val="0"/>
                <w:sz w:val="19"/>
                <w:szCs w:val="19"/>
                <w:lang w:eastAsia="en-AU"/>
              </w:rPr>
            </w:pPr>
            <w:r w:rsidRPr="002E63ED">
              <w:rPr>
                <w:rFonts w:cs="Arial"/>
                <w:b/>
                <w:bCs/>
                <w:color w:val="auto"/>
                <w:kern w:val="0"/>
                <w:sz w:val="19"/>
                <w:szCs w:val="19"/>
                <w:lang w:eastAsia="en-AU"/>
              </w:rPr>
              <w:t> </w:t>
            </w:r>
          </w:p>
        </w:tc>
      </w:tr>
      <w:tr w:rsidR="008B70CD" w:rsidRPr="002E63ED" w14:paraId="2AF3DE45" w14:textId="77777777" w:rsidTr="00A84425">
        <w:trPr>
          <w:trHeight w:val="330"/>
        </w:trPr>
        <w:tc>
          <w:tcPr>
            <w:tcW w:w="2494" w:type="dxa"/>
            <w:tcBorders>
              <w:top w:val="nil"/>
              <w:left w:val="single" w:sz="4" w:space="0" w:color="auto"/>
              <w:bottom w:val="nil"/>
              <w:right w:val="single" w:sz="4" w:space="0" w:color="auto"/>
            </w:tcBorders>
            <w:shd w:val="clear" w:color="auto" w:fill="auto"/>
            <w:noWrap/>
            <w:vAlign w:val="center"/>
            <w:hideMark/>
          </w:tcPr>
          <w:p w14:paraId="3EDED4F9" w14:textId="0E909B9A" w:rsidR="005C3079" w:rsidRPr="002E63ED" w:rsidRDefault="00A33165"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Flatheaded gudgeons</w:t>
            </w:r>
            <w:r w:rsidRPr="002E63ED">
              <w:rPr>
                <w:rFonts w:cs="Arial"/>
                <w:color w:val="auto"/>
                <w:kern w:val="0"/>
                <w:sz w:val="19"/>
                <w:szCs w:val="19"/>
                <w:vertAlign w:val="superscript"/>
                <w:lang w:eastAsia="en-AU"/>
              </w:rPr>
              <w:t>#</w:t>
            </w:r>
          </w:p>
        </w:tc>
        <w:tc>
          <w:tcPr>
            <w:tcW w:w="0" w:type="auto"/>
            <w:tcBorders>
              <w:top w:val="nil"/>
              <w:left w:val="nil"/>
              <w:bottom w:val="nil"/>
              <w:right w:val="nil"/>
            </w:tcBorders>
            <w:shd w:val="clear" w:color="auto" w:fill="auto"/>
            <w:noWrap/>
            <w:vAlign w:val="bottom"/>
            <w:hideMark/>
          </w:tcPr>
          <w:p w14:paraId="059D2F93" w14:textId="7370B2C8"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2,444</w:t>
            </w:r>
          </w:p>
        </w:tc>
        <w:tc>
          <w:tcPr>
            <w:tcW w:w="0" w:type="auto"/>
            <w:tcBorders>
              <w:top w:val="nil"/>
              <w:left w:val="nil"/>
              <w:bottom w:val="nil"/>
              <w:right w:val="nil"/>
            </w:tcBorders>
            <w:shd w:val="clear" w:color="auto" w:fill="auto"/>
            <w:noWrap/>
            <w:vAlign w:val="bottom"/>
            <w:hideMark/>
          </w:tcPr>
          <w:p w14:paraId="7A36C914"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288</w:t>
            </w:r>
          </w:p>
        </w:tc>
        <w:tc>
          <w:tcPr>
            <w:tcW w:w="0" w:type="auto"/>
            <w:tcBorders>
              <w:top w:val="nil"/>
              <w:left w:val="nil"/>
              <w:bottom w:val="nil"/>
              <w:right w:val="nil"/>
            </w:tcBorders>
            <w:shd w:val="clear" w:color="auto" w:fill="auto"/>
            <w:noWrap/>
            <w:vAlign w:val="bottom"/>
            <w:hideMark/>
          </w:tcPr>
          <w:p w14:paraId="22CD0AB0"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442</w:t>
            </w:r>
          </w:p>
        </w:tc>
        <w:tc>
          <w:tcPr>
            <w:tcW w:w="0" w:type="auto"/>
            <w:tcBorders>
              <w:top w:val="nil"/>
              <w:left w:val="nil"/>
              <w:bottom w:val="nil"/>
              <w:right w:val="single" w:sz="4" w:space="0" w:color="auto"/>
            </w:tcBorders>
            <w:shd w:val="clear" w:color="auto" w:fill="auto"/>
            <w:noWrap/>
            <w:vAlign w:val="bottom"/>
            <w:hideMark/>
          </w:tcPr>
          <w:p w14:paraId="2F1FD6AF" w14:textId="03EB65E6"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3,174</w:t>
            </w:r>
          </w:p>
        </w:tc>
        <w:tc>
          <w:tcPr>
            <w:tcW w:w="0" w:type="auto"/>
            <w:tcBorders>
              <w:top w:val="nil"/>
              <w:left w:val="nil"/>
              <w:bottom w:val="nil"/>
              <w:right w:val="nil"/>
            </w:tcBorders>
            <w:shd w:val="clear" w:color="auto" w:fill="auto"/>
            <w:noWrap/>
            <w:vAlign w:val="bottom"/>
            <w:hideMark/>
          </w:tcPr>
          <w:p w14:paraId="737BBBC2" w14:textId="0EED85AE"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2,653</w:t>
            </w:r>
          </w:p>
        </w:tc>
        <w:tc>
          <w:tcPr>
            <w:tcW w:w="0" w:type="auto"/>
            <w:tcBorders>
              <w:top w:val="nil"/>
              <w:left w:val="nil"/>
              <w:bottom w:val="nil"/>
              <w:right w:val="nil"/>
            </w:tcBorders>
            <w:shd w:val="clear" w:color="auto" w:fill="auto"/>
            <w:noWrap/>
            <w:vAlign w:val="bottom"/>
            <w:hideMark/>
          </w:tcPr>
          <w:p w14:paraId="6CDEE68D"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521</w:t>
            </w:r>
          </w:p>
        </w:tc>
        <w:tc>
          <w:tcPr>
            <w:tcW w:w="0" w:type="auto"/>
            <w:tcBorders>
              <w:top w:val="nil"/>
              <w:left w:val="nil"/>
              <w:bottom w:val="nil"/>
              <w:right w:val="nil"/>
            </w:tcBorders>
            <w:shd w:val="clear" w:color="auto" w:fill="auto"/>
            <w:noWrap/>
            <w:vAlign w:val="bottom"/>
            <w:hideMark/>
          </w:tcPr>
          <w:p w14:paraId="3E3FB0C6"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291</w:t>
            </w:r>
          </w:p>
        </w:tc>
        <w:tc>
          <w:tcPr>
            <w:tcW w:w="929" w:type="dxa"/>
            <w:tcBorders>
              <w:top w:val="nil"/>
              <w:left w:val="nil"/>
              <w:bottom w:val="nil"/>
              <w:right w:val="single" w:sz="4" w:space="0" w:color="auto"/>
            </w:tcBorders>
            <w:shd w:val="clear" w:color="auto" w:fill="auto"/>
            <w:noWrap/>
            <w:vAlign w:val="bottom"/>
            <w:hideMark/>
          </w:tcPr>
          <w:p w14:paraId="2C6D7805" w14:textId="1B897C63"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3,465</w:t>
            </w:r>
          </w:p>
        </w:tc>
        <w:tc>
          <w:tcPr>
            <w:tcW w:w="1276" w:type="dxa"/>
            <w:tcBorders>
              <w:top w:val="nil"/>
              <w:left w:val="nil"/>
              <w:bottom w:val="nil"/>
              <w:right w:val="single" w:sz="4" w:space="0" w:color="auto"/>
            </w:tcBorders>
            <w:shd w:val="clear" w:color="auto" w:fill="auto"/>
            <w:noWrap/>
            <w:vAlign w:val="bottom"/>
            <w:hideMark/>
          </w:tcPr>
          <w:p w14:paraId="7EA2145B" w14:textId="5B15A220"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6,639</w:t>
            </w:r>
          </w:p>
        </w:tc>
      </w:tr>
      <w:tr w:rsidR="008B70CD" w:rsidRPr="002E63ED" w14:paraId="2E5E43F8" w14:textId="77777777" w:rsidTr="00A84425">
        <w:trPr>
          <w:trHeight w:val="330"/>
        </w:trPr>
        <w:tc>
          <w:tcPr>
            <w:tcW w:w="2494" w:type="dxa"/>
            <w:tcBorders>
              <w:top w:val="nil"/>
              <w:left w:val="single" w:sz="4" w:space="0" w:color="auto"/>
              <w:bottom w:val="nil"/>
              <w:right w:val="single" w:sz="4" w:space="0" w:color="auto"/>
            </w:tcBorders>
            <w:shd w:val="clear" w:color="auto" w:fill="auto"/>
            <w:noWrap/>
            <w:vAlign w:val="center"/>
            <w:hideMark/>
          </w:tcPr>
          <w:p w14:paraId="68A2D69B" w14:textId="77777777" w:rsidR="005C3079" w:rsidRPr="002E63ED" w:rsidRDefault="005C3079"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Carp gudgeon</w:t>
            </w:r>
          </w:p>
        </w:tc>
        <w:tc>
          <w:tcPr>
            <w:tcW w:w="0" w:type="auto"/>
            <w:tcBorders>
              <w:top w:val="nil"/>
              <w:left w:val="nil"/>
              <w:bottom w:val="nil"/>
              <w:right w:val="nil"/>
            </w:tcBorders>
            <w:shd w:val="clear" w:color="auto" w:fill="auto"/>
            <w:noWrap/>
            <w:vAlign w:val="bottom"/>
            <w:hideMark/>
          </w:tcPr>
          <w:p w14:paraId="4A0FD478" w14:textId="530B4C08"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2,088</w:t>
            </w:r>
          </w:p>
        </w:tc>
        <w:tc>
          <w:tcPr>
            <w:tcW w:w="0" w:type="auto"/>
            <w:tcBorders>
              <w:top w:val="nil"/>
              <w:left w:val="nil"/>
              <w:bottom w:val="nil"/>
              <w:right w:val="nil"/>
            </w:tcBorders>
            <w:shd w:val="clear" w:color="auto" w:fill="auto"/>
            <w:noWrap/>
            <w:vAlign w:val="bottom"/>
            <w:hideMark/>
          </w:tcPr>
          <w:p w14:paraId="5C56E977"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774</w:t>
            </w:r>
          </w:p>
        </w:tc>
        <w:tc>
          <w:tcPr>
            <w:tcW w:w="0" w:type="auto"/>
            <w:tcBorders>
              <w:top w:val="nil"/>
              <w:left w:val="nil"/>
              <w:bottom w:val="nil"/>
              <w:right w:val="nil"/>
            </w:tcBorders>
            <w:shd w:val="clear" w:color="auto" w:fill="auto"/>
            <w:noWrap/>
            <w:vAlign w:val="bottom"/>
            <w:hideMark/>
          </w:tcPr>
          <w:p w14:paraId="0D476D53"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569</w:t>
            </w:r>
          </w:p>
        </w:tc>
        <w:tc>
          <w:tcPr>
            <w:tcW w:w="0" w:type="auto"/>
            <w:tcBorders>
              <w:top w:val="nil"/>
              <w:left w:val="nil"/>
              <w:bottom w:val="nil"/>
              <w:right w:val="single" w:sz="4" w:space="0" w:color="auto"/>
            </w:tcBorders>
            <w:shd w:val="clear" w:color="auto" w:fill="auto"/>
            <w:noWrap/>
            <w:vAlign w:val="bottom"/>
            <w:hideMark/>
          </w:tcPr>
          <w:p w14:paraId="0839BCA2" w14:textId="78B0CBEB"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3,431</w:t>
            </w:r>
          </w:p>
        </w:tc>
        <w:tc>
          <w:tcPr>
            <w:tcW w:w="0" w:type="auto"/>
            <w:tcBorders>
              <w:top w:val="nil"/>
              <w:left w:val="nil"/>
              <w:bottom w:val="nil"/>
              <w:right w:val="nil"/>
            </w:tcBorders>
            <w:shd w:val="clear" w:color="auto" w:fill="auto"/>
            <w:noWrap/>
            <w:vAlign w:val="bottom"/>
            <w:hideMark/>
          </w:tcPr>
          <w:p w14:paraId="2A063E29" w14:textId="492E2EC4"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1,984</w:t>
            </w:r>
          </w:p>
        </w:tc>
        <w:tc>
          <w:tcPr>
            <w:tcW w:w="0" w:type="auto"/>
            <w:tcBorders>
              <w:top w:val="nil"/>
              <w:left w:val="nil"/>
              <w:bottom w:val="nil"/>
              <w:right w:val="nil"/>
            </w:tcBorders>
            <w:shd w:val="clear" w:color="auto" w:fill="auto"/>
            <w:noWrap/>
            <w:vAlign w:val="bottom"/>
            <w:hideMark/>
          </w:tcPr>
          <w:p w14:paraId="4C8B8449"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489</w:t>
            </w:r>
          </w:p>
        </w:tc>
        <w:tc>
          <w:tcPr>
            <w:tcW w:w="0" w:type="auto"/>
            <w:tcBorders>
              <w:top w:val="nil"/>
              <w:left w:val="nil"/>
              <w:bottom w:val="nil"/>
              <w:right w:val="nil"/>
            </w:tcBorders>
            <w:shd w:val="clear" w:color="auto" w:fill="auto"/>
            <w:noWrap/>
            <w:vAlign w:val="bottom"/>
            <w:hideMark/>
          </w:tcPr>
          <w:p w14:paraId="1F5EB2BF"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389</w:t>
            </w:r>
          </w:p>
        </w:tc>
        <w:tc>
          <w:tcPr>
            <w:tcW w:w="929" w:type="dxa"/>
            <w:tcBorders>
              <w:top w:val="nil"/>
              <w:left w:val="nil"/>
              <w:bottom w:val="nil"/>
              <w:right w:val="single" w:sz="4" w:space="0" w:color="auto"/>
            </w:tcBorders>
            <w:shd w:val="clear" w:color="auto" w:fill="auto"/>
            <w:noWrap/>
            <w:vAlign w:val="bottom"/>
            <w:hideMark/>
          </w:tcPr>
          <w:p w14:paraId="0EFC1524" w14:textId="0475B07E"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2,862</w:t>
            </w:r>
          </w:p>
        </w:tc>
        <w:tc>
          <w:tcPr>
            <w:tcW w:w="1276" w:type="dxa"/>
            <w:tcBorders>
              <w:top w:val="nil"/>
              <w:left w:val="nil"/>
              <w:bottom w:val="nil"/>
              <w:right w:val="single" w:sz="4" w:space="0" w:color="auto"/>
            </w:tcBorders>
            <w:shd w:val="clear" w:color="auto" w:fill="auto"/>
            <w:noWrap/>
            <w:vAlign w:val="bottom"/>
            <w:hideMark/>
          </w:tcPr>
          <w:p w14:paraId="77C3D20D" w14:textId="67F98801"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6,293</w:t>
            </w:r>
          </w:p>
        </w:tc>
      </w:tr>
      <w:tr w:rsidR="008B70CD" w:rsidRPr="002E63ED" w14:paraId="59291D6F" w14:textId="77777777" w:rsidTr="00A84425">
        <w:trPr>
          <w:trHeight w:val="330"/>
        </w:trPr>
        <w:tc>
          <w:tcPr>
            <w:tcW w:w="2494" w:type="dxa"/>
            <w:tcBorders>
              <w:top w:val="nil"/>
              <w:left w:val="single" w:sz="4" w:space="0" w:color="auto"/>
              <w:bottom w:val="nil"/>
              <w:right w:val="single" w:sz="4" w:space="0" w:color="auto"/>
            </w:tcBorders>
            <w:shd w:val="clear" w:color="auto" w:fill="auto"/>
            <w:noWrap/>
            <w:vAlign w:val="center"/>
            <w:hideMark/>
          </w:tcPr>
          <w:p w14:paraId="716255AF" w14:textId="77777777" w:rsidR="005C3079" w:rsidRPr="002E63ED" w:rsidRDefault="005C3079"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Australian smelt</w:t>
            </w:r>
          </w:p>
        </w:tc>
        <w:tc>
          <w:tcPr>
            <w:tcW w:w="0" w:type="auto"/>
            <w:tcBorders>
              <w:top w:val="nil"/>
              <w:left w:val="nil"/>
              <w:bottom w:val="nil"/>
              <w:right w:val="nil"/>
            </w:tcBorders>
            <w:shd w:val="clear" w:color="auto" w:fill="auto"/>
            <w:noWrap/>
            <w:vAlign w:val="bottom"/>
            <w:hideMark/>
          </w:tcPr>
          <w:p w14:paraId="647E1D8C" w14:textId="5FF848BC"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2,632</w:t>
            </w:r>
          </w:p>
        </w:tc>
        <w:tc>
          <w:tcPr>
            <w:tcW w:w="0" w:type="auto"/>
            <w:tcBorders>
              <w:top w:val="nil"/>
              <w:left w:val="nil"/>
              <w:bottom w:val="nil"/>
              <w:right w:val="nil"/>
            </w:tcBorders>
            <w:shd w:val="clear" w:color="auto" w:fill="auto"/>
            <w:noWrap/>
            <w:vAlign w:val="bottom"/>
            <w:hideMark/>
          </w:tcPr>
          <w:p w14:paraId="5540712E"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198</w:t>
            </w:r>
          </w:p>
        </w:tc>
        <w:tc>
          <w:tcPr>
            <w:tcW w:w="0" w:type="auto"/>
            <w:tcBorders>
              <w:top w:val="nil"/>
              <w:left w:val="nil"/>
              <w:bottom w:val="nil"/>
              <w:right w:val="nil"/>
            </w:tcBorders>
            <w:shd w:val="clear" w:color="auto" w:fill="auto"/>
            <w:noWrap/>
            <w:vAlign w:val="bottom"/>
            <w:hideMark/>
          </w:tcPr>
          <w:p w14:paraId="2442CC14"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292</w:t>
            </w:r>
          </w:p>
        </w:tc>
        <w:tc>
          <w:tcPr>
            <w:tcW w:w="0" w:type="auto"/>
            <w:tcBorders>
              <w:top w:val="nil"/>
              <w:left w:val="nil"/>
              <w:bottom w:val="nil"/>
              <w:right w:val="single" w:sz="4" w:space="0" w:color="auto"/>
            </w:tcBorders>
            <w:shd w:val="clear" w:color="auto" w:fill="auto"/>
            <w:noWrap/>
            <w:vAlign w:val="bottom"/>
            <w:hideMark/>
          </w:tcPr>
          <w:p w14:paraId="319BD0FE" w14:textId="318BEC62"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3,122</w:t>
            </w:r>
          </w:p>
        </w:tc>
        <w:tc>
          <w:tcPr>
            <w:tcW w:w="0" w:type="auto"/>
            <w:tcBorders>
              <w:top w:val="nil"/>
              <w:left w:val="nil"/>
              <w:bottom w:val="nil"/>
              <w:right w:val="nil"/>
            </w:tcBorders>
            <w:shd w:val="clear" w:color="auto" w:fill="auto"/>
            <w:noWrap/>
            <w:vAlign w:val="bottom"/>
            <w:hideMark/>
          </w:tcPr>
          <w:p w14:paraId="41AD5CD1" w14:textId="0BC4E4C8"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1,950</w:t>
            </w:r>
          </w:p>
        </w:tc>
        <w:tc>
          <w:tcPr>
            <w:tcW w:w="0" w:type="auto"/>
            <w:tcBorders>
              <w:top w:val="nil"/>
              <w:left w:val="nil"/>
              <w:bottom w:val="nil"/>
              <w:right w:val="nil"/>
            </w:tcBorders>
            <w:shd w:val="clear" w:color="auto" w:fill="auto"/>
            <w:noWrap/>
            <w:vAlign w:val="bottom"/>
            <w:hideMark/>
          </w:tcPr>
          <w:p w14:paraId="32CE8EC6"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373</w:t>
            </w:r>
          </w:p>
        </w:tc>
        <w:tc>
          <w:tcPr>
            <w:tcW w:w="0" w:type="auto"/>
            <w:tcBorders>
              <w:top w:val="nil"/>
              <w:left w:val="nil"/>
              <w:bottom w:val="nil"/>
              <w:right w:val="nil"/>
            </w:tcBorders>
            <w:shd w:val="clear" w:color="auto" w:fill="auto"/>
            <w:noWrap/>
            <w:vAlign w:val="bottom"/>
            <w:hideMark/>
          </w:tcPr>
          <w:p w14:paraId="39481B65"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106</w:t>
            </w:r>
          </w:p>
        </w:tc>
        <w:tc>
          <w:tcPr>
            <w:tcW w:w="929" w:type="dxa"/>
            <w:tcBorders>
              <w:top w:val="nil"/>
              <w:left w:val="nil"/>
              <w:bottom w:val="nil"/>
              <w:right w:val="single" w:sz="4" w:space="0" w:color="auto"/>
            </w:tcBorders>
            <w:shd w:val="clear" w:color="auto" w:fill="auto"/>
            <w:noWrap/>
            <w:vAlign w:val="bottom"/>
            <w:hideMark/>
          </w:tcPr>
          <w:p w14:paraId="1E4FC6E3" w14:textId="3200930A"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2,429</w:t>
            </w:r>
          </w:p>
        </w:tc>
        <w:tc>
          <w:tcPr>
            <w:tcW w:w="1276" w:type="dxa"/>
            <w:tcBorders>
              <w:top w:val="nil"/>
              <w:left w:val="nil"/>
              <w:bottom w:val="nil"/>
              <w:right w:val="single" w:sz="4" w:space="0" w:color="auto"/>
            </w:tcBorders>
            <w:shd w:val="clear" w:color="auto" w:fill="auto"/>
            <w:noWrap/>
            <w:vAlign w:val="bottom"/>
            <w:hideMark/>
          </w:tcPr>
          <w:p w14:paraId="758DBA18" w14:textId="6AE37B28"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5,551</w:t>
            </w:r>
          </w:p>
        </w:tc>
      </w:tr>
      <w:tr w:rsidR="008B70CD" w:rsidRPr="002E63ED" w14:paraId="1CBC4790" w14:textId="77777777" w:rsidTr="00A84425">
        <w:trPr>
          <w:trHeight w:val="330"/>
        </w:trPr>
        <w:tc>
          <w:tcPr>
            <w:tcW w:w="2494" w:type="dxa"/>
            <w:tcBorders>
              <w:top w:val="nil"/>
              <w:left w:val="single" w:sz="4" w:space="0" w:color="auto"/>
              <w:bottom w:val="nil"/>
              <w:right w:val="single" w:sz="4" w:space="0" w:color="auto"/>
            </w:tcBorders>
            <w:shd w:val="clear" w:color="auto" w:fill="auto"/>
            <w:noWrap/>
            <w:vAlign w:val="center"/>
            <w:hideMark/>
          </w:tcPr>
          <w:p w14:paraId="195B08C3" w14:textId="585F3931" w:rsidR="005C3079" w:rsidRPr="002E63ED" w:rsidRDefault="00487A0B"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Unspecked h</w:t>
            </w:r>
            <w:r w:rsidR="005C3079" w:rsidRPr="002E63ED">
              <w:rPr>
                <w:rFonts w:cs="Arial"/>
                <w:color w:val="auto"/>
                <w:kern w:val="0"/>
                <w:sz w:val="19"/>
                <w:szCs w:val="19"/>
                <w:lang w:eastAsia="en-AU"/>
              </w:rPr>
              <w:t>ardyhead</w:t>
            </w:r>
          </w:p>
        </w:tc>
        <w:tc>
          <w:tcPr>
            <w:tcW w:w="0" w:type="auto"/>
            <w:tcBorders>
              <w:top w:val="nil"/>
              <w:left w:val="nil"/>
              <w:bottom w:val="nil"/>
              <w:right w:val="nil"/>
            </w:tcBorders>
            <w:shd w:val="clear" w:color="auto" w:fill="auto"/>
            <w:noWrap/>
            <w:vAlign w:val="bottom"/>
            <w:hideMark/>
          </w:tcPr>
          <w:p w14:paraId="546BE7B9"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0</w:t>
            </w:r>
          </w:p>
        </w:tc>
        <w:tc>
          <w:tcPr>
            <w:tcW w:w="0" w:type="auto"/>
            <w:tcBorders>
              <w:top w:val="nil"/>
              <w:left w:val="nil"/>
              <w:bottom w:val="nil"/>
              <w:right w:val="nil"/>
            </w:tcBorders>
            <w:shd w:val="clear" w:color="auto" w:fill="auto"/>
            <w:noWrap/>
            <w:vAlign w:val="bottom"/>
            <w:hideMark/>
          </w:tcPr>
          <w:p w14:paraId="4AA5779A"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0</w:t>
            </w:r>
          </w:p>
        </w:tc>
        <w:tc>
          <w:tcPr>
            <w:tcW w:w="0" w:type="auto"/>
            <w:tcBorders>
              <w:top w:val="nil"/>
              <w:left w:val="nil"/>
              <w:bottom w:val="nil"/>
              <w:right w:val="nil"/>
            </w:tcBorders>
            <w:shd w:val="clear" w:color="auto" w:fill="auto"/>
            <w:noWrap/>
            <w:vAlign w:val="bottom"/>
            <w:hideMark/>
          </w:tcPr>
          <w:p w14:paraId="48EA2F27"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0</w:t>
            </w:r>
          </w:p>
        </w:tc>
        <w:tc>
          <w:tcPr>
            <w:tcW w:w="0" w:type="auto"/>
            <w:tcBorders>
              <w:top w:val="nil"/>
              <w:left w:val="nil"/>
              <w:bottom w:val="nil"/>
              <w:right w:val="single" w:sz="4" w:space="0" w:color="auto"/>
            </w:tcBorders>
            <w:shd w:val="clear" w:color="auto" w:fill="auto"/>
            <w:noWrap/>
            <w:vAlign w:val="bottom"/>
            <w:hideMark/>
          </w:tcPr>
          <w:p w14:paraId="5B1FCDB3" w14:textId="77777777"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0</w:t>
            </w:r>
          </w:p>
        </w:tc>
        <w:tc>
          <w:tcPr>
            <w:tcW w:w="0" w:type="auto"/>
            <w:tcBorders>
              <w:top w:val="nil"/>
              <w:left w:val="nil"/>
              <w:bottom w:val="nil"/>
              <w:right w:val="nil"/>
            </w:tcBorders>
            <w:shd w:val="clear" w:color="auto" w:fill="auto"/>
            <w:noWrap/>
            <w:vAlign w:val="bottom"/>
            <w:hideMark/>
          </w:tcPr>
          <w:p w14:paraId="6E232065"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12</w:t>
            </w:r>
          </w:p>
        </w:tc>
        <w:tc>
          <w:tcPr>
            <w:tcW w:w="0" w:type="auto"/>
            <w:tcBorders>
              <w:top w:val="nil"/>
              <w:left w:val="nil"/>
              <w:bottom w:val="nil"/>
              <w:right w:val="nil"/>
            </w:tcBorders>
            <w:shd w:val="clear" w:color="auto" w:fill="auto"/>
            <w:noWrap/>
            <w:vAlign w:val="bottom"/>
            <w:hideMark/>
          </w:tcPr>
          <w:p w14:paraId="549EB0C3"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0</w:t>
            </w:r>
          </w:p>
        </w:tc>
        <w:tc>
          <w:tcPr>
            <w:tcW w:w="0" w:type="auto"/>
            <w:tcBorders>
              <w:top w:val="nil"/>
              <w:left w:val="nil"/>
              <w:bottom w:val="nil"/>
              <w:right w:val="nil"/>
            </w:tcBorders>
            <w:shd w:val="clear" w:color="auto" w:fill="auto"/>
            <w:noWrap/>
            <w:vAlign w:val="bottom"/>
            <w:hideMark/>
          </w:tcPr>
          <w:p w14:paraId="66EFFC3C"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0</w:t>
            </w:r>
          </w:p>
        </w:tc>
        <w:tc>
          <w:tcPr>
            <w:tcW w:w="929" w:type="dxa"/>
            <w:tcBorders>
              <w:top w:val="nil"/>
              <w:left w:val="nil"/>
              <w:bottom w:val="nil"/>
              <w:right w:val="single" w:sz="4" w:space="0" w:color="auto"/>
            </w:tcBorders>
            <w:shd w:val="clear" w:color="auto" w:fill="auto"/>
            <w:noWrap/>
            <w:vAlign w:val="bottom"/>
            <w:hideMark/>
          </w:tcPr>
          <w:p w14:paraId="1FAC6A02" w14:textId="77777777"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12</w:t>
            </w:r>
          </w:p>
        </w:tc>
        <w:tc>
          <w:tcPr>
            <w:tcW w:w="1276" w:type="dxa"/>
            <w:tcBorders>
              <w:top w:val="nil"/>
              <w:left w:val="nil"/>
              <w:bottom w:val="nil"/>
              <w:right w:val="single" w:sz="4" w:space="0" w:color="auto"/>
            </w:tcBorders>
            <w:shd w:val="clear" w:color="auto" w:fill="auto"/>
            <w:noWrap/>
            <w:vAlign w:val="bottom"/>
            <w:hideMark/>
          </w:tcPr>
          <w:p w14:paraId="346B8AE5" w14:textId="77777777"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12</w:t>
            </w:r>
          </w:p>
        </w:tc>
      </w:tr>
      <w:tr w:rsidR="008B70CD" w:rsidRPr="002E63ED" w14:paraId="2365CC65" w14:textId="77777777" w:rsidTr="00A84425">
        <w:trPr>
          <w:trHeight w:val="330"/>
        </w:trPr>
        <w:tc>
          <w:tcPr>
            <w:tcW w:w="2494" w:type="dxa"/>
            <w:tcBorders>
              <w:top w:val="nil"/>
              <w:left w:val="single" w:sz="4" w:space="0" w:color="auto"/>
              <w:bottom w:val="nil"/>
              <w:right w:val="single" w:sz="4" w:space="0" w:color="auto"/>
            </w:tcBorders>
            <w:shd w:val="clear" w:color="auto" w:fill="auto"/>
            <w:noWrap/>
            <w:vAlign w:val="center"/>
            <w:hideMark/>
          </w:tcPr>
          <w:p w14:paraId="7E122704" w14:textId="77777777" w:rsidR="005C3079" w:rsidRPr="002E63ED" w:rsidRDefault="005C3079"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Murray rainbowfish</w:t>
            </w:r>
          </w:p>
        </w:tc>
        <w:tc>
          <w:tcPr>
            <w:tcW w:w="0" w:type="auto"/>
            <w:tcBorders>
              <w:top w:val="nil"/>
              <w:left w:val="nil"/>
              <w:bottom w:val="nil"/>
              <w:right w:val="nil"/>
            </w:tcBorders>
            <w:shd w:val="clear" w:color="auto" w:fill="auto"/>
            <w:noWrap/>
            <w:vAlign w:val="bottom"/>
            <w:hideMark/>
          </w:tcPr>
          <w:p w14:paraId="196FBE24"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0</w:t>
            </w:r>
          </w:p>
        </w:tc>
        <w:tc>
          <w:tcPr>
            <w:tcW w:w="0" w:type="auto"/>
            <w:tcBorders>
              <w:top w:val="nil"/>
              <w:left w:val="nil"/>
              <w:bottom w:val="nil"/>
              <w:right w:val="nil"/>
            </w:tcBorders>
            <w:shd w:val="clear" w:color="auto" w:fill="auto"/>
            <w:noWrap/>
            <w:vAlign w:val="bottom"/>
            <w:hideMark/>
          </w:tcPr>
          <w:p w14:paraId="6EDE1DF4"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0</w:t>
            </w:r>
          </w:p>
        </w:tc>
        <w:tc>
          <w:tcPr>
            <w:tcW w:w="0" w:type="auto"/>
            <w:tcBorders>
              <w:top w:val="nil"/>
              <w:left w:val="nil"/>
              <w:bottom w:val="nil"/>
              <w:right w:val="nil"/>
            </w:tcBorders>
            <w:shd w:val="clear" w:color="auto" w:fill="auto"/>
            <w:noWrap/>
            <w:vAlign w:val="bottom"/>
            <w:hideMark/>
          </w:tcPr>
          <w:p w14:paraId="5A30004B"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0</w:t>
            </w:r>
          </w:p>
        </w:tc>
        <w:tc>
          <w:tcPr>
            <w:tcW w:w="0" w:type="auto"/>
            <w:tcBorders>
              <w:top w:val="nil"/>
              <w:left w:val="nil"/>
              <w:bottom w:val="nil"/>
              <w:right w:val="single" w:sz="4" w:space="0" w:color="auto"/>
            </w:tcBorders>
            <w:shd w:val="clear" w:color="auto" w:fill="auto"/>
            <w:noWrap/>
            <w:vAlign w:val="bottom"/>
            <w:hideMark/>
          </w:tcPr>
          <w:p w14:paraId="7E881163" w14:textId="77777777"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0</w:t>
            </w:r>
          </w:p>
        </w:tc>
        <w:tc>
          <w:tcPr>
            <w:tcW w:w="0" w:type="auto"/>
            <w:tcBorders>
              <w:top w:val="nil"/>
              <w:left w:val="nil"/>
              <w:bottom w:val="nil"/>
              <w:right w:val="nil"/>
            </w:tcBorders>
            <w:shd w:val="clear" w:color="auto" w:fill="auto"/>
            <w:noWrap/>
            <w:vAlign w:val="bottom"/>
            <w:hideMark/>
          </w:tcPr>
          <w:p w14:paraId="4510027E"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4</w:t>
            </w:r>
          </w:p>
        </w:tc>
        <w:tc>
          <w:tcPr>
            <w:tcW w:w="0" w:type="auto"/>
            <w:tcBorders>
              <w:top w:val="nil"/>
              <w:left w:val="nil"/>
              <w:bottom w:val="nil"/>
              <w:right w:val="nil"/>
            </w:tcBorders>
            <w:shd w:val="clear" w:color="auto" w:fill="auto"/>
            <w:noWrap/>
            <w:vAlign w:val="bottom"/>
            <w:hideMark/>
          </w:tcPr>
          <w:p w14:paraId="123C7B9C"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0</w:t>
            </w:r>
          </w:p>
        </w:tc>
        <w:tc>
          <w:tcPr>
            <w:tcW w:w="0" w:type="auto"/>
            <w:tcBorders>
              <w:top w:val="nil"/>
              <w:left w:val="nil"/>
              <w:bottom w:val="nil"/>
              <w:right w:val="nil"/>
            </w:tcBorders>
            <w:shd w:val="clear" w:color="auto" w:fill="auto"/>
            <w:noWrap/>
            <w:vAlign w:val="bottom"/>
            <w:hideMark/>
          </w:tcPr>
          <w:p w14:paraId="355ECF5D"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0</w:t>
            </w:r>
          </w:p>
        </w:tc>
        <w:tc>
          <w:tcPr>
            <w:tcW w:w="929" w:type="dxa"/>
            <w:tcBorders>
              <w:top w:val="nil"/>
              <w:left w:val="nil"/>
              <w:bottom w:val="nil"/>
              <w:right w:val="single" w:sz="4" w:space="0" w:color="auto"/>
            </w:tcBorders>
            <w:shd w:val="clear" w:color="auto" w:fill="auto"/>
            <w:noWrap/>
            <w:vAlign w:val="bottom"/>
            <w:hideMark/>
          </w:tcPr>
          <w:p w14:paraId="1145E566" w14:textId="77777777"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4</w:t>
            </w:r>
          </w:p>
        </w:tc>
        <w:tc>
          <w:tcPr>
            <w:tcW w:w="1276" w:type="dxa"/>
            <w:tcBorders>
              <w:top w:val="nil"/>
              <w:left w:val="nil"/>
              <w:bottom w:val="nil"/>
              <w:right w:val="single" w:sz="4" w:space="0" w:color="auto"/>
            </w:tcBorders>
            <w:shd w:val="clear" w:color="auto" w:fill="auto"/>
            <w:noWrap/>
            <w:vAlign w:val="bottom"/>
            <w:hideMark/>
          </w:tcPr>
          <w:p w14:paraId="417E3FE3" w14:textId="77777777"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4</w:t>
            </w:r>
          </w:p>
        </w:tc>
      </w:tr>
      <w:tr w:rsidR="008B70CD" w:rsidRPr="002E63ED" w14:paraId="0B943665" w14:textId="77777777" w:rsidTr="00A84425">
        <w:trPr>
          <w:trHeight w:val="330"/>
        </w:trPr>
        <w:tc>
          <w:tcPr>
            <w:tcW w:w="2494" w:type="dxa"/>
            <w:tcBorders>
              <w:top w:val="nil"/>
              <w:left w:val="single" w:sz="4" w:space="0" w:color="auto"/>
              <w:bottom w:val="nil"/>
              <w:right w:val="single" w:sz="4" w:space="0" w:color="auto"/>
            </w:tcBorders>
            <w:shd w:val="clear" w:color="auto" w:fill="auto"/>
            <w:noWrap/>
            <w:vAlign w:val="bottom"/>
            <w:hideMark/>
          </w:tcPr>
          <w:p w14:paraId="135F0BDF" w14:textId="77777777" w:rsidR="005C3079" w:rsidRPr="002E63ED" w:rsidRDefault="005C3079" w:rsidP="005C3079">
            <w:pPr>
              <w:spacing w:before="0" w:after="0" w:line="240" w:lineRule="auto"/>
              <w:jc w:val="left"/>
              <w:rPr>
                <w:rFonts w:cs="Arial"/>
                <w:b/>
                <w:bCs/>
                <w:color w:val="auto"/>
                <w:kern w:val="0"/>
                <w:sz w:val="19"/>
                <w:szCs w:val="19"/>
                <w:lang w:eastAsia="en-AU"/>
              </w:rPr>
            </w:pPr>
            <w:r w:rsidRPr="002E63ED">
              <w:rPr>
                <w:rFonts w:cs="Arial"/>
                <w:b/>
                <w:bCs/>
                <w:color w:val="auto"/>
                <w:kern w:val="0"/>
                <w:sz w:val="19"/>
                <w:szCs w:val="19"/>
                <w:lang w:eastAsia="en-AU"/>
              </w:rPr>
              <w:t>Large-bodied</w:t>
            </w:r>
          </w:p>
        </w:tc>
        <w:tc>
          <w:tcPr>
            <w:tcW w:w="0" w:type="auto"/>
            <w:tcBorders>
              <w:top w:val="nil"/>
              <w:left w:val="nil"/>
              <w:bottom w:val="nil"/>
              <w:right w:val="nil"/>
            </w:tcBorders>
            <w:shd w:val="clear" w:color="auto" w:fill="auto"/>
            <w:noWrap/>
            <w:vAlign w:val="bottom"/>
            <w:hideMark/>
          </w:tcPr>
          <w:p w14:paraId="405720EF" w14:textId="77777777" w:rsidR="005C3079" w:rsidRPr="002E63ED" w:rsidRDefault="005C3079"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 </w:t>
            </w:r>
          </w:p>
        </w:tc>
        <w:tc>
          <w:tcPr>
            <w:tcW w:w="0" w:type="auto"/>
            <w:tcBorders>
              <w:top w:val="nil"/>
              <w:left w:val="nil"/>
              <w:bottom w:val="nil"/>
              <w:right w:val="nil"/>
            </w:tcBorders>
            <w:shd w:val="clear" w:color="auto" w:fill="auto"/>
            <w:noWrap/>
            <w:vAlign w:val="bottom"/>
            <w:hideMark/>
          </w:tcPr>
          <w:p w14:paraId="69975021" w14:textId="77777777" w:rsidR="005C3079" w:rsidRPr="002E63ED" w:rsidRDefault="005C3079" w:rsidP="005C3079">
            <w:pPr>
              <w:spacing w:before="0" w:after="0" w:line="240" w:lineRule="auto"/>
              <w:jc w:val="left"/>
              <w:rPr>
                <w:rFonts w:cs="Arial"/>
                <w:color w:val="auto"/>
                <w:kern w:val="0"/>
                <w:sz w:val="19"/>
                <w:szCs w:val="19"/>
                <w:lang w:eastAsia="en-AU"/>
              </w:rPr>
            </w:pPr>
          </w:p>
        </w:tc>
        <w:tc>
          <w:tcPr>
            <w:tcW w:w="0" w:type="auto"/>
            <w:tcBorders>
              <w:top w:val="nil"/>
              <w:left w:val="nil"/>
              <w:bottom w:val="nil"/>
              <w:right w:val="nil"/>
            </w:tcBorders>
            <w:shd w:val="clear" w:color="auto" w:fill="auto"/>
            <w:noWrap/>
            <w:vAlign w:val="bottom"/>
            <w:hideMark/>
          </w:tcPr>
          <w:p w14:paraId="6CEA03FD" w14:textId="77777777" w:rsidR="005C3079" w:rsidRPr="002E63ED" w:rsidRDefault="005C3079" w:rsidP="005C3079">
            <w:pPr>
              <w:spacing w:before="0" w:after="0" w:line="240" w:lineRule="auto"/>
              <w:jc w:val="left"/>
              <w:rPr>
                <w:rFonts w:ascii="Times New Roman" w:hAnsi="Times New Roman"/>
                <w:color w:val="auto"/>
                <w:kern w:val="0"/>
                <w:sz w:val="19"/>
                <w:szCs w:val="19"/>
                <w:lang w:eastAsia="en-AU"/>
              </w:rPr>
            </w:pPr>
          </w:p>
        </w:tc>
        <w:tc>
          <w:tcPr>
            <w:tcW w:w="0" w:type="auto"/>
            <w:tcBorders>
              <w:top w:val="nil"/>
              <w:left w:val="nil"/>
              <w:bottom w:val="nil"/>
              <w:right w:val="single" w:sz="4" w:space="0" w:color="auto"/>
            </w:tcBorders>
            <w:shd w:val="clear" w:color="auto" w:fill="auto"/>
            <w:noWrap/>
            <w:vAlign w:val="bottom"/>
            <w:hideMark/>
          </w:tcPr>
          <w:p w14:paraId="68A7E05E" w14:textId="77777777" w:rsidR="005C3079" w:rsidRPr="002E63ED" w:rsidRDefault="005C3079" w:rsidP="005C3079">
            <w:pPr>
              <w:spacing w:before="0" w:after="0" w:line="240" w:lineRule="auto"/>
              <w:jc w:val="left"/>
              <w:rPr>
                <w:rFonts w:cs="Arial"/>
                <w:b/>
                <w:bCs/>
                <w:color w:val="auto"/>
                <w:kern w:val="0"/>
                <w:sz w:val="19"/>
                <w:szCs w:val="19"/>
                <w:lang w:eastAsia="en-AU"/>
              </w:rPr>
            </w:pPr>
            <w:r w:rsidRPr="002E63ED">
              <w:rPr>
                <w:rFonts w:cs="Arial"/>
                <w:b/>
                <w:bCs/>
                <w:color w:val="auto"/>
                <w:kern w:val="0"/>
                <w:sz w:val="19"/>
                <w:szCs w:val="19"/>
                <w:lang w:eastAsia="en-AU"/>
              </w:rPr>
              <w:t> </w:t>
            </w:r>
          </w:p>
        </w:tc>
        <w:tc>
          <w:tcPr>
            <w:tcW w:w="0" w:type="auto"/>
            <w:tcBorders>
              <w:top w:val="nil"/>
              <w:left w:val="nil"/>
              <w:bottom w:val="nil"/>
              <w:right w:val="nil"/>
            </w:tcBorders>
            <w:shd w:val="clear" w:color="auto" w:fill="auto"/>
            <w:noWrap/>
            <w:vAlign w:val="bottom"/>
            <w:hideMark/>
          </w:tcPr>
          <w:p w14:paraId="0B575FE0" w14:textId="77777777" w:rsidR="005C3079" w:rsidRPr="002E63ED" w:rsidRDefault="005C3079"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 </w:t>
            </w:r>
          </w:p>
        </w:tc>
        <w:tc>
          <w:tcPr>
            <w:tcW w:w="0" w:type="auto"/>
            <w:tcBorders>
              <w:top w:val="nil"/>
              <w:left w:val="nil"/>
              <w:bottom w:val="nil"/>
              <w:right w:val="nil"/>
            </w:tcBorders>
            <w:shd w:val="clear" w:color="auto" w:fill="auto"/>
            <w:noWrap/>
            <w:vAlign w:val="bottom"/>
            <w:hideMark/>
          </w:tcPr>
          <w:p w14:paraId="3205D32B" w14:textId="77777777" w:rsidR="005C3079" w:rsidRPr="002E63ED" w:rsidRDefault="005C3079" w:rsidP="005C3079">
            <w:pPr>
              <w:spacing w:before="0" w:after="0" w:line="240" w:lineRule="auto"/>
              <w:jc w:val="left"/>
              <w:rPr>
                <w:rFonts w:cs="Arial"/>
                <w:color w:val="auto"/>
                <w:kern w:val="0"/>
                <w:sz w:val="19"/>
                <w:szCs w:val="19"/>
                <w:lang w:eastAsia="en-AU"/>
              </w:rPr>
            </w:pPr>
          </w:p>
        </w:tc>
        <w:tc>
          <w:tcPr>
            <w:tcW w:w="0" w:type="auto"/>
            <w:tcBorders>
              <w:top w:val="nil"/>
              <w:left w:val="nil"/>
              <w:bottom w:val="nil"/>
              <w:right w:val="nil"/>
            </w:tcBorders>
            <w:shd w:val="clear" w:color="auto" w:fill="auto"/>
            <w:noWrap/>
            <w:vAlign w:val="bottom"/>
            <w:hideMark/>
          </w:tcPr>
          <w:p w14:paraId="2482D457" w14:textId="77777777" w:rsidR="005C3079" w:rsidRPr="002E63ED" w:rsidRDefault="005C3079" w:rsidP="005C3079">
            <w:pPr>
              <w:spacing w:before="0" w:after="0" w:line="240" w:lineRule="auto"/>
              <w:jc w:val="left"/>
              <w:rPr>
                <w:rFonts w:ascii="Times New Roman" w:hAnsi="Times New Roman"/>
                <w:color w:val="auto"/>
                <w:kern w:val="0"/>
                <w:sz w:val="19"/>
                <w:szCs w:val="19"/>
                <w:lang w:eastAsia="en-AU"/>
              </w:rPr>
            </w:pPr>
          </w:p>
        </w:tc>
        <w:tc>
          <w:tcPr>
            <w:tcW w:w="929" w:type="dxa"/>
            <w:tcBorders>
              <w:top w:val="nil"/>
              <w:left w:val="nil"/>
              <w:bottom w:val="nil"/>
              <w:right w:val="single" w:sz="4" w:space="0" w:color="auto"/>
            </w:tcBorders>
            <w:shd w:val="clear" w:color="auto" w:fill="auto"/>
            <w:noWrap/>
            <w:vAlign w:val="bottom"/>
            <w:hideMark/>
          </w:tcPr>
          <w:p w14:paraId="4A18DE87" w14:textId="77777777" w:rsidR="005C3079" w:rsidRPr="002E63ED" w:rsidRDefault="005C3079" w:rsidP="005C3079">
            <w:pPr>
              <w:spacing w:before="0" w:after="0" w:line="240" w:lineRule="auto"/>
              <w:jc w:val="left"/>
              <w:rPr>
                <w:rFonts w:cs="Arial"/>
                <w:b/>
                <w:bCs/>
                <w:color w:val="auto"/>
                <w:kern w:val="0"/>
                <w:sz w:val="19"/>
                <w:szCs w:val="19"/>
                <w:lang w:eastAsia="en-AU"/>
              </w:rPr>
            </w:pPr>
            <w:r w:rsidRPr="002E63ED">
              <w:rPr>
                <w:rFonts w:cs="Arial"/>
                <w:b/>
                <w:bCs/>
                <w:color w:val="auto"/>
                <w:kern w:val="0"/>
                <w:sz w:val="19"/>
                <w:szCs w:val="19"/>
                <w:lang w:eastAsia="en-AU"/>
              </w:rPr>
              <w:t> </w:t>
            </w:r>
          </w:p>
        </w:tc>
        <w:tc>
          <w:tcPr>
            <w:tcW w:w="1276" w:type="dxa"/>
            <w:tcBorders>
              <w:top w:val="nil"/>
              <w:left w:val="nil"/>
              <w:bottom w:val="nil"/>
              <w:right w:val="single" w:sz="4" w:space="0" w:color="auto"/>
            </w:tcBorders>
            <w:shd w:val="clear" w:color="auto" w:fill="auto"/>
            <w:noWrap/>
            <w:vAlign w:val="bottom"/>
            <w:hideMark/>
          </w:tcPr>
          <w:p w14:paraId="371DC17A" w14:textId="77777777" w:rsidR="005C3079" w:rsidRPr="002E63ED" w:rsidRDefault="005C3079" w:rsidP="005C3079">
            <w:pPr>
              <w:spacing w:before="0" w:after="0" w:line="240" w:lineRule="auto"/>
              <w:jc w:val="left"/>
              <w:rPr>
                <w:rFonts w:cs="Arial"/>
                <w:b/>
                <w:bCs/>
                <w:color w:val="auto"/>
                <w:kern w:val="0"/>
                <w:sz w:val="19"/>
                <w:szCs w:val="19"/>
                <w:lang w:eastAsia="en-AU"/>
              </w:rPr>
            </w:pPr>
            <w:r w:rsidRPr="002E63ED">
              <w:rPr>
                <w:rFonts w:cs="Arial"/>
                <w:b/>
                <w:bCs/>
                <w:color w:val="auto"/>
                <w:kern w:val="0"/>
                <w:sz w:val="19"/>
                <w:szCs w:val="19"/>
                <w:lang w:eastAsia="en-AU"/>
              </w:rPr>
              <w:t> </w:t>
            </w:r>
          </w:p>
        </w:tc>
      </w:tr>
      <w:tr w:rsidR="008B70CD" w:rsidRPr="002E63ED" w14:paraId="3B30555C" w14:textId="77777777" w:rsidTr="00A84425">
        <w:trPr>
          <w:trHeight w:val="330"/>
        </w:trPr>
        <w:tc>
          <w:tcPr>
            <w:tcW w:w="2494" w:type="dxa"/>
            <w:tcBorders>
              <w:top w:val="nil"/>
              <w:left w:val="single" w:sz="4" w:space="0" w:color="auto"/>
              <w:bottom w:val="nil"/>
              <w:right w:val="single" w:sz="4" w:space="0" w:color="auto"/>
            </w:tcBorders>
            <w:shd w:val="clear" w:color="auto" w:fill="auto"/>
            <w:noWrap/>
            <w:vAlign w:val="center"/>
            <w:hideMark/>
          </w:tcPr>
          <w:p w14:paraId="4FF788B2" w14:textId="77777777" w:rsidR="005C3079" w:rsidRPr="002E63ED" w:rsidRDefault="005C3079"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Bony herring</w:t>
            </w:r>
          </w:p>
        </w:tc>
        <w:tc>
          <w:tcPr>
            <w:tcW w:w="0" w:type="auto"/>
            <w:tcBorders>
              <w:top w:val="nil"/>
              <w:left w:val="nil"/>
              <w:bottom w:val="nil"/>
              <w:right w:val="nil"/>
            </w:tcBorders>
            <w:shd w:val="clear" w:color="auto" w:fill="auto"/>
            <w:noWrap/>
            <w:vAlign w:val="bottom"/>
            <w:hideMark/>
          </w:tcPr>
          <w:p w14:paraId="664403DB" w14:textId="003A7B31"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1,507</w:t>
            </w:r>
          </w:p>
        </w:tc>
        <w:tc>
          <w:tcPr>
            <w:tcW w:w="0" w:type="auto"/>
            <w:tcBorders>
              <w:top w:val="nil"/>
              <w:left w:val="nil"/>
              <w:bottom w:val="nil"/>
              <w:right w:val="nil"/>
            </w:tcBorders>
            <w:shd w:val="clear" w:color="auto" w:fill="auto"/>
            <w:noWrap/>
            <w:vAlign w:val="bottom"/>
            <w:hideMark/>
          </w:tcPr>
          <w:p w14:paraId="5A54D7AD"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268</w:t>
            </w:r>
          </w:p>
        </w:tc>
        <w:tc>
          <w:tcPr>
            <w:tcW w:w="0" w:type="auto"/>
            <w:tcBorders>
              <w:top w:val="nil"/>
              <w:left w:val="nil"/>
              <w:bottom w:val="nil"/>
              <w:right w:val="nil"/>
            </w:tcBorders>
            <w:shd w:val="clear" w:color="auto" w:fill="auto"/>
            <w:noWrap/>
            <w:vAlign w:val="bottom"/>
            <w:hideMark/>
          </w:tcPr>
          <w:p w14:paraId="03E2F001"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453</w:t>
            </w:r>
          </w:p>
        </w:tc>
        <w:tc>
          <w:tcPr>
            <w:tcW w:w="0" w:type="auto"/>
            <w:tcBorders>
              <w:top w:val="nil"/>
              <w:left w:val="nil"/>
              <w:bottom w:val="nil"/>
              <w:right w:val="single" w:sz="4" w:space="0" w:color="auto"/>
            </w:tcBorders>
            <w:shd w:val="clear" w:color="auto" w:fill="auto"/>
            <w:noWrap/>
            <w:vAlign w:val="bottom"/>
            <w:hideMark/>
          </w:tcPr>
          <w:p w14:paraId="341DF5E9" w14:textId="4587A7BB"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2,228</w:t>
            </w:r>
          </w:p>
        </w:tc>
        <w:tc>
          <w:tcPr>
            <w:tcW w:w="0" w:type="auto"/>
            <w:tcBorders>
              <w:top w:val="nil"/>
              <w:left w:val="nil"/>
              <w:bottom w:val="nil"/>
              <w:right w:val="nil"/>
            </w:tcBorders>
            <w:shd w:val="clear" w:color="auto" w:fill="auto"/>
            <w:noWrap/>
            <w:vAlign w:val="bottom"/>
            <w:hideMark/>
          </w:tcPr>
          <w:p w14:paraId="7C6FB12D" w14:textId="0AC3A715"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1,200</w:t>
            </w:r>
          </w:p>
        </w:tc>
        <w:tc>
          <w:tcPr>
            <w:tcW w:w="0" w:type="auto"/>
            <w:tcBorders>
              <w:top w:val="nil"/>
              <w:left w:val="nil"/>
              <w:bottom w:val="nil"/>
              <w:right w:val="nil"/>
            </w:tcBorders>
            <w:shd w:val="clear" w:color="auto" w:fill="auto"/>
            <w:noWrap/>
            <w:vAlign w:val="bottom"/>
            <w:hideMark/>
          </w:tcPr>
          <w:p w14:paraId="63ECFAC4"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120</w:t>
            </w:r>
          </w:p>
        </w:tc>
        <w:tc>
          <w:tcPr>
            <w:tcW w:w="0" w:type="auto"/>
            <w:tcBorders>
              <w:top w:val="nil"/>
              <w:left w:val="nil"/>
              <w:bottom w:val="nil"/>
              <w:right w:val="nil"/>
            </w:tcBorders>
            <w:shd w:val="clear" w:color="auto" w:fill="auto"/>
            <w:noWrap/>
            <w:vAlign w:val="bottom"/>
            <w:hideMark/>
          </w:tcPr>
          <w:p w14:paraId="155D0EF1"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30</w:t>
            </w:r>
          </w:p>
        </w:tc>
        <w:tc>
          <w:tcPr>
            <w:tcW w:w="929" w:type="dxa"/>
            <w:tcBorders>
              <w:top w:val="nil"/>
              <w:left w:val="nil"/>
              <w:bottom w:val="nil"/>
              <w:right w:val="single" w:sz="4" w:space="0" w:color="auto"/>
            </w:tcBorders>
            <w:shd w:val="clear" w:color="auto" w:fill="auto"/>
            <w:noWrap/>
            <w:vAlign w:val="bottom"/>
            <w:hideMark/>
          </w:tcPr>
          <w:p w14:paraId="2E12EFF2" w14:textId="33F8A3D8"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1,350</w:t>
            </w:r>
          </w:p>
        </w:tc>
        <w:tc>
          <w:tcPr>
            <w:tcW w:w="1276" w:type="dxa"/>
            <w:tcBorders>
              <w:top w:val="nil"/>
              <w:left w:val="nil"/>
              <w:bottom w:val="nil"/>
              <w:right w:val="single" w:sz="4" w:space="0" w:color="auto"/>
            </w:tcBorders>
            <w:shd w:val="clear" w:color="auto" w:fill="auto"/>
            <w:noWrap/>
            <w:vAlign w:val="bottom"/>
            <w:hideMark/>
          </w:tcPr>
          <w:p w14:paraId="278BD9D4" w14:textId="5E94BA80"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3,578</w:t>
            </w:r>
          </w:p>
        </w:tc>
      </w:tr>
      <w:tr w:rsidR="008B70CD" w:rsidRPr="002E63ED" w14:paraId="1C8B9F2B" w14:textId="77777777" w:rsidTr="00A84425">
        <w:trPr>
          <w:trHeight w:val="330"/>
        </w:trPr>
        <w:tc>
          <w:tcPr>
            <w:tcW w:w="2494" w:type="dxa"/>
            <w:tcBorders>
              <w:top w:val="nil"/>
              <w:left w:val="single" w:sz="4" w:space="0" w:color="auto"/>
              <w:bottom w:val="nil"/>
              <w:right w:val="single" w:sz="4" w:space="0" w:color="auto"/>
            </w:tcBorders>
            <w:shd w:val="clear" w:color="auto" w:fill="auto"/>
            <w:noWrap/>
            <w:vAlign w:val="center"/>
            <w:hideMark/>
          </w:tcPr>
          <w:p w14:paraId="48477EDE" w14:textId="77777777" w:rsidR="005C3079" w:rsidRPr="002E63ED" w:rsidRDefault="005C3079"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Common carp</w:t>
            </w:r>
          </w:p>
        </w:tc>
        <w:tc>
          <w:tcPr>
            <w:tcW w:w="0" w:type="auto"/>
            <w:tcBorders>
              <w:top w:val="nil"/>
              <w:left w:val="nil"/>
              <w:bottom w:val="nil"/>
              <w:right w:val="nil"/>
            </w:tcBorders>
            <w:shd w:val="clear" w:color="auto" w:fill="auto"/>
            <w:noWrap/>
            <w:vAlign w:val="bottom"/>
            <w:hideMark/>
          </w:tcPr>
          <w:p w14:paraId="79DAD952"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22</w:t>
            </w:r>
          </w:p>
        </w:tc>
        <w:tc>
          <w:tcPr>
            <w:tcW w:w="0" w:type="auto"/>
            <w:tcBorders>
              <w:top w:val="nil"/>
              <w:left w:val="nil"/>
              <w:bottom w:val="nil"/>
              <w:right w:val="nil"/>
            </w:tcBorders>
            <w:shd w:val="clear" w:color="auto" w:fill="auto"/>
            <w:noWrap/>
            <w:vAlign w:val="bottom"/>
            <w:hideMark/>
          </w:tcPr>
          <w:p w14:paraId="5BD0145A"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0</w:t>
            </w:r>
          </w:p>
        </w:tc>
        <w:tc>
          <w:tcPr>
            <w:tcW w:w="0" w:type="auto"/>
            <w:tcBorders>
              <w:top w:val="nil"/>
              <w:left w:val="nil"/>
              <w:bottom w:val="nil"/>
              <w:right w:val="nil"/>
            </w:tcBorders>
            <w:shd w:val="clear" w:color="auto" w:fill="auto"/>
            <w:noWrap/>
            <w:vAlign w:val="bottom"/>
            <w:hideMark/>
          </w:tcPr>
          <w:p w14:paraId="58A99A62"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0</w:t>
            </w:r>
          </w:p>
        </w:tc>
        <w:tc>
          <w:tcPr>
            <w:tcW w:w="0" w:type="auto"/>
            <w:tcBorders>
              <w:top w:val="nil"/>
              <w:left w:val="nil"/>
              <w:bottom w:val="nil"/>
              <w:right w:val="single" w:sz="4" w:space="0" w:color="auto"/>
            </w:tcBorders>
            <w:shd w:val="clear" w:color="auto" w:fill="auto"/>
            <w:noWrap/>
            <w:vAlign w:val="bottom"/>
            <w:hideMark/>
          </w:tcPr>
          <w:p w14:paraId="7D948BB2" w14:textId="77777777"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22</w:t>
            </w:r>
          </w:p>
        </w:tc>
        <w:tc>
          <w:tcPr>
            <w:tcW w:w="0" w:type="auto"/>
            <w:tcBorders>
              <w:top w:val="nil"/>
              <w:left w:val="nil"/>
              <w:bottom w:val="nil"/>
              <w:right w:val="nil"/>
            </w:tcBorders>
            <w:shd w:val="clear" w:color="auto" w:fill="auto"/>
            <w:noWrap/>
            <w:vAlign w:val="bottom"/>
            <w:hideMark/>
          </w:tcPr>
          <w:p w14:paraId="46C033A9"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83</w:t>
            </w:r>
          </w:p>
        </w:tc>
        <w:tc>
          <w:tcPr>
            <w:tcW w:w="0" w:type="auto"/>
            <w:tcBorders>
              <w:top w:val="nil"/>
              <w:left w:val="nil"/>
              <w:bottom w:val="nil"/>
              <w:right w:val="nil"/>
            </w:tcBorders>
            <w:shd w:val="clear" w:color="auto" w:fill="auto"/>
            <w:noWrap/>
            <w:vAlign w:val="bottom"/>
            <w:hideMark/>
          </w:tcPr>
          <w:p w14:paraId="568AA7F2"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5</w:t>
            </w:r>
          </w:p>
        </w:tc>
        <w:tc>
          <w:tcPr>
            <w:tcW w:w="0" w:type="auto"/>
            <w:tcBorders>
              <w:top w:val="nil"/>
              <w:left w:val="nil"/>
              <w:bottom w:val="nil"/>
              <w:right w:val="nil"/>
            </w:tcBorders>
            <w:shd w:val="clear" w:color="auto" w:fill="auto"/>
            <w:noWrap/>
            <w:vAlign w:val="bottom"/>
            <w:hideMark/>
          </w:tcPr>
          <w:p w14:paraId="2059C8AE"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2</w:t>
            </w:r>
          </w:p>
        </w:tc>
        <w:tc>
          <w:tcPr>
            <w:tcW w:w="929" w:type="dxa"/>
            <w:tcBorders>
              <w:top w:val="nil"/>
              <w:left w:val="nil"/>
              <w:bottom w:val="nil"/>
              <w:right w:val="single" w:sz="4" w:space="0" w:color="auto"/>
            </w:tcBorders>
            <w:shd w:val="clear" w:color="auto" w:fill="auto"/>
            <w:noWrap/>
            <w:vAlign w:val="bottom"/>
            <w:hideMark/>
          </w:tcPr>
          <w:p w14:paraId="2F7485EA" w14:textId="77777777"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90</w:t>
            </w:r>
          </w:p>
        </w:tc>
        <w:tc>
          <w:tcPr>
            <w:tcW w:w="1276" w:type="dxa"/>
            <w:tcBorders>
              <w:top w:val="nil"/>
              <w:left w:val="nil"/>
              <w:bottom w:val="nil"/>
              <w:right w:val="single" w:sz="4" w:space="0" w:color="auto"/>
            </w:tcBorders>
            <w:shd w:val="clear" w:color="auto" w:fill="auto"/>
            <w:noWrap/>
            <w:vAlign w:val="bottom"/>
            <w:hideMark/>
          </w:tcPr>
          <w:p w14:paraId="24423F85" w14:textId="77777777"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112</w:t>
            </w:r>
          </w:p>
        </w:tc>
      </w:tr>
      <w:tr w:rsidR="008B70CD" w:rsidRPr="002E63ED" w14:paraId="7C22E754" w14:textId="77777777" w:rsidTr="00A84425">
        <w:trPr>
          <w:trHeight w:val="330"/>
        </w:trPr>
        <w:tc>
          <w:tcPr>
            <w:tcW w:w="2494" w:type="dxa"/>
            <w:tcBorders>
              <w:top w:val="nil"/>
              <w:left w:val="single" w:sz="4" w:space="0" w:color="auto"/>
              <w:bottom w:val="nil"/>
              <w:right w:val="single" w:sz="4" w:space="0" w:color="auto"/>
            </w:tcBorders>
            <w:shd w:val="clear" w:color="auto" w:fill="auto"/>
            <w:noWrap/>
            <w:vAlign w:val="center"/>
            <w:hideMark/>
          </w:tcPr>
          <w:p w14:paraId="0B6942AD" w14:textId="77777777" w:rsidR="005C3079" w:rsidRPr="002E63ED" w:rsidRDefault="005C3079"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Murray cod</w:t>
            </w:r>
          </w:p>
        </w:tc>
        <w:tc>
          <w:tcPr>
            <w:tcW w:w="0" w:type="auto"/>
            <w:tcBorders>
              <w:top w:val="nil"/>
              <w:left w:val="nil"/>
              <w:bottom w:val="nil"/>
              <w:right w:val="nil"/>
            </w:tcBorders>
            <w:shd w:val="clear" w:color="auto" w:fill="auto"/>
            <w:noWrap/>
            <w:vAlign w:val="bottom"/>
            <w:hideMark/>
          </w:tcPr>
          <w:p w14:paraId="602F8D0F"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15</w:t>
            </w:r>
          </w:p>
        </w:tc>
        <w:tc>
          <w:tcPr>
            <w:tcW w:w="0" w:type="auto"/>
            <w:tcBorders>
              <w:top w:val="nil"/>
              <w:left w:val="nil"/>
              <w:bottom w:val="nil"/>
              <w:right w:val="nil"/>
            </w:tcBorders>
            <w:shd w:val="clear" w:color="auto" w:fill="auto"/>
            <w:noWrap/>
            <w:vAlign w:val="bottom"/>
            <w:hideMark/>
          </w:tcPr>
          <w:p w14:paraId="1B436AB8"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2</w:t>
            </w:r>
          </w:p>
        </w:tc>
        <w:tc>
          <w:tcPr>
            <w:tcW w:w="0" w:type="auto"/>
            <w:tcBorders>
              <w:top w:val="nil"/>
              <w:left w:val="nil"/>
              <w:bottom w:val="nil"/>
              <w:right w:val="nil"/>
            </w:tcBorders>
            <w:shd w:val="clear" w:color="auto" w:fill="auto"/>
            <w:noWrap/>
            <w:vAlign w:val="bottom"/>
            <w:hideMark/>
          </w:tcPr>
          <w:p w14:paraId="0461C866"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0</w:t>
            </w:r>
          </w:p>
        </w:tc>
        <w:tc>
          <w:tcPr>
            <w:tcW w:w="0" w:type="auto"/>
            <w:tcBorders>
              <w:top w:val="nil"/>
              <w:left w:val="nil"/>
              <w:bottom w:val="nil"/>
              <w:right w:val="single" w:sz="4" w:space="0" w:color="auto"/>
            </w:tcBorders>
            <w:shd w:val="clear" w:color="auto" w:fill="auto"/>
            <w:noWrap/>
            <w:vAlign w:val="bottom"/>
            <w:hideMark/>
          </w:tcPr>
          <w:p w14:paraId="3651A355" w14:textId="77777777"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17</w:t>
            </w:r>
          </w:p>
        </w:tc>
        <w:tc>
          <w:tcPr>
            <w:tcW w:w="0" w:type="auto"/>
            <w:tcBorders>
              <w:top w:val="nil"/>
              <w:left w:val="nil"/>
              <w:bottom w:val="nil"/>
              <w:right w:val="nil"/>
            </w:tcBorders>
            <w:shd w:val="clear" w:color="auto" w:fill="auto"/>
            <w:noWrap/>
            <w:vAlign w:val="bottom"/>
            <w:hideMark/>
          </w:tcPr>
          <w:p w14:paraId="74F3C925"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11</w:t>
            </w:r>
          </w:p>
        </w:tc>
        <w:tc>
          <w:tcPr>
            <w:tcW w:w="0" w:type="auto"/>
            <w:tcBorders>
              <w:top w:val="nil"/>
              <w:left w:val="nil"/>
              <w:bottom w:val="nil"/>
              <w:right w:val="nil"/>
            </w:tcBorders>
            <w:shd w:val="clear" w:color="auto" w:fill="auto"/>
            <w:noWrap/>
            <w:vAlign w:val="bottom"/>
            <w:hideMark/>
          </w:tcPr>
          <w:p w14:paraId="47788568"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0</w:t>
            </w:r>
          </w:p>
        </w:tc>
        <w:tc>
          <w:tcPr>
            <w:tcW w:w="0" w:type="auto"/>
            <w:tcBorders>
              <w:top w:val="nil"/>
              <w:left w:val="nil"/>
              <w:bottom w:val="nil"/>
              <w:right w:val="nil"/>
            </w:tcBorders>
            <w:shd w:val="clear" w:color="auto" w:fill="auto"/>
            <w:noWrap/>
            <w:vAlign w:val="bottom"/>
            <w:hideMark/>
          </w:tcPr>
          <w:p w14:paraId="75A2AF16"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1</w:t>
            </w:r>
          </w:p>
        </w:tc>
        <w:tc>
          <w:tcPr>
            <w:tcW w:w="929" w:type="dxa"/>
            <w:tcBorders>
              <w:top w:val="nil"/>
              <w:left w:val="nil"/>
              <w:bottom w:val="nil"/>
              <w:right w:val="single" w:sz="4" w:space="0" w:color="auto"/>
            </w:tcBorders>
            <w:shd w:val="clear" w:color="auto" w:fill="auto"/>
            <w:noWrap/>
            <w:vAlign w:val="bottom"/>
            <w:hideMark/>
          </w:tcPr>
          <w:p w14:paraId="7D23C3B1" w14:textId="77777777"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12</w:t>
            </w:r>
          </w:p>
        </w:tc>
        <w:tc>
          <w:tcPr>
            <w:tcW w:w="1276" w:type="dxa"/>
            <w:tcBorders>
              <w:top w:val="nil"/>
              <w:left w:val="nil"/>
              <w:bottom w:val="nil"/>
              <w:right w:val="single" w:sz="4" w:space="0" w:color="auto"/>
            </w:tcBorders>
            <w:shd w:val="clear" w:color="auto" w:fill="auto"/>
            <w:noWrap/>
            <w:vAlign w:val="bottom"/>
            <w:hideMark/>
          </w:tcPr>
          <w:p w14:paraId="6017624C" w14:textId="77777777"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29</w:t>
            </w:r>
          </w:p>
        </w:tc>
      </w:tr>
      <w:tr w:rsidR="008B70CD" w:rsidRPr="002E63ED" w14:paraId="2ED5178E" w14:textId="77777777" w:rsidTr="00A84425">
        <w:trPr>
          <w:trHeight w:val="330"/>
        </w:trPr>
        <w:tc>
          <w:tcPr>
            <w:tcW w:w="2494" w:type="dxa"/>
            <w:tcBorders>
              <w:top w:val="nil"/>
              <w:left w:val="single" w:sz="4" w:space="0" w:color="auto"/>
              <w:bottom w:val="nil"/>
              <w:right w:val="single" w:sz="4" w:space="0" w:color="auto"/>
            </w:tcBorders>
            <w:shd w:val="clear" w:color="auto" w:fill="auto"/>
            <w:noWrap/>
            <w:vAlign w:val="center"/>
            <w:hideMark/>
          </w:tcPr>
          <w:p w14:paraId="62118D08" w14:textId="77777777" w:rsidR="005C3079" w:rsidRPr="002E63ED" w:rsidRDefault="005C3079" w:rsidP="005C3079">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Freshwater catfish</w:t>
            </w:r>
          </w:p>
        </w:tc>
        <w:tc>
          <w:tcPr>
            <w:tcW w:w="0" w:type="auto"/>
            <w:tcBorders>
              <w:top w:val="nil"/>
              <w:left w:val="nil"/>
              <w:bottom w:val="nil"/>
              <w:right w:val="nil"/>
            </w:tcBorders>
            <w:shd w:val="clear" w:color="auto" w:fill="auto"/>
            <w:noWrap/>
            <w:vAlign w:val="bottom"/>
            <w:hideMark/>
          </w:tcPr>
          <w:p w14:paraId="565C4E23"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6</w:t>
            </w:r>
          </w:p>
        </w:tc>
        <w:tc>
          <w:tcPr>
            <w:tcW w:w="0" w:type="auto"/>
            <w:tcBorders>
              <w:top w:val="nil"/>
              <w:left w:val="nil"/>
              <w:bottom w:val="nil"/>
              <w:right w:val="nil"/>
            </w:tcBorders>
            <w:shd w:val="clear" w:color="auto" w:fill="auto"/>
            <w:noWrap/>
            <w:vAlign w:val="bottom"/>
            <w:hideMark/>
          </w:tcPr>
          <w:p w14:paraId="2E2E7393"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1</w:t>
            </w:r>
          </w:p>
        </w:tc>
        <w:tc>
          <w:tcPr>
            <w:tcW w:w="0" w:type="auto"/>
            <w:tcBorders>
              <w:top w:val="nil"/>
              <w:left w:val="nil"/>
              <w:bottom w:val="nil"/>
              <w:right w:val="nil"/>
            </w:tcBorders>
            <w:shd w:val="clear" w:color="auto" w:fill="auto"/>
            <w:noWrap/>
            <w:vAlign w:val="bottom"/>
            <w:hideMark/>
          </w:tcPr>
          <w:p w14:paraId="4714A698"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1</w:t>
            </w:r>
          </w:p>
        </w:tc>
        <w:tc>
          <w:tcPr>
            <w:tcW w:w="0" w:type="auto"/>
            <w:tcBorders>
              <w:top w:val="nil"/>
              <w:left w:val="nil"/>
              <w:bottom w:val="nil"/>
              <w:right w:val="single" w:sz="4" w:space="0" w:color="auto"/>
            </w:tcBorders>
            <w:shd w:val="clear" w:color="auto" w:fill="auto"/>
            <w:noWrap/>
            <w:vAlign w:val="bottom"/>
            <w:hideMark/>
          </w:tcPr>
          <w:p w14:paraId="7E47E709" w14:textId="77777777"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8</w:t>
            </w:r>
          </w:p>
        </w:tc>
        <w:tc>
          <w:tcPr>
            <w:tcW w:w="0" w:type="auto"/>
            <w:tcBorders>
              <w:top w:val="nil"/>
              <w:left w:val="nil"/>
              <w:bottom w:val="nil"/>
              <w:right w:val="nil"/>
            </w:tcBorders>
            <w:shd w:val="clear" w:color="auto" w:fill="auto"/>
            <w:noWrap/>
            <w:vAlign w:val="bottom"/>
            <w:hideMark/>
          </w:tcPr>
          <w:p w14:paraId="277751F6"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6</w:t>
            </w:r>
          </w:p>
        </w:tc>
        <w:tc>
          <w:tcPr>
            <w:tcW w:w="0" w:type="auto"/>
            <w:tcBorders>
              <w:top w:val="nil"/>
              <w:left w:val="nil"/>
              <w:bottom w:val="nil"/>
              <w:right w:val="nil"/>
            </w:tcBorders>
            <w:shd w:val="clear" w:color="auto" w:fill="auto"/>
            <w:noWrap/>
            <w:vAlign w:val="bottom"/>
            <w:hideMark/>
          </w:tcPr>
          <w:p w14:paraId="2790106D"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0</w:t>
            </w:r>
          </w:p>
        </w:tc>
        <w:tc>
          <w:tcPr>
            <w:tcW w:w="0" w:type="auto"/>
            <w:tcBorders>
              <w:top w:val="nil"/>
              <w:left w:val="nil"/>
              <w:bottom w:val="nil"/>
              <w:right w:val="nil"/>
            </w:tcBorders>
            <w:shd w:val="clear" w:color="auto" w:fill="auto"/>
            <w:noWrap/>
            <w:vAlign w:val="bottom"/>
            <w:hideMark/>
          </w:tcPr>
          <w:p w14:paraId="5CD2F911" w14:textId="77777777" w:rsidR="005C3079" w:rsidRPr="002E63ED" w:rsidRDefault="005C3079" w:rsidP="005C3079">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0</w:t>
            </w:r>
          </w:p>
        </w:tc>
        <w:tc>
          <w:tcPr>
            <w:tcW w:w="929" w:type="dxa"/>
            <w:tcBorders>
              <w:top w:val="nil"/>
              <w:left w:val="nil"/>
              <w:bottom w:val="nil"/>
              <w:right w:val="single" w:sz="4" w:space="0" w:color="auto"/>
            </w:tcBorders>
            <w:shd w:val="clear" w:color="auto" w:fill="auto"/>
            <w:noWrap/>
            <w:vAlign w:val="bottom"/>
            <w:hideMark/>
          </w:tcPr>
          <w:p w14:paraId="24A9E85B" w14:textId="77777777"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6</w:t>
            </w:r>
          </w:p>
        </w:tc>
        <w:tc>
          <w:tcPr>
            <w:tcW w:w="1276" w:type="dxa"/>
            <w:tcBorders>
              <w:top w:val="nil"/>
              <w:left w:val="nil"/>
              <w:bottom w:val="nil"/>
              <w:right w:val="single" w:sz="4" w:space="0" w:color="auto"/>
            </w:tcBorders>
            <w:shd w:val="clear" w:color="auto" w:fill="auto"/>
            <w:noWrap/>
            <w:vAlign w:val="bottom"/>
            <w:hideMark/>
          </w:tcPr>
          <w:p w14:paraId="2543A31B" w14:textId="77777777" w:rsidR="005C3079" w:rsidRPr="002E63ED" w:rsidRDefault="005C3079" w:rsidP="005C3079">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14</w:t>
            </w:r>
          </w:p>
        </w:tc>
      </w:tr>
      <w:tr w:rsidR="008B70CD" w:rsidRPr="002E63ED" w14:paraId="28922E26" w14:textId="77777777" w:rsidTr="00A84425">
        <w:trPr>
          <w:trHeight w:val="330"/>
        </w:trPr>
        <w:tc>
          <w:tcPr>
            <w:tcW w:w="2494" w:type="dxa"/>
            <w:tcBorders>
              <w:top w:val="nil"/>
              <w:left w:val="single" w:sz="4" w:space="0" w:color="auto"/>
              <w:bottom w:val="nil"/>
              <w:right w:val="single" w:sz="4" w:space="0" w:color="auto"/>
            </w:tcBorders>
            <w:shd w:val="clear" w:color="auto" w:fill="auto"/>
            <w:noWrap/>
            <w:vAlign w:val="center"/>
            <w:hideMark/>
          </w:tcPr>
          <w:p w14:paraId="3D60599E" w14:textId="77777777" w:rsidR="005C3079" w:rsidRPr="002E63ED" w:rsidRDefault="005C3079" w:rsidP="005C3079">
            <w:pPr>
              <w:spacing w:before="0" w:after="0" w:line="240" w:lineRule="auto"/>
              <w:jc w:val="left"/>
              <w:rPr>
                <w:rFonts w:cs="Arial"/>
                <w:color w:val="FF0000"/>
                <w:kern w:val="0"/>
                <w:sz w:val="19"/>
                <w:szCs w:val="19"/>
                <w:lang w:eastAsia="en-AU"/>
              </w:rPr>
            </w:pPr>
            <w:r w:rsidRPr="002E63ED">
              <w:rPr>
                <w:rFonts w:cs="Arial"/>
                <w:color w:val="FF0000"/>
                <w:kern w:val="0"/>
                <w:sz w:val="19"/>
                <w:szCs w:val="19"/>
                <w:lang w:eastAsia="en-AU"/>
              </w:rPr>
              <w:t>Golden perch</w:t>
            </w:r>
          </w:p>
        </w:tc>
        <w:tc>
          <w:tcPr>
            <w:tcW w:w="0" w:type="auto"/>
            <w:tcBorders>
              <w:top w:val="nil"/>
              <w:left w:val="nil"/>
              <w:bottom w:val="nil"/>
              <w:right w:val="nil"/>
            </w:tcBorders>
            <w:shd w:val="clear" w:color="auto" w:fill="auto"/>
            <w:noWrap/>
            <w:vAlign w:val="bottom"/>
            <w:hideMark/>
          </w:tcPr>
          <w:p w14:paraId="345AD858" w14:textId="77777777" w:rsidR="005C3079" w:rsidRPr="002E63ED" w:rsidRDefault="005C3079" w:rsidP="005C3079">
            <w:pPr>
              <w:spacing w:before="0" w:after="0" w:line="240" w:lineRule="auto"/>
              <w:jc w:val="right"/>
              <w:rPr>
                <w:rFonts w:cs="Arial"/>
                <w:color w:val="FF0000"/>
                <w:kern w:val="0"/>
                <w:sz w:val="19"/>
                <w:szCs w:val="19"/>
                <w:lang w:eastAsia="en-AU"/>
              </w:rPr>
            </w:pPr>
            <w:r w:rsidRPr="002E63ED">
              <w:rPr>
                <w:rFonts w:cs="Arial"/>
                <w:color w:val="FF0000"/>
                <w:kern w:val="0"/>
                <w:sz w:val="19"/>
                <w:szCs w:val="19"/>
                <w:lang w:eastAsia="en-AU"/>
              </w:rPr>
              <w:t>2</w:t>
            </w:r>
          </w:p>
        </w:tc>
        <w:tc>
          <w:tcPr>
            <w:tcW w:w="0" w:type="auto"/>
            <w:tcBorders>
              <w:top w:val="nil"/>
              <w:left w:val="nil"/>
              <w:bottom w:val="nil"/>
              <w:right w:val="nil"/>
            </w:tcBorders>
            <w:shd w:val="clear" w:color="auto" w:fill="auto"/>
            <w:noWrap/>
            <w:vAlign w:val="bottom"/>
            <w:hideMark/>
          </w:tcPr>
          <w:p w14:paraId="1C2A688F" w14:textId="77777777" w:rsidR="005C3079" w:rsidRPr="002E63ED" w:rsidRDefault="005C3079" w:rsidP="005C3079">
            <w:pPr>
              <w:spacing w:before="0" w:after="0" w:line="240" w:lineRule="auto"/>
              <w:jc w:val="right"/>
              <w:rPr>
                <w:rFonts w:cs="Arial"/>
                <w:color w:val="FF0000"/>
                <w:kern w:val="0"/>
                <w:sz w:val="19"/>
                <w:szCs w:val="19"/>
                <w:lang w:eastAsia="en-AU"/>
              </w:rPr>
            </w:pPr>
            <w:r w:rsidRPr="002E63ED">
              <w:rPr>
                <w:rFonts w:cs="Arial"/>
                <w:color w:val="FF0000"/>
                <w:kern w:val="0"/>
                <w:sz w:val="19"/>
                <w:szCs w:val="19"/>
                <w:lang w:eastAsia="en-AU"/>
              </w:rPr>
              <w:t>0</w:t>
            </w:r>
          </w:p>
        </w:tc>
        <w:tc>
          <w:tcPr>
            <w:tcW w:w="0" w:type="auto"/>
            <w:tcBorders>
              <w:top w:val="nil"/>
              <w:left w:val="nil"/>
              <w:bottom w:val="nil"/>
              <w:right w:val="nil"/>
            </w:tcBorders>
            <w:shd w:val="clear" w:color="auto" w:fill="auto"/>
            <w:noWrap/>
            <w:vAlign w:val="bottom"/>
            <w:hideMark/>
          </w:tcPr>
          <w:p w14:paraId="21F9FF75" w14:textId="77777777" w:rsidR="005C3079" w:rsidRPr="002E63ED" w:rsidRDefault="005C3079" w:rsidP="005C3079">
            <w:pPr>
              <w:spacing w:before="0" w:after="0" w:line="240" w:lineRule="auto"/>
              <w:jc w:val="right"/>
              <w:rPr>
                <w:rFonts w:cs="Arial"/>
                <w:color w:val="FF0000"/>
                <w:kern w:val="0"/>
                <w:sz w:val="19"/>
                <w:szCs w:val="19"/>
                <w:lang w:eastAsia="en-AU"/>
              </w:rPr>
            </w:pPr>
            <w:r w:rsidRPr="002E63ED">
              <w:rPr>
                <w:rFonts w:cs="Arial"/>
                <w:color w:val="FF0000"/>
                <w:kern w:val="0"/>
                <w:sz w:val="19"/>
                <w:szCs w:val="19"/>
                <w:lang w:eastAsia="en-AU"/>
              </w:rPr>
              <w:t>0</w:t>
            </w:r>
          </w:p>
        </w:tc>
        <w:tc>
          <w:tcPr>
            <w:tcW w:w="0" w:type="auto"/>
            <w:tcBorders>
              <w:top w:val="nil"/>
              <w:left w:val="nil"/>
              <w:bottom w:val="nil"/>
              <w:right w:val="single" w:sz="4" w:space="0" w:color="auto"/>
            </w:tcBorders>
            <w:shd w:val="clear" w:color="auto" w:fill="auto"/>
            <w:noWrap/>
            <w:vAlign w:val="bottom"/>
            <w:hideMark/>
          </w:tcPr>
          <w:p w14:paraId="0EC9E640" w14:textId="77777777" w:rsidR="005C3079" w:rsidRPr="002E63ED" w:rsidRDefault="005C3079" w:rsidP="005C3079">
            <w:pPr>
              <w:spacing w:before="0" w:after="0" w:line="240" w:lineRule="auto"/>
              <w:jc w:val="right"/>
              <w:rPr>
                <w:rFonts w:cs="Arial"/>
                <w:b/>
                <w:bCs/>
                <w:color w:val="FF0000"/>
                <w:kern w:val="0"/>
                <w:sz w:val="19"/>
                <w:szCs w:val="19"/>
                <w:lang w:eastAsia="en-AU"/>
              </w:rPr>
            </w:pPr>
            <w:r w:rsidRPr="002E63ED">
              <w:rPr>
                <w:rFonts w:cs="Arial"/>
                <w:b/>
                <w:bCs/>
                <w:color w:val="FF0000"/>
                <w:kern w:val="0"/>
                <w:sz w:val="19"/>
                <w:szCs w:val="19"/>
                <w:lang w:eastAsia="en-AU"/>
              </w:rPr>
              <w:t>2</w:t>
            </w:r>
          </w:p>
        </w:tc>
        <w:tc>
          <w:tcPr>
            <w:tcW w:w="0" w:type="auto"/>
            <w:tcBorders>
              <w:top w:val="nil"/>
              <w:left w:val="nil"/>
              <w:bottom w:val="nil"/>
              <w:right w:val="nil"/>
            </w:tcBorders>
            <w:shd w:val="clear" w:color="auto" w:fill="auto"/>
            <w:noWrap/>
            <w:vAlign w:val="bottom"/>
            <w:hideMark/>
          </w:tcPr>
          <w:p w14:paraId="7292E84F" w14:textId="77777777" w:rsidR="005C3079" w:rsidRPr="002E63ED" w:rsidRDefault="005C3079" w:rsidP="005C3079">
            <w:pPr>
              <w:spacing w:before="0" w:after="0" w:line="240" w:lineRule="auto"/>
              <w:jc w:val="right"/>
              <w:rPr>
                <w:rFonts w:cs="Arial"/>
                <w:color w:val="FF0000"/>
                <w:kern w:val="0"/>
                <w:sz w:val="19"/>
                <w:szCs w:val="19"/>
                <w:lang w:eastAsia="en-AU"/>
              </w:rPr>
            </w:pPr>
            <w:r w:rsidRPr="002E63ED">
              <w:rPr>
                <w:rFonts w:cs="Arial"/>
                <w:color w:val="FF0000"/>
                <w:kern w:val="0"/>
                <w:sz w:val="19"/>
                <w:szCs w:val="19"/>
                <w:lang w:eastAsia="en-AU"/>
              </w:rPr>
              <w:t>0</w:t>
            </w:r>
          </w:p>
        </w:tc>
        <w:tc>
          <w:tcPr>
            <w:tcW w:w="0" w:type="auto"/>
            <w:tcBorders>
              <w:top w:val="nil"/>
              <w:left w:val="nil"/>
              <w:bottom w:val="nil"/>
              <w:right w:val="nil"/>
            </w:tcBorders>
            <w:shd w:val="clear" w:color="auto" w:fill="auto"/>
            <w:noWrap/>
            <w:vAlign w:val="bottom"/>
            <w:hideMark/>
          </w:tcPr>
          <w:p w14:paraId="08E70E59" w14:textId="77777777" w:rsidR="005C3079" w:rsidRPr="002E63ED" w:rsidRDefault="005C3079" w:rsidP="005C3079">
            <w:pPr>
              <w:spacing w:before="0" w:after="0" w:line="240" w:lineRule="auto"/>
              <w:jc w:val="right"/>
              <w:rPr>
                <w:rFonts w:cs="Arial"/>
                <w:color w:val="FF0000"/>
                <w:kern w:val="0"/>
                <w:sz w:val="19"/>
                <w:szCs w:val="19"/>
                <w:lang w:eastAsia="en-AU"/>
              </w:rPr>
            </w:pPr>
            <w:r w:rsidRPr="002E63ED">
              <w:rPr>
                <w:rFonts w:cs="Arial"/>
                <w:color w:val="FF0000"/>
                <w:kern w:val="0"/>
                <w:sz w:val="19"/>
                <w:szCs w:val="19"/>
                <w:lang w:eastAsia="en-AU"/>
              </w:rPr>
              <w:t>0</w:t>
            </w:r>
          </w:p>
        </w:tc>
        <w:tc>
          <w:tcPr>
            <w:tcW w:w="0" w:type="auto"/>
            <w:tcBorders>
              <w:top w:val="nil"/>
              <w:left w:val="nil"/>
              <w:bottom w:val="nil"/>
              <w:right w:val="nil"/>
            </w:tcBorders>
            <w:shd w:val="clear" w:color="auto" w:fill="auto"/>
            <w:noWrap/>
            <w:vAlign w:val="bottom"/>
            <w:hideMark/>
          </w:tcPr>
          <w:p w14:paraId="231E1253" w14:textId="77777777" w:rsidR="005C3079" w:rsidRPr="002E63ED" w:rsidRDefault="005C3079" w:rsidP="005C3079">
            <w:pPr>
              <w:spacing w:before="0" w:after="0" w:line="240" w:lineRule="auto"/>
              <w:jc w:val="right"/>
              <w:rPr>
                <w:rFonts w:cs="Arial"/>
                <w:color w:val="FF0000"/>
                <w:kern w:val="0"/>
                <w:sz w:val="19"/>
                <w:szCs w:val="19"/>
                <w:lang w:eastAsia="en-AU"/>
              </w:rPr>
            </w:pPr>
            <w:r w:rsidRPr="002E63ED">
              <w:rPr>
                <w:rFonts w:cs="Arial"/>
                <w:color w:val="FF0000"/>
                <w:kern w:val="0"/>
                <w:sz w:val="19"/>
                <w:szCs w:val="19"/>
                <w:lang w:eastAsia="en-AU"/>
              </w:rPr>
              <w:t>0</w:t>
            </w:r>
          </w:p>
        </w:tc>
        <w:tc>
          <w:tcPr>
            <w:tcW w:w="929" w:type="dxa"/>
            <w:tcBorders>
              <w:top w:val="nil"/>
              <w:left w:val="nil"/>
              <w:bottom w:val="nil"/>
              <w:right w:val="single" w:sz="4" w:space="0" w:color="auto"/>
            </w:tcBorders>
            <w:shd w:val="clear" w:color="auto" w:fill="auto"/>
            <w:noWrap/>
            <w:vAlign w:val="bottom"/>
            <w:hideMark/>
          </w:tcPr>
          <w:p w14:paraId="53B1B126" w14:textId="77777777" w:rsidR="005C3079" w:rsidRPr="002E63ED" w:rsidRDefault="005C3079" w:rsidP="005C3079">
            <w:pPr>
              <w:spacing w:before="0" w:after="0" w:line="240" w:lineRule="auto"/>
              <w:jc w:val="right"/>
              <w:rPr>
                <w:rFonts w:cs="Arial"/>
                <w:b/>
                <w:bCs/>
                <w:color w:val="FF0000"/>
                <w:kern w:val="0"/>
                <w:sz w:val="19"/>
                <w:szCs w:val="19"/>
                <w:lang w:eastAsia="en-AU"/>
              </w:rPr>
            </w:pPr>
            <w:r w:rsidRPr="002E63ED">
              <w:rPr>
                <w:rFonts w:cs="Arial"/>
                <w:b/>
                <w:bCs/>
                <w:color w:val="FF0000"/>
                <w:kern w:val="0"/>
                <w:sz w:val="19"/>
                <w:szCs w:val="19"/>
                <w:lang w:eastAsia="en-AU"/>
              </w:rPr>
              <w:t>0</w:t>
            </w:r>
          </w:p>
        </w:tc>
        <w:tc>
          <w:tcPr>
            <w:tcW w:w="1276" w:type="dxa"/>
            <w:tcBorders>
              <w:top w:val="nil"/>
              <w:left w:val="nil"/>
              <w:bottom w:val="nil"/>
              <w:right w:val="single" w:sz="4" w:space="0" w:color="auto"/>
            </w:tcBorders>
            <w:shd w:val="clear" w:color="auto" w:fill="auto"/>
            <w:noWrap/>
            <w:vAlign w:val="bottom"/>
            <w:hideMark/>
          </w:tcPr>
          <w:p w14:paraId="62E5E514" w14:textId="77777777" w:rsidR="005C3079" w:rsidRPr="002E63ED" w:rsidRDefault="005C3079" w:rsidP="005C3079">
            <w:pPr>
              <w:spacing w:before="0" w:after="0" w:line="240" w:lineRule="auto"/>
              <w:jc w:val="right"/>
              <w:rPr>
                <w:rFonts w:cs="Arial"/>
                <w:b/>
                <w:bCs/>
                <w:color w:val="FF0000"/>
                <w:kern w:val="0"/>
                <w:sz w:val="19"/>
                <w:szCs w:val="19"/>
                <w:lang w:eastAsia="en-AU"/>
              </w:rPr>
            </w:pPr>
            <w:r w:rsidRPr="002E63ED">
              <w:rPr>
                <w:rFonts w:cs="Arial"/>
                <w:b/>
                <w:bCs/>
                <w:color w:val="FF0000"/>
                <w:kern w:val="0"/>
                <w:sz w:val="19"/>
                <w:szCs w:val="19"/>
                <w:lang w:eastAsia="en-AU"/>
              </w:rPr>
              <w:t>2</w:t>
            </w:r>
          </w:p>
        </w:tc>
      </w:tr>
      <w:tr w:rsidR="008B70CD" w:rsidRPr="002E63ED" w14:paraId="0ED45C73" w14:textId="77777777" w:rsidTr="00A84425">
        <w:trPr>
          <w:trHeight w:val="330"/>
        </w:trPr>
        <w:tc>
          <w:tcPr>
            <w:tcW w:w="2494" w:type="dxa"/>
            <w:tcBorders>
              <w:top w:val="nil"/>
              <w:left w:val="single" w:sz="4" w:space="0" w:color="auto"/>
              <w:bottom w:val="nil"/>
              <w:right w:val="single" w:sz="4" w:space="0" w:color="auto"/>
            </w:tcBorders>
            <w:shd w:val="clear" w:color="auto" w:fill="auto"/>
            <w:noWrap/>
            <w:vAlign w:val="center"/>
            <w:hideMark/>
          </w:tcPr>
          <w:p w14:paraId="580F8BF3" w14:textId="3D15DF1A" w:rsidR="005C3079" w:rsidRPr="002E63ED" w:rsidRDefault="00C701E6" w:rsidP="005C3079">
            <w:pPr>
              <w:spacing w:before="0" w:after="0" w:line="240" w:lineRule="auto"/>
              <w:jc w:val="left"/>
              <w:rPr>
                <w:rFonts w:cs="Arial"/>
                <w:color w:val="FF0000"/>
                <w:kern w:val="0"/>
                <w:sz w:val="19"/>
                <w:szCs w:val="19"/>
                <w:lang w:eastAsia="en-AU"/>
              </w:rPr>
            </w:pPr>
            <w:r w:rsidRPr="002E63ED">
              <w:rPr>
                <w:rFonts w:cs="Arial"/>
                <w:color w:val="FF0000"/>
                <w:kern w:val="0"/>
                <w:sz w:val="19"/>
                <w:szCs w:val="19"/>
                <w:lang w:eastAsia="en-AU"/>
              </w:rPr>
              <w:t>Silver perch</w:t>
            </w:r>
          </w:p>
        </w:tc>
        <w:tc>
          <w:tcPr>
            <w:tcW w:w="0" w:type="auto"/>
            <w:tcBorders>
              <w:top w:val="nil"/>
              <w:left w:val="nil"/>
              <w:bottom w:val="nil"/>
              <w:right w:val="nil"/>
            </w:tcBorders>
            <w:shd w:val="clear" w:color="auto" w:fill="auto"/>
            <w:noWrap/>
            <w:vAlign w:val="bottom"/>
            <w:hideMark/>
          </w:tcPr>
          <w:p w14:paraId="6778D758" w14:textId="77777777" w:rsidR="005C3079" w:rsidRPr="002E63ED" w:rsidRDefault="005C3079" w:rsidP="005C3079">
            <w:pPr>
              <w:spacing w:before="0" w:after="0" w:line="240" w:lineRule="auto"/>
              <w:jc w:val="right"/>
              <w:rPr>
                <w:rFonts w:cs="Arial"/>
                <w:color w:val="FF0000"/>
                <w:kern w:val="0"/>
                <w:sz w:val="19"/>
                <w:szCs w:val="19"/>
                <w:lang w:eastAsia="en-AU"/>
              </w:rPr>
            </w:pPr>
            <w:r w:rsidRPr="002E63ED">
              <w:rPr>
                <w:rFonts w:cs="Arial"/>
                <w:color w:val="FF0000"/>
                <w:kern w:val="0"/>
                <w:sz w:val="19"/>
                <w:szCs w:val="19"/>
                <w:lang w:eastAsia="en-AU"/>
              </w:rPr>
              <w:t>1</w:t>
            </w:r>
          </w:p>
        </w:tc>
        <w:tc>
          <w:tcPr>
            <w:tcW w:w="0" w:type="auto"/>
            <w:tcBorders>
              <w:top w:val="nil"/>
              <w:left w:val="nil"/>
              <w:bottom w:val="nil"/>
              <w:right w:val="nil"/>
            </w:tcBorders>
            <w:shd w:val="clear" w:color="auto" w:fill="auto"/>
            <w:noWrap/>
            <w:vAlign w:val="bottom"/>
            <w:hideMark/>
          </w:tcPr>
          <w:p w14:paraId="21EA44A8" w14:textId="77777777" w:rsidR="005C3079" w:rsidRPr="002E63ED" w:rsidRDefault="005C3079" w:rsidP="005C3079">
            <w:pPr>
              <w:spacing w:before="0" w:after="0" w:line="240" w:lineRule="auto"/>
              <w:jc w:val="right"/>
              <w:rPr>
                <w:rFonts w:cs="Arial"/>
                <w:color w:val="FF0000"/>
                <w:kern w:val="0"/>
                <w:sz w:val="19"/>
                <w:szCs w:val="19"/>
                <w:lang w:eastAsia="en-AU"/>
              </w:rPr>
            </w:pPr>
            <w:r w:rsidRPr="002E63ED">
              <w:rPr>
                <w:rFonts w:cs="Arial"/>
                <w:color w:val="FF0000"/>
                <w:kern w:val="0"/>
                <w:sz w:val="19"/>
                <w:szCs w:val="19"/>
                <w:lang w:eastAsia="en-AU"/>
              </w:rPr>
              <w:t>0</w:t>
            </w:r>
          </w:p>
        </w:tc>
        <w:tc>
          <w:tcPr>
            <w:tcW w:w="0" w:type="auto"/>
            <w:tcBorders>
              <w:top w:val="nil"/>
              <w:left w:val="nil"/>
              <w:bottom w:val="nil"/>
              <w:right w:val="nil"/>
            </w:tcBorders>
            <w:shd w:val="clear" w:color="auto" w:fill="auto"/>
            <w:noWrap/>
            <w:vAlign w:val="bottom"/>
            <w:hideMark/>
          </w:tcPr>
          <w:p w14:paraId="335893E9" w14:textId="77777777" w:rsidR="005C3079" w:rsidRPr="002E63ED" w:rsidRDefault="005C3079" w:rsidP="005C3079">
            <w:pPr>
              <w:spacing w:before="0" w:after="0" w:line="240" w:lineRule="auto"/>
              <w:jc w:val="right"/>
              <w:rPr>
                <w:rFonts w:cs="Arial"/>
                <w:color w:val="FF0000"/>
                <w:kern w:val="0"/>
                <w:sz w:val="19"/>
                <w:szCs w:val="19"/>
                <w:lang w:eastAsia="en-AU"/>
              </w:rPr>
            </w:pPr>
            <w:r w:rsidRPr="002E63ED">
              <w:rPr>
                <w:rFonts w:cs="Arial"/>
                <w:color w:val="FF0000"/>
                <w:kern w:val="0"/>
                <w:sz w:val="19"/>
                <w:szCs w:val="19"/>
                <w:lang w:eastAsia="en-AU"/>
              </w:rPr>
              <w:t>0</w:t>
            </w:r>
          </w:p>
        </w:tc>
        <w:tc>
          <w:tcPr>
            <w:tcW w:w="0" w:type="auto"/>
            <w:tcBorders>
              <w:top w:val="nil"/>
              <w:left w:val="nil"/>
              <w:bottom w:val="nil"/>
              <w:right w:val="single" w:sz="4" w:space="0" w:color="auto"/>
            </w:tcBorders>
            <w:shd w:val="clear" w:color="auto" w:fill="auto"/>
            <w:noWrap/>
            <w:vAlign w:val="bottom"/>
            <w:hideMark/>
          </w:tcPr>
          <w:p w14:paraId="682F11EE" w14:textId="77777777" w:rsidR="005C3079" w:rsidRPr="002E63ED" w:rsidRDefault="005C3079" w:rsidP="005C3079">
            <w:pPr>
              <w:spacing w:before="0" w:after="0" w:line="240" w:lineRule="auto"/>
              <w:jc w:val="right"/>
              <w:rPr>
                <w:rFonts w:cs="Arial"/>
                <w:b/>
                <w:bCs/>
                <w:color w:val="FF0000"/>
                <w:kern w:val="0"/>
                <w:sz w:val="19"/>
                <w:szCs w:val="19"/>
                <w:lang w:eastAsia="en-AU"/>
              </w:rPr>
            </w:pPr>
            <w:r w:rsidRPr="002E63ED">
              <w:rPr>
                <w:rFonts w:cs="Arial"/>
                <w:b/>
                <w:bCs/>
                <w:color w:val="FF0000"/>
                <w:kern w:val="0"/>
                <w:sz w:val="19"/>
                <w:szCs w:val="19"/>
                <w:lang w:eastAsia="en-AU"/>
              </w:rPr>
              <w:t>1</w:t>
            </w:r>
          </w:p>
        </w:tc>
        <w:tc>
          <w:tcPr>
            <w:tcW w:w="0" w:type="auto"/>
            <w:tcBorders>
              <w:top w:val="nil"/>
              <w:left w:val="nil"/>
              <w:bottom w:val="nil"/>
              <w:right w:val="nil"/>
            </w:tcBorders>
            <w:shd w:val="clear" w:color="auto" w:fill="auto"/>
            <w:noWrap/>
            <w:vAlign w:val="bottom"/>
            <w:hideMark/>
          </w:tcPr>
          <w:p w14:paraId="70CFD1D1" w14:textId="77777777" w:rsidR="005C3079" w:rsidRPr="002E63ED" w:rsidRDefault="005C3079" w:rsidP="005C3079">
            <w:pPr>
              <w:spacing w:before="0" w:after="0" w:line="240" w:lineRule="auto"/>
              <w:jc w:val="right"/>
              <w:rPr>
                <w:rFonts w:cs="Arial"/>
                <w:color w:val="FF0000"/>
                <w:kern w:val="0"/>
                <w:sz w:val="19"/>
                <w:szCs w:val="19"/>
                <w:lang w:eastAsia="en-AU"/>
              </w:rPr>
            </w:pPr>
            <w:r w:rsidRPr="002E63ED">
              <w:rPr>
                <w:rFonts w:cs="Arial"/>
                <w:color w:val="FF0000"/>
                <w:kern w:val="0"/>
                <w:sz w:val="19"/>
                <w:szCs w:val="19"/>
                <w:lang w:eastAsia="en-AU"/>
              </w:rPr>
              <w:t>0</w:t>
            </w:r>
          </w:p>
        </w:tc>
        <w:tc>
          <w:tcPr>
            <w:tcW w:w="0" w:type="auto"/>
            <w:tcBorders>
              <w:top w:val="nil"/>
              <w:left w:val="nil"/>
              <w:bottom w:val="nil"/>
              <w:right w:val="nil"/>
            </w:tcBorders>
            <w:shd w:val="clear" w:color="auto" w:fill="auto"/>
            <w:noWrap/>
            <w:vAlign w:val="bottom"/>
            <w:hideMark/>
          </w:tcPr>
          <w:p w14:paraId="6FB13084" w14:textId="77777777" w:rsidR="005C3079" w:rsidRPr="002E63ED" w:rsidRDefault="005C3079" w:rsidP="005C3079">
            <w:pPr>
              <w:spacing w:before="0" w:after="0" w:line="240" w:lineRule="auto"/>
              <w:jc w:val="right"/>
              <w:rPr>
                <w:rFonts w:cs="Arial"/>
                <w:color w:val="FF0000"/>
                <w:kern w:val="0"/>
                <w:sz w:val="19"/>
                <w:szCs w:val="19"/>
                <w:lang w:eastAsia="en-AU"/>
              </w:rPr>
            </w:pPr>
            <w:r w:rsidRPr="002E63ED">
              <w:rPr>
                <w:rFonts w:cs="Arial"/>
                <w:color w:val="FF0000"/>
                <w:kern w:val="0"/>
                <w:sz w:val="19"/>
                <w:szCs w:val="19"/>
                <w:lang w:eastAsia="en-AU"/>
              </w:rPr>
              <w:t>0</w:t>
            </w:r>
          </w:p>
        </w:tc>
        <w:tc>
          <w:tcPr>
            <w:tcW w:w="0" w:type="auto"/>
            <w:tcBorders>
              <w:top w:val="nil"/>
              <w:left w:val="nil"/>
              <w:bottom w:val="nil"/>
              <w:right w:val="nil"/>
            </w:tcBorders>
            <w:shd w:val="clear" w:color="auto" w:fill="auto"/>
            <w:noWrap/>
            <w:vAlign w:val="bottom"/>
            <w:hideMark/>
          </w:tcPr>
          <w:p w14:paraId="7B9F1FE0" w14:textId="77777777" w:rsidR="005C3079" w:rsidRPr="002E63ED" w:rsidRDefault="005C3079" w:rsidP="005C3079">
            <w:pPr>
              <w:spacing w:before="0" w:after="0" w:line="240" w:lineRule="auto"/>
              <w:jc w:val="right"/>
              <w:rPr>
                <w:rFonts w:cs="Arial"/>
                <w:color w:val="FF0000"/>
                <w:kern w:val="0"/>
                <w:sz w:val="19"/>
                <w:szCs w:val="19"/>
                <w:lang w:eastAsia="en-AU"/>
              </w:rPr>
            </w:pPr>
            <w:r w:rsidRPr="002E63ED">
              <w:rPr>
                <w:rFonts w:cs="Arial"/>
                <w:color w:val="FF0000"/>
                <w:kern w:val="0"/>
                <w:sz w:val="19"/>
                <w:szCs w:val="19"/>
                <w:lang w:eastAsia="en-AU"/>
              </w:rPr>
              <w:t>0</w:t>
            </w:r>
          </w:p>
        </w:tc>
        <w:tc>
          <w:tcPr>
            <w:tcW w:w="929" w:type="dxa"/>
            <w:tcBorders>
              <w:top w:val="nil"/>
              <w:left w:val="nil"/>
              <w:bottom w:val="nil"/>
              <w:right w:val="single" w:sz="4" w:space="0" w:color="auto"/>
            </w:tcBorders>
            <w:shd w:val="clear" w:color="auto" w:fill="auto"/>
            <w:noWrap/>
            <w:vAlign w:val="bottom"/>
            <w:hideMark/>
          </w:tcPr>
          <w:p w14:paraId="2296D22F" w14:textId="77777777" w:rsidR="005C3079" w:rsidRPr="002E63ED" w:rsidRDefault="005C3079" w:rsidP="005C3079">
            <w:pPr>
              <w:spacing w:before="0" w:after="0" w:line="240" w:lineRule="auto"/>
              <w:jc w:val="right"/>
              <w:rPr>
                <w:rFonts w:cs="Arial"/>
                <w:b/>
                <w:bCs/>
                <w:color w:val="FF0000"/>
                <w:kern w:val="0"/>
                <w:sz w:val="19"/>
                <w:szCs w:val="19"/>
                <w:lang w:eastAsia="en-AU"/>
              </w:rPr>
            </w:pPr>
            <w:r w:rsidRPr="002E63ED">
              <w:rPr>
                <w:rFonts w:cs="Arial"/>
                <w:b/>
                <w:bCs/>
                <w:color w:val="FF0000"/>
                <w:kern w:val="0"/>
                <w:sz w:val="19"/>
                <w:szCs w:val="19"/>
                <w:lang w:eastAsia="en-AU"/>
              </w:rPr>
              <w:t>0</w:t>
            </w:r>
          </w:p>
        </w:tc>
        <w:tc>
          <w:tcPr>
            <w:tcW w:w="1276" w:type="dxa"/>
            <w:tcBorders>
              <w:top w:val="nil"/>
              <w:left w:val="nil"/>
              <w:bottom w:val="nil"/>
              <w:right w:val="single" w:sz="4" w:space="0" w:color="auto"/>
            </w:tcBorders>
            <w:shd w:val="clear" w:color="auto" w:fill="auto"/>
            <w:noWrap/>
            <w:vAlign w:val="bottom"/>
            <w:hideMark/>
          </w:tcPr>
          <w:p w14:paraId="0F0A07A7" w14:textId="77777777" w:rsidR="005C3079" w:rsidRPr="002E63ED" w:rsidRDefault="005C3079" w:rsidP="005C3079">
            <w:pPr>
              <w:spacing w:before="0" w:after="0" w:line="240" w:lineRule="auto"/>
              <w:jc w:val="right"/>
              <w:rPr>
                <w:rFonts w:cs="Arial"/>
                <w:b/>
                <w:bCs/>
                <w:color w:val="FF0000"/>
                <w:kern w:val="0"/>
                <w:sz w:val="19"/>
                <w:szCs w:val="19"/>
                <w:lang w:eastAsia="en-AU"/>
              </w:rPr>
            </w:pPr>
            <w:r w:rsidRPr="002E63ED">
              <w:rPr>
                <w:rFonts w:cs="Arial"/>
                <w:b/>
                <w:bCs/>
                <w:color w:val="FF0000"/>
                <w:kern w:val="0"/>
                <w:sz w:val="19"/>
                <w:szCs w:val="19"/>
                <w:lang w:eastAsia="en-AU"/>
              </w:rPr>
              <w:t>1</w:t>
            </w:r>
          </w:p>
        </w:tc>
      </w:tr>
      <w:tr w:rsidR="00C701E6" w:rsidRPr="002E63ED" w14:paraId="4A654A1F" w14:textId="77777777" w:rsidTr="00A84425">
        <w:trPr>
          <w:trHeight w:val="330"/>
        </w:trPr>
        <w:tc>
          <w:tcPr>
            <w:tcW w:w="2494" w:type="dxa"/>
            <w:tcBorders>
              <w:top w:val="nil"/>
              <w:left w:val="single" w:sz="4" w:space="0" w:color="auto"/>
              <w:bottom w:val="nil"/>
              <w:right w:val="single" w:sz="4" w:space="0" w:color="auto"/>
            </w:tcBorders>
            <w:shd w:val="clear" w:color="auto" w:fill="auto"/>
            <w:noWrap/>
            <w:vAlign w:val="center"/>
          </w:tcPr>
          <w:p w14:paraId="2A308554" w14:textId="2600020E" w:rsidR="00C701E6" w:rsidRPr="002E63ED" w:rsidRDefault="00C701E6" w:rsidP="00C701E6">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Perch eggs</w:t>
            </w:r>
            <w:r w:rsidR="00A33165" w:rsidRPr="002E63ED">
              <w:rPr>
                <w:rFonts w:cs="Arial"/>
                <w:color w:val="auto"/>
                <w:kern w:val="0"/>
                <w:sz w:val="19"/>
                <w:szCs w:val="19"/>
                <w:lang w:eastAsia="en-AU"/>
              </w:rPr>
              <w:t>*</w:t>
            </w:r>
          </w:p>
        </w:tc>
        <w:tc>
          <w:tcPr>
            <w:tcW w:w="0" w:type="auto"/>
            <w:tcBorders>
              <w:top w:val="nil"/>
              <w:left w:val="nil"/>
              <w:bottom w:val="nil"/>
              <w:right w:val="nil"/>
            </w:tcBorders>
            <w:shd w:val="clear" w:color="auto" w:fill="auto"/>
            <w:noWrap/>
            <w:vAlign w:val="bottom"/>
          </w:tcPr>
          <w:p w14:paraId="2277B046" w14:textId="7D8F26A6" w:rsidR="00C701E6" w:rsidRPr="002E63ED" w:rsidRDefault="00C701E6" w:rsidP="00C701E6">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w:t>
            </w:r>
          </w:p>
        </w:tc>
        <w:tc>
          <w:tcPr>
            <w:tcW w:w="0" w:type="auto"/>
            <w:tcBorders>
              <w:top w:val="nil"/>
              <w:left w:val="nil"/>
              <w:bottom w:val="nil"/>
              <w:right w:val="nil"/>
            </w:tcBorders>
            <w:shd w:val="clear" w:color="auto" w:fill="auto"/>
            <w:noWrap/>
            <w:vAlign w:val="bottom"/>
          </w:tcPr>
          <w:p w14:paraId="64B22F37" w14:textId="04B93867" w:rsidR="00C701E6" w:rsidRPr="002E63ED" w:rsidRDefault="00C701E6" w:rsidP="00C701E6">
            <w:pPr>
              <w:spacing w:before="0" w:after="0" w:line="240" w:lineRule="auto"/>
              <w:jc w:val="right"/>
              <w:rPr>
                <w:rFonts w:cs="Arial"/>
                <w:color w:val="auto"/>
                <w:kern w:val="0"/>
                <w:sz w:val="19"/>
                <w:szCs w:val="19"/>
                <w:lang w:eastAsia="en-AU"/>
              </w:rPr>
            </w:pPr>
          </w:p>
        </w:tc>
        <w:tc>
          <w:tcPr>
            <w:tcW w:w="0" w:type="auto"/>
            <w:tcBorders>
              <w:top w:val="nil"/>
              <w:left w:val="nil"/>
              <w:bottom w:val="nil"/>
              <w:right w:val="nil"/>
            </w:tcBorders>
            <w:shd w:val="clear" w:color="auto" w:fill="auto"/>
            <w:noWrap/>
            <w:vAlign w:val="bottom"/>
          </w:tcPr>
          <w:p w14:paraId="22CA3D41" w14:textId="50B57A12" w:rsidR="00C701E6" w:rsidRPr="002E63ED" w:rsidRDefault="00C701E6" w:rsidP="00C701E6">
            <w:pPr>
              <w:spacing w:before="0" w:after="0" w:line="240" w:lineRule="auto"/>
              <w:jc w:val="right"/>
              <w:rPr>
                <w:rFonts w:cs="Arial"/>
                <w:color w:val="auto"/>
                <w:kern w:val="0"/>
                <w:sz w:val="19"/>
                <w:szCs w:val="19"/>
                <w:lang w:eastAsia="en-AU"/>
              </w:rPr>
            </w:pPr>
          </w:p>
        </w:tc>
        <w:tc>
          <w:tcPr>
            <w:tcW w:w="0" w:type="auto"/>
            <w:tcBorders>
              <w:top w:val="nil"/>
              <w:left w:val="nil"/>
              <w:bottom w:val="nil"/>
              <w:right w:val="single" w:sz="4" w:space="0" w:color="auto"/>
            </w:tcBorders>
            <w:shd w:val="clear" w:color="auto" w:fill="auto"/>
            <w:noWrap/>
            <w:vAlign w:val="bottom"/>
          </w:tcPr>
          <w:p w14:paraId="439CAC26" w14:textId="41E786D3" w:rsidR="00C701E6" w:rsidRPr="002E63ED" w:rsidRDefault="00C701E6" w:rsidP="00C701E6">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w:t>
            </w:r>
          </w:p>
        </w:tc>
        <w:tc>
          <w:tcPr>
            <w:tcW w:w="0" w:type="auto"/>
            <w:tcBorders>
              <w:top w:val="nil"/>
              <w:left w:val="nil"/>
              <w:bottom w:val="nil"/>
              <w:right w:val="nil"/>
            </w:tcBorders>
            <w:shd w:val="clear" w:color="auto" w:fill="auto"/>
            <w:noWrap/>
            <w:vAlign w:val="bottom"/>
          </w:tcPr>
          <w:p w14:paraId="6C84F6DB" w14:textId="6A2C3699" w:rsidR="00C701E6" w:rsidRPr="002E63ED" w:rsidRDefault="00C701E6" w:rsidP="00C701E6">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w:t>
            </w:r>
          </w:p>
        </w:tc>
        <w:tc>
          <w:tcPr>
            <w:tcW w:w="0" w:type="auto"/>
            <w:tcBorders>
              <w:top w:val="nil"/>
              <w:left w:val="nil"/>
              <w:bottom w:val="nil"/>
              <w:right w:val="nil"/>
            </w:tcBorders>
            <w:shd w:val="clear" w:color="auto" w:fill="auto"/>
            <w:noWrap/>
            <w:vAlign w:val="bottom"/>
          </w:tcPr>
          <w:p w14:paraId="43FF3395" w14:textId="3D3785A4" w:rsidR="00C701E6" w:rsidRPr="002E63ED" w:rsidRDefault="00C701E6" w:rsidP="00C701E6">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w:t>
            </w:r>
          </w:p>
        </w:tc>
        <w:tc>
          <w:tcPr>
            <w:tcW w:w="0" w:type="auto"/>
            <w:tcBorders>
              <w:top w:val="nil"/>
              <w:left w:val="nil"/>
              <w:bottom w:val="nil"/>
              <w:right w:val="nil"/>
            </w:tcBorders>
            <w:shd w:val="clear" w:color="auto" w:fill="auto"/>
            <w:noWrap/>
            <w:vAlign w:val="bottom"/>
          </w:tcPr>
          <w:p w14:paraId="306AB711" w14:textId="5F937F2F" w:rsidR="00C701E6" w:rsidRPr="002E63ED" w:rsidRDefault="00C701E6" w:rsidP="00C701E6">
            <w:pPr>
              <w:spacing w:before="0" w:after="0" w:line="240" w:lineRule="auto"/>
              <w:jc w:val="right"/>
              <w:rPr>
                <w:rFonts w:cs="Arial"/>
                <w:color w:val="auto"/>
                <w:kern w:val="0"/>
                <w:sz w:val="19"/>
                <w:szCs w:val="19"/>
                <w:lang w:eastAsia="en-AU"/>
              </w:rPr>
            </w:pPr>
          </w:p>
        </w:tc>
        <w:tc>
          <w:tcPr>
            <w:tcW w:w="929" w:type="dxa"/>
            <w:tcBorders>
              <w:top w:val="nil"/>
              <w:left w:val="nil"/>
              <w:bottom w:val="nil"/>
              <w:right w:val="single" w:sz="4" w:space="0" w:color="auto"/>
            </w:tcBorders>
            <w:shd w:val="clear" w:color="auto" w:fill="auto"/>
            <w:noWrap/>
            <w:vAlign w:val="bottom"/>
          </w:tcPr>
          <w:p w14:paraId="08FDDC26" w14:textId="4E0DC7A8" w:rsidR="00C701E6" w:rsidRPr="002E63ED" w:rsidRDefault="00C701E6" w:rsidP="00C701E6">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w:t>
            </w:r>
          </w:p>
        </w:tc>
        <w:tc>
          <w:tcPr>
            <w:tcW w:w="1276" w:type="dxa"/>
            <w:tcBorders>
              <w:top w:val="nil"/>
              <w:left w:val="nil"/>
              <w:bottom w:val="nil"/>
              <w:right w:val="single" w:sz="4" w:space="0" w:color="auto"/>
            </w:tcBorders>
            <w:shd w:val="clear" w:color="auto" w:fill="auto"/>
            <w:noWrap/>
            <w:vAlign w:val="bottom"/>
          </w:tcPr>
          <w:p w14:paraId="0DF35089" w14:textId="01B14DE7" w:rsidR="00C701E6" w:rsidRPr="002E63ED" w:rsidRDefault="00C701E6" w:rsidP="00C701E6">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w:t>
            </w:r>
          </w:p>
        </w:tc>
      </w:tr>
      <w:tr w:rsidR="00C701E6" w:rsidRPr="002E63ED" w14:paraId="160B493C" w14:textId="77777777" w:rsidTr="00A84425">
        <w:trPr>
          <w:trHeight w:val="330"/>
        </w:trPr>
        <w:tc>
          <w:tcPr>
            <w:tcW w:w="2494" w:type="dxa"/>
            <w:tcBorders>
              <w:top w:val="nil"/>
              <w:left w:val="single" w:sz="4" w:space="0" w:color="auto"/>
              <w:bottom w:val="single" w:sz="4" w:space="0" w:color="auto"/>
              <w:right w:val="single" w:sz="4" w:space="0" w:color="auto"/>
            </w:tcBorders>
            <w:shd w:val="clear" w:color="auto" w:fill="auto"/>
            <w:noWrap/>
            <w:vAlign w:val="center"/>
          </w:tcPr>
          <w:p w14:paraId="2EA444B1" w14:textId="20A15C40" w:rsidR="00C701E6" w:rsidRPr="002E63ED" w:rsidRDefault="00C701E6" w:rsidP="00C701E6">
            <w:pPr>
              <w:spacing w:before="0" w:after="0" w:line="240" w:lineRule="auto"/>
              <w:jc w:val="left"/>
              <w:rPr>
                <w:rFonts w:cs="Arial"/>
                <w:color w:val="auto"/>
                <w:kern w:val="0"/>
                <w:sz w:val="19"/>
                <w:szCs w:val="19"/>
                <w:lang w:eastAsia="en-AU"/>
              </w:rPr>
            </w:pPr>
            <w:r w:rsidRPr="002E63ED">
              <w:rPr>
                <w:rFonts w:cs="Arial"/>
                <w:color w:val="auto"/>
                <w:kern w:val="0"/>
                <w:sz w:val="19"/>
                <w:szCs w:val="19"/>
                <w:lang w:eastAsia="en-AU"/>
              </w:rPr>
              <w:t>Perch hatchlings</w:t>
            </w:r>
            <w:r w:rsidR="00A33165" w:rsidRPr="002E63ED">
              <w:rPr>
                <w:rFonts w:cs="Arial"/>
                <w:color w:val="auto"/>
                <w:kern w:val="0"/>
                <w:sz w:val="19"/>
                <w:szCs w:val="19"/>
                <w:lang w:eastAsia="en-AU"/>
              </w:rPr>
              <w:t>*</w:t>
            </w:r>
          </w:p>
        </w:tc>
        <w:tc>
          <w:tcPr>
            <w:tcW w:w="0" w:type="auto"/>
            <w:tcBorders>
              <w:top w:val="nil"/>
              <w:left w:val="nil"/>
              <w:bottom w:val="single" w:sz="4" w:space="0" w:color="auto"/>
              <w:right w:val="nil"/>
            </w:tcBorders>
            <w:shd w:val="clear" w:color="auto" w:fill="auto"/>
            <w:noWrap/>
            <w:vAlign w:val="bottom"/>
          </w:tcPr>
          <w:p w14:paraId="6EEC13C3" w14:textId="0726859A" w:rsidR="00C701E6" w:rsidRPr="002E63ED" w:rsidRDefault="00C701E6" w:rsidP="00C701E6">
            <w:pPr>
              <w:spacing w:before="0" w:after="0" w:line="240" w:lineRule="auto"/>
              <w:jc w:val="right"/>
              <w:rPr>
                <w:rFonts w:cs="Arial"/>
                <w:color w:val="auto"/>
                <w:kern w:val="0"/>
                <w:sz w:val="19"/>
                <w:szCs w:val="19"/>
                <w:lang w:eastAsia="en-AU"/>
              </w:rPr>
            </w:pPr>
          </w:p>
        </w:tc>
        <w:tc>
          <w:tcPr>
            <w:tcW w:w="0" w:type="auto"/>
            <w:tcBorders>
              <w:top w:val="nil"/>
              <w:left w:val="nil"/>
              <w:bottom w:val="single" w:sz="4" w:space="0" w:color="auto"/>
              <w:right w:val="nil"/>
            </w:tcBorders>
            <w:shd w:val="clear" w:color="auto" w:fill="auto"/>
            <w:noWrap/>
            <w:vAlign w:val="bottom"/>
          </w:tcPr>
          <w:p w14:paraId="71BF1B65" w14:textId="143317D8" w:rsidR="00C701E6" w:rsidRPr="002E63ED" w:rsidRDefault="00C701E6" w:rsidP="00C701E6">
            <w:pPr>
              <w:spacing w:before="0" w:after="0" w:line="240" w:lineRule="auto"/>
              <w:jc w:val="right"/>
              <w:rPr>
                <w:rFonts w:cs="Arial"/>
                <w:color w:val="auto"/>
                <w:kern w:val="0"/>
                <w:sz w:val="19"/>
                <w:szCs w:val="19"/>
                <w:lang w:eastAsia="en-AU"/>
              </w:rPr>
            </w:pPr>
          </w:p>
        </w:tc>
        <w:tc>
          <w:tcPr>
            <w:tcW w:w="0" w:type="auto"/>
            <w:tcBorders>
              <w:top w:val="nil"/>
              <w:left w:val="nil"/>
              <w:bottom w:val="single" w:sz="4" w:space="0" w:color="auto"/>
              <w:right w:val="nil"/>
            </w:tcBorders>
            <w:shd w:val="clear" w:color="auto" w:fill="auto"/>
            <w:noWrap/>
            <w:vAlign w:val="bottom"/>
          </w:tcPr>
          <w:p w14:paraId="4B8ADFC3" w14:textId="5D18D649" w:rsidR="00C701E6" w:rsidRPr="002E63ED" w:rsidRDefault="00C701E6" w:rsidP="00C701E6">
            <w:pPr>
              <w:spacing w:before="0" w:after="0" w:line="240" w:lineRule="auto"/>
              <w:jc w:val="right"/>
              <w:rPr>
                <w:rFonts w:cs="Arial"/>
                <w:color w:val="auto"/>
                <w:kern w:val="0"/>
                <w:sz w:val="19"/>
                <w:szCs w:val="19"/>
                <w:lang w:eastAsia="en-AU"/>
              </w:rPr>
            </w:pPr>
          </w:p>
        </w:tc>
        <w:tc>
          <w:tcPr>
            <w:tcW w:w="0" w:type="auto"/>
            <w:tcBorders>
              <w:top w:val="nil"/>
              <w:left w:val="nil"/>
              <w:bottom w:val="single" w:sz="4" w:space="0" w:color="auto"/>
              <w:right w:val="single" w:sz="4" w:space="0" w:color="auto"/>
            </w:tcBorders>
            <w:shd w:val="clear" w:color="auto" w:fill="auto"/>
            <w:noWrap/>
            <w:vAlign w:val="bottom"/>
          </w:tcPr>
          <w:p w14:paraId="29B70F3D" w14:textId="1CE18EE1" w:rsidR="00C701E6" w:rsidRPr="002E63ED" w:rsidRDefault="00C701E6" w:rsidP="00C701E6">
            <w:pPr>
              <w:spacing w:before="0" w:after="0" w:line="240" w:lineRule="auto"/>
              <w:jc w:val="right"/>
              <w:rPr>
                <w:rFonts w:cs="Arial"/>
                <w:b/>
                <w:bCs/>
                <w:color w:val="auto"/>
                <w:kern w:val="0"/>
                <w:sz w:val="19"/>
                <w:szCs w:val="19"/>
                <w:lang w:eastAsia="en-AU"/>
              </w:rPr>
            </w:pPr>
          </w:p>
        </w:tc>
        <w:tc>
          <w:tcPr>
            <w:tcW w:w="0" w:type="auto"/>
            <w:tcBorders>
              <w:top w:val="nil"/>
              <w:left w:val="nil"/>
              <w:bottom w:val="single" w:sz="4" w:space="0" w:color="auto"/>
              <w:right w:val="nil"/>
            </w:tcBorders>
            <w:shd w:val="clear" w:color="auto" w:fill="auto"/>
            <w:noWrap/>
            <w:vAlign w:val="bottom"/>
          </w:tcPr>
          <w:p w14:paraId="6ED05101" w14:textId="6A4ADAA9" w:rsidR="00C701E6" w:rsidRPr="002E63ED" w:rsidRDefault="00C701E6" w:rsidP="00C701E6">
            <w:pPr>
              <w:spacing w:before="0" w:after="0" w:line="240" w:lineRule="auto"/>
              <w:jc w:val="right"/>
              <w:rPr>
                <w:rFonts w:cs="Arial"/>
                <w:color w:val="auto"/>
                <w:kern w:val="0"/>
                <w:sz w:val="19"/>
                <w:szCs w:val="19"/>
                <w:lang w:eastAsia="en-AU"/>
              </w:rPr>
            </w:pPr>
            <w:r w:rsidRPr="002E63ED">
              <w:rPr>
                <w:rFonts w:cs="Arial"/>
                <w:color w:val="auto"/>
                <w:kern w:val="0"/>
                <w:sz w:val="19"/>
                <w:szCs w:val="19"/>
                <w:lang w:eastAsia="en-AU"/>
              </w:rPr>
              <w:t>*</w:t>
            </w:r>
          </w:p>
        </w:tc>
        <w:tc>
          <w:tcPr>
            <w:tcW w:w="0" w:type="auto"/>
            <w:tcBorders>
              <w:top w:val="nil"/>
              <w:left w:val="nil"/>
              <w:bottom w:val="single" w:sz="4" w:space="0" w:color="auto"/>
              <w:right w:val="nil"/>
            </w:tcBorders>
            <w:shd w:val="clear" w:color="auto" w:fill="auto"/>
            <w:noWrap/>
            <w:vAlign w:val="bottom"/>
          </w:tcPr>
          <w:p w14:paraId="48C075E5" w14:textId="6BE00709" w:rsidR="00C701E6" w:rsidRPr="002E63ED" w:rsidRDefault="00C701E6" w:rsidP="00C701E6">
            <w:pPr>
              <w:spacing w:before="0" w:after="0" w:line="240" w:lineRule="auto"/>
              <w:jc w:val="right"/>
              <w:rPr>
                <w:rFonts w:cs="Arial"/>
                <w:color w:val="auto"/>
                <w:kern w:val="0"/>
                <w:sz w:val="19"/>
                <w:szCs w:val="19"/>
                <w:lang w:eastAsia="en-AU"/>
              </w:rPr>
            </w:pPr>
          </w:p>
        </w:tc>
        <w:tc>
          <w:tcPr>
            <w:tcW w:w="0" w:type="auto"/>
            <w:tcBorders>
              <w:top w:val="nil"/>
              <w:left w:val="nil"/>
              <w:bottom w:val="single" w:sz="4" w:space="0" w:color="auto"/>
              <w:right w:val="nil"/>
            </w:tcBorders>
            <w:shd w:val="clear" w:color="auto" w:fill="auto"/>
            <w:noWrap/>
            <w:vAlign w:val="bottom"/>
          </w:tcPr>
          <w:p w14:paraId="1A77A6A3" w14:textId="0C7AD6EA" w:rsidR="00C701E6" w:rsidRPr="002E63ED" w:rsidRDefault="00C701E6" w:rsidP="00C701E6">
            <w:pPr>
              <w:spacing w:before="0" w:after="0" w:line="240" w:lineRule="auto"/>
              <w:jc w:val="right"/>
              <w:rPr>
                <w:rFonts w:cs="Arial"/>
                <w:color w:val="auto"/>
                <w:kern w:val="0"/>
                <w:sz w:val="19"/>
                <w:szCs w:val="19"/>
                <w:lang w:eastAsia="en-AU"/>
              </w:rPr>
            </w:pPr>
          </w:p>
        </w:tc>
        <w:tc>
          <w:tcPr>
            <w:tcW w:w="929" w:type="dxa"/>
            <w:tcBorders>
              <w:top w:val="nil"/>
              <w:left w:val="nil"/>
              <w:bottom w:val="single" w:sz="4" w:space="0" w:color="auto"/>
              <w:right w:val="single" w:sz="4" w:space="0" w:color="auto"/>
            </w:tcBorders>
            <w:shd w:val="clear" w:color="auto" w:fill="auto"/>
            <w:noWrap/>
            <w:vAlign w:val="bottom"/>
          </w:tcPr>
          <w:p w14:paraId="7B4089E3" w14:textId="45D02CD8" w:rsidR="00C701E6" w:rsidRPr="002E63ED" w:rsidRDefault="00C701E6" w:rsidP="00C701E6">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w:t>
            </w:r>
          </w:p>
        </w:tc>
        <w:tc>
          <w:tcPr>
            <w:tcW w:w="1276" w:type="dxa"/>
            <w:tcBorders>
              <w:top w:val="nil"/>
              <w:left w:val="nil"/>
              <w:bottom w:val="single" w:sz="4" w:space="0" w:color="auto"/>
              <w:right w:val="single" w:sz="4" w:space="0" w:color="auto"/>
            </w:tcBorders>
            <w:shd w:val="clear" w:color="auto" w:fill="auto"/>
            <w:noWrap/>
            <w:vAlign w:val="bottom"/>
          </w:tcPr>
          <w:p w14:paraId="75F6BF06" w14:textId="5E552D57" w:rsidR="00C701E6" w:rsidRPr="002E63ED" w:rsidRDefault="00C701E6" w:rsidP="00C701E6">
            <w:pPr>
              <w:spacing w:before="0" w:after="0" w:line="240" w:lineRule="auto"/>
              <w:jc w:val="right"/>
              <w:rPr>
                <w:rFonts w:cs="Arial"/>
                <w:b/>
                <w:bCs/>
                <w:color w:val="auto"/>
                <w:kern w:val="0"/>
                <w:sz w:val="19"/>
                <w:szCs w:val="19"/>
                <w:lang w:eastAsia="en-AU"/>
              </w:rPr>
            </w:pPr>
            <w:r w:rsidRPr="002E63ED">
              <w:rPr>
                <w:rFonts w:cs="Arial"/>
                <w:b/>
                <w:bCs/>
                <w:color w:val="auto"/>
                <w:kern w:val="0"/>
                <w:sz w:val="19"/>
                <w:szCs w:val="19"/>
                <w:lang w:eastAsia="en-AU"/>
              </w:rPr>
              <w:t>*</w:t>
            </w:r>
          </w:p>
        </w:tc>
      </w:tr>
    </w:tbl>
    <w:p w14:paraId="1DD933C6" w14:textId="77777777" w:rsidR="005C3079" w:rsidRPr="00BA21CE" w:rsidRDefault="005C3079" w:rsidP="007B1CD9">
      <w:pPr>
        <w:contextualSpacing/>
        <w:rPr>
          <w:sz w:val="6"/>
          <w:lang w:eastAsia="en-AU"/>
        </w:rPr>
      </w:pPr>
    </w:p>
    <w:p w14:paraId="455FC56E" w14:textId="17F724E3" w:rsidR="007B1CD9" w:rsidRPr="00BA21CE" w:rsidRDefault="00A33165" w:rsidP="00BA21CE">
      <w:pPr>
        <w:spacing w:before="0" w:after="0"/>
        <w:contextualSpacing/>
        <w:rPr>
          <w:sz w:val="20"/>
          <w:lang w:eastAsia="en-AU"/>
        </w:rPr>
      </w:pPr>
      <w:r w:rsidRPr="00BA21CE">
        <w:rPr>
          <w:sz w:val="20"/>
          <w:vertAlign w:val="superscript"/>
          <w:lang w:eastAsia="en-AU"/>
        </w:rPr>
        <w:t>#</w:t>
      </w:r>
      <w:r w:rsidR="00C701E6">
        <w:rPr>
          <w:sz w:val="20"/>
          <w:lang w:eastAsia="en-AU"/>
        </w:rPr>
        <w:t xml:space="preserve"> </w:t>
      </w:r>
      <w:r w:rsidR="007B1CD9" w:rsidRPr="00BA21CE">
        <w:rPr>
          <w:sz w:val="20"/>
          <w:lang w:eastAsia="en-AU"/>
        </w:rPr>
        <w:t>’Flatheaded gudgeons’ include flatheaded gudgeon (</w:t>
      </w:r>
      <w:r w:rsidR="007B1CD9" w:rsidRPr="00BA21CE">
        <w:rPr>
          <w:i/>
          <w:sz w:val="20"/>
          <w:lang w:eastAsia="en-AU"/>
        </w:rPr>
        <w:t>Philypnodon grandiceps</w:t>
      </w:r>
      <w:r w:rsidR="007B1CD9" w:rsidRPr="00BA21CE">
        <w:rPr>
          <w:sz w:val="20"/>
          <w:lang w:eastAsia="en-AU"/>
        </w:rPr>
        <w:t>) and dwarf flatheaded gudgeon (</w:t>
      </w:r>
      <w:r w:rsidR="007B1CD9" w:rsidRPr="00BA21CE">
        <w:rPr>
          <w:i/>
          <w:sz w:val="20"/>
          <w:lang w:eastAsia="en-AU"/>
        </w:rPr>
        <w:t>Philypnodon macrostomus</w:t>
      </w:r>
      <w:r w:rsidR="007B1CD9" w:rsidRPr="00BA21CE">
        <w:rPr>
          <w:sz w:val="20"/>
          <w:lang w:eastAsia="en-AU"/>
        </w:rPr>
        <w:t xml:space="preserve">). </w:t>
      </w:r>
    </w:p>
    <w:p w14:paraId="4200A626" w14:textId="777411E9" w:rsidR="005849A8" w:rsidRPr="00BA21CE" w:rsidRDefault="00A33165" w:rsidP="00BA21CE">
      <w:pPr>
        <w:spacing w:before="0" w:after="0"/>
        <w:contextualSpacing/>
        <w:rPr>
          <w:lang w:eastAsia="en-AU"/>
        </w:rPr>
        <w:sectPr w:rsidR="005849A8" w:rsidRPr="00BA21CE" w:rsidSect="007B1CD9">
          <w:pgSz w:w="16840" w:h="11900" w:orient="landscape" w:code="9"/>
          <w:pgMar w:top="1440" w:right="1440" w:bottom="1440" w:left="1440" w:header="709" w:footer="709" w:gutter="0"/>
          <w:cols w:space="708"/>
          <w:docGrid w:linePitch="360"/>
        </w:sectPr>
      </w:pPr>
      <w:r w:rsidRPr="00BA21CE">
        <w:rPr>
          <w:sz w:val="20"/>
          <w:lang w:eastAsia="en-AU"/>
        </w:rPr>
        <w:t>*</w:t>
      </w:r>
      <w:r w:rsidR="00C701E6">
        <w:rPr>
          <w:sz w:val="20"/>
          <w:vertAlign w:val="superscript"/>
          <w:lang w:eastAsia="en-AU"/>
        </w:rPr>
        <w:t xml:space="preserve"> </w:t>
      </w:r>
      <w:r w:rsidR="00C701E6">
        <w:rPr>
          <w:sz w:val="20"/>
          <w:lang w:eastAsia="en-AU"/>
        </w:rPr>
        <w:t>Perch eggs and hatchlings were golden perch or silver perch that were too small to be identified to species. Their presence or absence is indicated in the table.</w:t>
      </w:r>
    </w:p>
    <w:p w14:paraId="103CDA44" w14:textId="77777777" w:rsidR="00F36F32" w:rsidRPr="00B61C7B" w:rsidRDefault="00F36F32" w:rsidP="00F36F32">
      <w:pPr>
        <w:spacing w:before="0" w:after="200" w:line="276" w:lineRule="auto"/>
        <w:rPr>
          <w:b/>
          <w:i/>
          <w:color w:val="1F497D" w:themeColor="text2"/>
          <w:sz w:val="24"/>
          <w:szCs w:val="24"/>
        </w:rPr>
      </w:pPr>
      <w:r w:rsidRPr="00B61C7B">
        <w:rPr>
          <w:b/>
          <w:i/>
          <w:color w:val="1F497D" w:themeColor="text2"/>
          <w:sz w:val="24"/>
          <w:szCs w:val="24"/>
        </w:rPr>
        <w:lastRenderedPageBreak/>
        <w:t>Golden</w:t>
      </w:r>
      <w:r w:rsidRPr="006D6F90">
        <w:rPr>
          <w:b/>
          <w:i/>
          <w:color w:val="1F497D" w:themeColor="text2"/>
          <w:sz w:val="24"/>
          <w:szCs w:val="24"/>
        </w:rPr>
        <w:t xml:space="preserve"> </w:t>
      </w:r>
      <w:r w:rsidRPr="00B57B39">
        <w:rPr>
          <w:b/>
          <w:i/>
          <w:color w:val="1F497D" w:themeColor="text2"/>
          <w:sz w:val="24"/>
          <w:szCs w:val="24"/>
        </w:rPr>
        <w:t>perch</w:t>
      </w:r>
      <w:r>
        <w:rPr>
          <w:b/>
          <w:i/>
          <w:color w:val="1F497D" w:themeColor="text2"/>
          <w:sz w:val="24"/>
          <w:szCs w:val="24"/>
        </w:rPr>
        <w:t xml:space="preserve"> and silver perch larval collection and spawn dates</w:t>
      </w:r>
    </w:p>
    <w:p w14:paraId="098E24DE" w14:textId="7EDF598C" w:rsidR="00F36F32" w:rsidRDefault="00F36F32" w:rsidP="00F36F32">
      <w:pPr>
        <w:rPr>
          <w:rFonts w:eastAsia="MS Mincho" w:cs="Arial"/>
          <w:b/>
          <w:bCs/>
          <w:color w:val="auto"/>
          <w:kern w:val="0"/>
          <w:sz w:val="20"/>
          <w:lang w:val="en-US"/>
        </w:rPr>
      </w:pPr>
      <w:r w:rsidRPr="003B5DE9">
        <w:t xml:space="preserve">In 2015/16, two golden perch larvae were collected </w:t>
      </w:r>
      <w:r>
        <w:t>below</w:t>
      </w:r>
      <w:r w:rsidRPr="003B5DE9">
        <w:t xml:space="preserve"> Lock 1</w:t>
      </w:r>
      <w:r>
        <w:t>, one on</w:t>
      </w:r>
      <w:r w:rsidRPr="003B5DE9">
        <w:t xml:space="preserve"> 21 October</w:t>
      </w:r>
      <w:r>
        <w:t xml:space="preserve"> </w:t>
      </w:r>
      <w:r w:rsidRPr="003B5DE9">
        <w:t xml:space="preserve">and </w:t>
      </w:r>
      <w:r>
        <w:t xml:space="preserve">one on </w:t>
      </w:r>
      <w:r w:rsidRPr="003B5DE9">
        <w:t xml:space="preserve">1 December 2015. Ages of these larvae </w:t>
      </w:r>
      <w:r w:rsidRPr="00875175">
        <w:t xml:space="preserve">were 2 </w:t>
      </w:r>
      <w:r>
        <w:t xml:space="preserve">(pre-flexion) </w:t>
      </w:r>
      <w:r w:rsidRPr="00875175">
        <w:t>and</w:t>
      </w:r>
      <w:r w:rsidRPr="003B5DE9">
        <w:t xml:space="preserve"> 18 days</w:t>
      </w:r>
      <w:r>
        <w:t xml:space="preserve"> (post-flexion)</w:t>
      </w:r>
      <w:r w:rsidRPr="003B5DE9">
        <w:t xml:space="preserve">, corresponding to spawn dates </w:t>
      </w:r>
      <w:r w:rsidRPr="00875175">
        <w:t xml:space="preserve">of 19 </w:t>
      </w:r>
      <w:r w:rsidRPr="001B145E">
        <w:t>October and 13 November 2015</w:t>
      </w:r>
      <w:r w:rsidRPr="008421BB">
        <w:t>, respectively</w:t>
      </w:r>
      <w:r w:rsidRPr="00570E0E">
        <w:t xml:space="preserve"> </w:t>
      </w:r>
      <w:r w:rsidRPr="008421BB">
        <w:t>(Table H</w:t>
      </w:r>
      <w:r>
        <w:t>5</w:t>
      </w:r>
      <w:r w:rsidRPr="008421BB">
        <w:t>; Figure H7). One</w:t>
      </w:r>
      <w:r w:rsidRPr="004219AA">
        <w:t xml:space="preserve"> silver perch larvae was collected </w:t>
      </w:r>
      <w:r>
        <w:t>below</w:t>
      </w:r>
      <w:r w:rsidR="009B76EA">
        <w:t xml:space="preserve"> Lock </w:t>
      </w:r>
      <w:r w:rsidRPr="004219AA">
        <w:t>1</w:t>
      </w:r>
      <w:r>
        <w:t xml:space="preserve"> on</w:t>
      </w:r>
      <w:r w:rsidRPr="004219AA">
        <w:t xml:space="preserve"> 1 December 2015. This larvae was 47 days old</w:t>
      </w:r>
      <w:r>
        <w:t xml:space="preserve"> (post-flexion)</w:t>
      </w:r>
      <w:r w:rsidRPr="004219AA">
        <w:t>, which corresponded to a spawn date of 15 October 2015</w:t>
      </w:r>
      <w:r>
        <w:t xml:space="preserve"> </w:t>
      </w:r>
      <w:r w:rsidRPr="008421BB">
        <w:t>(Table H</w:t>
      </w:r>
      <w:r>
        <w:t>5</w:t>
      </w:r>
      <w:r w:rsidRPr="008421BB">
        <w:t>; Figure H7)</w:t>
      </w:r>
      <w:r w:rsidRPr="004219AA">
        <w:t>.</w:t>
      </w:r>
      <w:r>
        <w:t xml:space="preserve"> No golden perch or silver perch larvae were collected below Lock 6.</w:t>
      </w:r>
    </w:p>
    <w:p w14:paraId="38F5400C" w14:textId="132F7C5E" w:rsidR="00FA1F5B" w:rsidRPr="004219AA" w:rsidRDefault="00FA1F5B" w:rsidP="00B46038">
      <w:pPr>
        <w:pStyle w:val="Captions"/>
      </w:pPr>
      <w:r w:rsidRPr="004219AA">
        <w:t>Table H</w:t>
      </w:r>
      <w:r w:rsidR="00487A0B">
        <w:t>5</w:t>
      </w:r>
      <w:r w:rsidRPr="004219AA">
        <w:t xml:space="preserve">. Capture location and date, length (mm), age (days), spawn date and otolith core </w:t>
      </w:r>
      <w:r w:rsidRPr="004219AA">
        <w:rPr>
          <w:vertAlign w:val="superscript"/>
        </w:rPr>
        <w:t>87</w:t>
      </w:r>
      <w:r w:rsidRPr="004219AA">
        <w:t>Sr/</w:t>
      </w:r>
      <w:r w:rsidRPr="004219AA">
        <w:rPr>
          <w:vertAlign w:val="superscript"/>
        </w:rPr>
        <w:t>86</w:t>
      </w:r>
      <w:r w:rsidRPr="004219AA">
        <w:t>Sr values for larval golden perch and silver perch collected from the gorge geomorphic zone of the LMR Selected Area. Daily age and spawn date for the smallest golden perch (*) was estimated based on ages of golden perch with similar total lengths.</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
        <w:gridCol w:w="929"/>
        <w:gridCol w:w="1328"/>
        <w:gridCol w:w="1326"/>
        <w:gridCol w:w="929"/>
        <w:gridCol w:w="929"/>
        <w:gridCol w:w="1459"/>
        <w:gridCol w:w="1059"/>
      </w:tblGrid>
      <w:tr w:rsidR="00FA1F5B" w:rsidRPr="002E63ED" w14:paraId="7709F66D" w14:textId="77777777" w:rsidTr="00A81D01">
        <w:trPr>
          <w:jc w:val="center"/>
        </w:trPr>
        <w:tc>
          <w:tcPr>
            <w:tcW w:w="588" w:type="pct"/>
            <w:tcBorders>
              <w:top w:val="single" w:sz="4" w:space="0" w:color="auto"/>
              <w:bottom w:val="single" w:sz="4" w:space="0" w:color="auto"/>
            </w:tcBorders>
          </w:tcPr>
          <w:p w14:paraId="33A6CD06" w14:textId="77777777" w:rsidR="00FA1F5B" w:rsidRPr="002E63ED" w:rsidRDefault="00FA1F5B" w:rsidP="00202B00">
            <w:pPr>
              <w:spacing w:before="0" w:after="0" w:line="240" w:lineRule="auto"/>
              <w:contextualSpacing/>
              <w:jc w:val="center"/>
              <w:rPr>
                <w:b/>
                <w:sz w:val="19"/>
                <w:szCs w:val="19"/>
              </w:rPr>
            </w:pPr>
            <w:r w:rsidRPr="002E63ED">
              <w:rPr>
                <w:b/>
                <w:sz w:val="19"/>
                <w:szCs w:val="19"/>
              </w:rPr>
              <w:t>Species</w:t>
            </w:r>
          </w:p>
        </w:tc>
        <w:tc>
          <w:tcPr>
            <w:tcW w:w="515" w:type="pct"/>
            <w:tcBorders>
              <w:top w:val="single" w:sz="4" w:space="0" w:color="auto"/>
              <w:bottom w:val="single" w:sz="4" w:space="0" w:color="auto"/>
            </w:tcBorders>
          </w:tcPr>
          <w:p w14:paraId="21142FA8" w14:textId="77777777" w:rsidR="00FA1F5B" w:rsidRPr="002E63ED" w:rsidRDefault="00FA1F5B" w:rsidP="00202B00">
            <w:pPr>
              <w:spacing w:before="0" w:after="0" w:line="240" w:lineRule="auto"/>
              <w:contextualSpacing/>
              <w:jc w:val="center"/>
              <w:rPr>
                <w:b/>
                <w:sz w:val="19"/>
                <w:szCs w:val="19"/>
              </w:rPr>
            </w:pPr>
            <w:r w:rsidRPr="002E63ED">
              <w:rPr>
                <w:b/>
                <w:sz w:val="19"/>
                <w:szCs w:val="19"/>
              </w:rPr>
              <w:t>Zone</w:t>
            </w:r>
          </w:p>
        </w:tc>
        <w:tc>
          <w:tcPr>
            <w:tcW w:w="736" w:type="pct"/>
            <w:tcBorders>
              <w:top w:val="single" w:sz="4" w:space="0" w:color="auto"/>
              <w:bottom w:val="single" w:sz="4" w:space="0" w:color="auto"/>
            </w:tcBorders>
          </w:tcPr>
          <w:p w14:paraId="1E74F6A8" w14:textId="77777777" w:rsidR="00FA1F5B" w:rsidRPr="002E63ED" w:rsidRDefault="00FA1F5B" w:rsidP="00202B00">
            <w:pPr>
              <w:spacing w:before="0" w:after="0" w:line="240" w:lineRule="auto"/>
              <w:contextualSpacing/>
              <w:jc w:val="center"/>
              <w:rPr>
                <w:b/>
                <w:sz w:val="19"/>
                <w:szCs w:val="19"/>
              </w:rPr>
            </w:pPr>
            <w:r w:rsidRPr="002E63ED">
              <w:rPr>
                <w:b/>
                <w:sz w:val="19"/>
                <w:szCs w:val="19"/>
              </w:rPr>
              <w:t>Capture location</w:t>
            </w:r>
          </w:p>
        </w:tc>
        <w:tc>
          <w:tcPr>
            <w:tcW w:w="735" w:type="pct"/>
            <w:tcBorders>
              <w:top w:val="single" w:sz="4" w:space="0" w:color="auto"/>
              <w:bottom w:val="single" w:sz="4" w:space="0" w:color="auto"/>
            </w:tcBorders>
          </w:tcPr>
          <w:p w14:paraId="08274E78" w14:textId="77777777" w:rsidR="00FA1F5B" w:rsidRPr="002E63ED" w:rsidRDefault="00FA1F5B" w:rsidP="00202B00">
            <w:pPr>
              <w:spacing w:before="0" w:after="0" w:line="240" w:lineRule="auto"/>
              <w:contextualSpacing/>
              <w:jc w:val="center"/>
              <w:rPr>
                <w:b/>
                <w:sz w:val="19"/>
                <w:szCs w:val="19"/>
              </w:rPr>
            </w:pPr>
            <w:r w:rsidRPr="002E63ED">
              <w:rPr>
                <w:b/>
                <w:sz w:val="19"/>
                <w:szCs w:val="19"/>
              </w:rPr>
              <w:t>Capture date</w:t>
            </w:r>
          </w:p>
        </w:tc>
        <w:tc>
          <w:tcPr>
            <w:tcW w:w="515" w:type="pct"/>
            <w:tcBorders>
              <w:top w:val="single" w:sz="4" w:space="0" w:color="auto"/>
              <w:bottom w:val="single" w:sz="4" w:space="0" w:color="auto"/>
            </w:tcBorders>
          </w:tcPr>
          <w:p w14:paraId="66FA175A" w14:textId="77777777" w:rsidR="00FA1F5B" w:rsidRPr="002E63ED" w:rsidRDefault="00FA1F5B" w:rsidP="00202B00">
            <w:pPr>
              <w:spacing w:before="0" w:after="0" w:line="240" w:lineRule="auto"/>
              <w:contextualSpacing/>
              <w:jc w:val="center"/>
              <w:rPr>
                <w:b/>
                <w:sz w:val="19"/>
                <w:szCs w:val="19"/>
                <w:vertAlign w:val="superscript"/>
              </w:rPr>
            </w:pPr>
            <w:r w:rsidRPr="002E63ED">
              <w:rPr>
                <w:b/>
                <w:sz w:val="19"/>
                <w:szCs w:val="19"/>
              </w:rPr>
              <w:t>Length (mm)</w:t>
            </w:r>
          </w:p>
        </w:tc>
        <w:tc>
          <w:tcPr>
            <w:tcW w:w="515" w:type="pct"/>
            <w:tcBorders>
              <w:top w:val="single" w:sz="4" w:space="0" w:color="auto"/>
              <w:bottom w:val="single" w:sz="4" w:space="0" w:color="auto"/>
            </w:tcBorders>
          </w:tcPr>
          <w:p w14:paraId="235EB5A8" w14:textId="77777777" w:rsidR="00FA1F5B" w:rsidRPr="002E63ED" w:rsidRDefault="00FA1F5B" w:rsidP="00202B00">
            <w:pPr>
              <w:spacing w:before="0" w:after="0" w:line="240" w:lineRule="auto"/>
              <w:contextualSpacing/>
              <w:jc w:val="center"/>
              <w:rPr>
                <w:b/>
                <w:sz w:val="19"/>
                <w:szCs w:val="19"/>
                <w:vertAlign w:val="superscript"/>
              </w:rPr>
            </w:pPr>
            <w:r w:rsidRPr="002E63ED">
              <w:rPr>
                <w:b/>
                <w:sz w:val="19"/>
                <w:szCs w:val="19"/>
              </w:rPr>
              <w:t>Age (days)</w:t>
            </w:r>
          </w:p>
        </w:tc>
        <w:tc>
          <w:tcPr>
            <w:tcW w:w="809" w:type="pct"/>
            <w:tcBorders>
              <w:top w:val="single" w:sz="4" w:space="0" w:color="auto"/>
              <w:bottom w:val="single" w:sz="4" w:space="0" w:color="auto"/>
            </w:tcBorders>
          </w:tcPr>
          <w:p w14:paraId="036BBF55" w14:textId="77777777" w:rsidR="00FA1F5B" w:rsidRPr="002E63ED" w:rsidRDefault="00FA1F5B" w:rsidP="00202B00">
            <w:pPr>
              <w:spacing w:before="0" w:after="0" w:line="240" w:lineRule="auto"/>
              <w:contextualSpacing/>
              <w:jc w:val="center"/>
              <w:rPr>
                <w:b/>
                <w:sz w:val="19"/>
                <w:szCs w:val="19"/>
                <w:vertAlign w:val="superscript"/>
              </w:rPr>
            </w:pPr>
            <w:r w:rsidRPr="002E63ED">
              <w:rPr>
                <w:b/>
                <w:sz w:val="19"/>
                <w:szCs w:val="19"/>
              </w:rPr>
              <w:t>Spawn date</w:t>
            </w:r>
          </w:p>
        </w:tc>
        <w:tc>
          <w:tcPr>
            <w:tcW w:w="588" w:type="pct"/>
            <w:tcBorders>
              <w:top w:val="single" w:sz="4" w:space="0" w:color="auto"/>
              <w:bottom w:val="single" w:sz="4" w:space="0" w:color="auto"/>
            </w:tcBorders>
          </w:tcPr>
          <w:p w14:paraId="5797D66D" w14:textId="77777777" w:rsidR="00FA1F5B" w:rsidRPr="002E63ED" w:rsidRDefault="00FA1F5B" w:rsidP="00202B00">
            <w:pPr>
              <w:spacing w:before="0" w:after="0" w:line="240" w:lineRule="auto"/>
              <w:contextualSpacing/>
              <w:jc w:val="center"/>
              <w:rPr>
                <w:b/>
                <w:sz w:val="19"/>
                <w:szCs w:val="19"/>
              </w:rPr>
            </w:pPr>
            <w:r w:rsidRPr="002E63ED">
              <w:rPr>
                <w:b/>
                <w:sz w:val="19"/>
                <w:szCs w:val="19"/>
                <w:vertAlign w:val="superscript"/>
              </w:rPr>
              <w:t>87</w:t>
            </w:r>
            <w:r w:rsidRPr="002E63ED">
              <w:rPr>
                <w:b/>
                <w:sz w:val="19"/>
                <w:szCs w:val="19"/>
              </w:rPr>
              <w:t>Sr/</w:t>
            </w:r>
            <w:r w:rsidRPr="002E63ED">
              <w:rPr>
                <w:b/>
                <w:sz w:val="19"/>
                <w:szCs w:val="19"/>
                <w:vertAlign w:val="superscript"/>
              </w:rPr>
              <w:t>86</w:t>
            </w:r>
            <w:r w:rsidRPr="002E63ED">
              <w:rPr>
                <w:b/>
                <w:sz w:val="19"/>
                <w:szCs w:val="19"/>
              </w:rPr>
              <w:t>Sr</w:t>
            </w:r>
          </w:p>
        </w:tc>
      </w:tr>
      <w:tr w:rsidR="00FA1F5B" w:rsidRPr="002E63ED" w14:paraId="4FE8F742" w14:textId="77777777" w:rsidTr="00A81D01">
        <w:trPr>
          <w:jc w:val="center"/>
        </w:trPr>
        <w:tc>
          <w:tcPr>
            <w:tcW w:w="588" w:type="pct"/>
            <w:tcBorders>
              <w:top w:val="nil"/>
              <w:bottom w:val="nil"/>
            </w:tcBorders>
          </w:tcPr>
          <w:p w14:paraId="543FA3D7" w14:textId="77777777" w:rsidR="00FA1F5B" w:rsidRPr="002E63ED" w:rsidRDefault="00FA1F5B" w:rsidP="00202B00">
            <w:pPr>
              <w:spacing w:before="0" w:after="0" w:line="240" w:lineRule="auto"/>
              <w:contextualSpacing/>
              <w:jc w:val="center"/>
              <w:rPr>
                <w:sz w:val="19"/>
                <w:szCs w:val="19"/>
              </w:rPr>
            </w:pPr>
            <w:r w:rsidRPr="002E63ED">
              <w:rPr>
                <w:sz w:val="19"/>
                <w:szCs w:val="19"/>
              </w:rPr>
              <w:t>Golden perch</w:t>
            </w:r>
          </w:p>
        </w:tc>
        <w:tc>
          <w:tcPr>
            <w:tcW w:w="515" w:type="pct"/>
            <w:tcBorders>
              <w:top w:val="nil"/>
              <w:bottom w:val="nil"/>
            </w:tcBorders>
          </w:tcPr>
          <w:p w14:paraId="287D4CD8" w14:textId="77777777" w:rsidR="00FA1F5B" w:rsidRPr="002E63ED" w:rsidRDefault="00FA1F5B" w:rsidP="00202B00">
            <w:pPr>
              <w:spacing w:before="0" w:after="0" w:line="240" w:lineRule="auto"/>
              <w:contextualSpacing/>
              <w:jc w:val="center"/>
              <w:rPr>
                <w:sz w:val="19"/>
                <w:szCs w:val="19"/>
              </w:rPr>
            </w:pPr>
            <w:r w:rsidRPr="002E63ED">
              <w:rPr>
                <w:sz w:val="19"/>
                <w:szCs w:val="19"/>
              </w:rPr>
              <w:t>Gorge</w:t>
            </w:r>
          </w:p>
        </w:tc>
        <w:tc>
          <w:tcPr>
            <w:tcW w:w="736" w:type="pct"/>
            <w:tcBorders>
              <w:top w:val="nil"/>
              <w:bottom w:val="nil"/>
            </w:tcBorders>
          </w:tcPr>
          <w:p w14:paraId="69F9B6DC" w14:textId="77777777" w:rsidR="00FA1F5B" w:rsidRPr="002E63ED" w:rsidRDefault="00FA1F5B" w:rsidP="00202B00">
            <w:pPr>
              <w:spacing w:before="0" w:after="0" w:line="240" w:lineRule="auto"/>
              <w:contextualSpacing/>
              <w:jc w:val="center"/>
              <w:rPr>
                <w:sz w:val="19"/>
                <w:szCs w:val="19"/>
              </w:rPr>
            </w:pPr>
            <w:r w:rsidRPr="002E63ED">
              <w:rPr>
                <w:sz w:val="19"/>
                <w:szCs w:val="19"/>
              </w:rPr>
              <w:t>Lock 1</w:t>
            </w:r>
          </w:p>
        </w:tc>
        <w:tc>
          <w:tcPr>
            <w:tcW w:w="735" w:type="pct"/>
            <w:tcBorders>
              <w:top w:val="nil"/>
              <w:bottom w:val="nil"/>
            </w:tcBorders>
          </w:tcPr>
          <w:p w14:paraId="2BE8FF33" w14:textId="77777777" w:rsidR="00FA1F5B" w:rsidRPr="002E63ED" w:rsidRDefault="00FA1F5B" w:rsidP="00202B00">
            <w:pPr>
              <w:spacing w:before="0" w:after="0" w:line="240" w:lineRule="auto"/>
              <w:contextualSpacing/>
              <w:jc w:val="center"/>
              <w:rPr>
                <w:sz w:val="19"/>
                <w:szCs w:val="19"/>
              </w:rPr>
            </w:pPr>
            <w:r w:rsidRPr="002E63ED">
              <w:rPr>
                <w:sz w:val="19"/>
                <w:szCs w:val="19"/>
              </w:rPr>
              <w:t>21/10/2015</w:t>
            </w:r>
          </w:p>
        </w:tc>
        <w:tc>
          <w:tcPr>
            <w:tcW w:w="515" w:type="pct"/>
            <w:tcBorders>
              <w:top w:val="nil"/>
              <w:bottom w:val="nil"/>
            </w:tcBorders>
          </w:tcPr>
          <w:p w14:paraId="249302DF" w14:textId="77777777" w:rsidR="00FA1F5B" w:rsidRPr="002E63ED" w:rsidRDefault="00FA1F5B" w:rsidP="00202B00">
            <w:pPr>
              <w:spacing w:before="0" w:after="0" w:line="240" w:lineRule="auto"/>
              <w:contextualSpacing/>
              <w:jc w:val="center"/>
              <w:rPr>
                <w:sz w:val="19"/>
                <w:szCs w:val="19"/>
              </w:rPr>
            </w:pPr>
            <w:r w:rsidRPr="002E63ED">
              <w:rPr>
                <w:sz w:val="19"/>
                <w:szCs w:val="19"/>
              </w:rPr>
              <w:t>4.7</w:t>
            </w:r>
          </w:p>
        </w:tc>
        <w:tc>
          <w:tcPr>
            <w:tcW w:w="515" w:type="pct"/>
            <w:tcBorders>
              <w:top w:val="nil"/>
              <w:bottom w:val="nil"/>
            </w:tcBorders>
          </w:tcPr>
          <w:p w14:paraId="36E1F975" w14:textId="77777777" w:rsidR="00FA1F5B" w:rsidRPr="002E63ED" w:rsidRDefault="00FA1F5B" w:rsidP="00202B00">
            <w:pPr>
              <w:spacing w:before="0" w:after="0" w:line="240" w:lineRule="auto"/>
              <w:contextualSpacing/>
              <w:jc w:val="center"/>
              <w:rPr>
                <w:sz w:val="19"/>
                <w:szCs w:val="19"/>
              </w:rPr>
            </w:pPr>
            <w:r w:rsidRPr="002E63ED">
              <w:rPr>
                <w:sz w:val="19"/>
                <w:szCs w:val="19"/>
              </w:rPr>
              <w:t>2*</w:t>
            </w:r>
          </w:p>
        </w:tc>
        <w:tc>
          <w:tcPr>
            <w:tcW w:w="809" w:type="pct"/>
            <w:tcBorders>
              <w:top w:val="nil"/>
              <w:bottom w:val="nil"/>
            </w:tcBorders>
          </w:tcPr>
          <w:p w14:paraId="162BCC2E" w14:textId="77777777" w:rsidR="00FA1F5B" w:rsidRPr="002E63ED" w:rsidRDefault="00FA1F5B" w:rsidP="00202B00">
            <w:pPr>
              <w:spacing w:before="0" w:after="0" w:line="240" w:lineRule="auto"/>
              <w:contextualSpacing/>
              <w:jc w:val="center"/>
              <w:rPr>
                <w:sz w:val="19"/>
                <w:szCs w:val="19"/>
              </w:rPr>
            </w:pPr>
            <w:r w:rsidRPr="002E63ED">
              <w:rPr>
                <w:sz w:val="19"/>
                <w:szCs w:val="19"/>
              </w:rPr>
              <w:t>19/10/2015</w:t>
            </w:r>
          </w:p>
        </w:tc>
        <w:tc>
          <w:tcPr>
            <w:tcW w:w="588" w:type="pct"/>
            <w:tcBorders>
              <w:top w:val="nil"/>
              <w:bottom w:val="nil"/>
            </w:tcBorders>
          </w:tcPr>
          <w:p w14:paraId="2944CFE9" w14:textId="77777777" w:rsidR="00FA1F5B" w:rsidRPr="002E63ED" w:rsidRDefault="00FA1F5B" w:rsidP="00202B00">
            <w:pPr>
              <w:spacing w:before="0" w:after="0" w:line="240" w:lineRule="auto"/>
              <w:contextualSpacing/>
              <w:jc w:val="center"/>
              <w:rPr>
                <w:sz w:val="19"/>
                <w:szCs w:val="19"/>
              </w:rPr>
            </w:pPr>
            <w:r w:rsidRPr="002E63ED">
              <w:rPr>
                <w:sz w:val="19"/>
                <w:szCs w:val="19"/>
              </w:rPr>
              <w:t>-</w:t>
            </w:r>
          </w:p>
        </w:tc>
      </w:tr>
      <w:tr w:rsidR="00FA1F5B" w:rsidRPr="002E63ED" w14:paraId="759166CB" w14:textId="77777777" w:rsidTr="00A81D01">
        <w:trPr>
          <w:jc w:val="center"/>
        </w:trPr>
        <w:tc>
          <w:tcPr>
            <w:tcW w:w="588" w:type="pct"/>
            <w:tcBorders>
              <w:top w:val="nil"/>
              <w:bottom w:val="nil"/>
            </w:tcBorders>
          </w:tcPr>
          <w:p w14:paraId="3762821C" w14:textId="77777777" w:rsidR="00FA1F5B" w:rsidRPr="002E63ED" w:rsidRDefault="00FA1F5B" w:rsidP="00202B00">
            <w:pPr>
              <w:spacing w:before="0" w:after="0" w:line="240" w:lineRule="auto"/>
              <w:contextualSpacing/>
              <w:jc w:val="center"/>
              <w:rPr>
                <w:sz w:val="19"/>
                <w:szCs w:val="19"/>
              </w:rPr>
            </w:pPr>
            <w:r w:rsidRPr="002E63ED">
              <w:rPr>
                <w:sz w:val="19"/>
                <w:szCs w:val="19"/>
              </w:rPr>
              <w:t>Golden perch</w:t>
            </w:r>
          </w:p>
        </w:tc>
        <w:tc>
          <w:tcPr>
            <w:tcW w:w="515" w:type="pct"/>
            <w:tcBorders>
              <w:top w:val="nil"/>
              <w:bottom w:val="nil"/>
            </w:tcBorders>
          </w:tcPr>
          <w:p w14:paraId="59262B8F" w14:textId="77777777" w:rsidR="00FA1F5B" w:rsidRPr="002E63ED" w:rsidRDefault="00FA1F5B" w:rsidP="00202B00">
            <w:pPr>
              <w:spacing w:before="0" w:after="0" w:line="240" w:lineRule="auto"/>
              <w:contextualSpacing/>
              <w:jc w:val="center"/>
              <w:rPr>
                <w:sz w:val="19"/>
                <w:szCs w:val="19"/>
              </w:rPr>
            </w:pPr>
            <w:r w:rsidRPr="002E63ED">
              <w:rPr>
                <w:sz w:val="19"/>
                <w:szCs w:val="19"/>
              </w:rPr>
              <w:t>Gorge</w:t>
            </w:r>
          </w:p>
        </w:tc>
        <w:tc>
          <w:tcPr>
            <w:tcW w:w="736" w:type="pct"/>
            <w:tcBorders>
              <w:top w:val="nil"/>
              <w:bottom w:val="nil"/>
            </w:tcBorders>
          </w:tcPr>
          <w:p w14:paraId="2862006A" w14:textId="77777777" w:rsidR="00FA1F5B" w:rsidRPr="002E63ED" w:rsidRDefault="00FA1F5B" w:rsidP="00202B00">
            <w:pPr>
              <w:spacing w:before="0" w:after="0" w:line="240" w:lineRule="auto"/>
              <w:contextualSpacing/>
              <w:jc w:val="center"/>
              <w:rPr>
                <w:sz w:val="19"/>
                <w:szCs w:val="19"/>
              </w:rPr>
            </w:pPr>
            <w:r w:rsidRPr="002E63ED">
              <w:rPr>
                <w:sz w:val="19"/>
                <w:szCs w:val="19"/>
              </w:rPr>
              <w:t>Lock 1</w:t>
            </w:r>
          </w:p>
        </w:tc>
        <w:tc>
          <w:tcPr>
            <w:tcW w:w="735" w:type="pct"/>
            <w:tcBorders>
              <w:top w:val="nil"/>
              <w:bottom w:val="nil"/>
            </w:tcBorders>
          </w:tcPr>
          <w:p w14:paraId="52B6B8D3" w14:textId="77777777" w:rsidR="00FA1F5B" w:rsidRPr="002E63ED" w:rsidRDefault="00FA1F5B" w:rsidP="00202B00">
            <w:pPr>
              <w:spacing w:before="0" w:after="0" w:line="240" w:lineRule="auto"/>
              <w:contextualSpacing/>
              <w:jc w:val="center"/>
              <w:rPr>
                <w:sz w:val="19"/>
                <w:szCs w:val="19"/>
              </w:rPr>
            </w:pPr>
            <w:r w:rsidRPr="002E63ED">
              <w:rPr>
                <w:sz w:val="19"/>
                <w:szCs w:val="19"/>
              </w:rPr>
              <w:t>1/12/2015</w:t>
            </w:r>
          </w:p>
        </w:tc>
        <w:tc>
          <w:tcPr>
            <w:tcW w:w="515" w:type="pct"/>
            <w:tcBorders>
              <w:top w:val="nil"/>
              <w:bottom w:val="nil"/>
            </w:tcBorders>
          </w:tcPr>
          <w:p w14:paraId="46DD5A15" w14:textId="77777777" w:rsidR="00FA1F5B" w:rsidRPr="002E63ED" w:rsidRDefault="00FA1F5B" w:rsidP="00202B00">
            <w:pPr>
              <w:spacing w:before="0" w:after="0" w:line="240" w:lineRule="auto"/>
              <w:contextualSpacing/>
              <w:jc w:val="center"/>
              <w:rPr>
                <w:sz w:val="19"/>
                <w:szCs w:val="19"/>
              </w:rPr>
            </w:pPr>
            <w:r w:rsidRPr="002E63ED">
              <w:rPr>
                <w:sz w:val="19"/>
                <w:szCs w:val="19"/>
              </w:rPr>
              <w:t>12.9</w:t>
            </w:r>
          </w:p>
        </w:tc>
        <w:tc>
          <w:tcPr>
            <w:tcW w:w="515" w:type="pct"/>
            <w:tcBorders>
              <w:top w:val="nil"/>
              <w:bottom w:val="nil"/>
            </w:tcBorders>
          </w:tcPr>
          <w:p w14:paraId="34D5B2E4" w14:textId="77777777" w:rsidR="00FA1F5B" w:rsidRPr="002E63ED" w:rsidRDefault="00FA1F5B" w:rsidP="00202B00">
            <w:pPr>
              <w:spacing w:before="0" w:after="0" w:line="240" w:lineRule="auto"/>
              <w:contextualSpacing/>
              <w:jc w:val="center"/>
              <w:rPr>
                <w:sz w:val="19"/>
                <w:szCs w:val="19"/>
              </w:rPr>
            </w:pPr>
            <w:r w:rsidRPr="002E63ED">
              <w:rPr>
                <w:sz w:val="19"/>
                <w:szCs w:val="19"/>
              </w:rPr>
              <w:t>19</w:t>
            </w:r>
          </w:p>
        </w:tc>
        <w:tc>
          <w:tcPr>
            <w:tcW w:w="809" w:type="pct"/>
            <w:tcBorders>
              <w:top w:val="nil"/>
              <w:bottom w:val="nil"/>
            </w:tcBorders>
          </w:tcPr>
          <w:p w14:paraId="053CB7D0" w14:textId="77777777" w:rsidR="00FA1F5B" w:rsidRPr="002E63ED" w:rsidRDefault="00FA1F5B" w:rsidP="00202B00">
            <w:pPr>
              <w:spacing w:before="0" w:after="0" w:line="240" w:lineRule="auto"/>
              <w:contextualSpacing/>
              <w:jc w:val="center"/>
              <w:rPr>
                <w:sz w:val="19"/>
                <w:szCs w:val="19"/>
              </w:rPr>
            </w:pPr>
            <w:r w:rsidRPr="002E63ED">
              <w:rPr>
                <w:sz w:val="19"/>
                <w:szCs w:val="19"/>
              </w:rPr>
              <w:t>13/11/2015</w:t>
            </w:r>
          </w:p>
        </w:tc>
        <w:tc>
          <w:tcPr>
            <w:tcW w:w="588" w:type="pct"/>
            <w:tcBorders>
              <w:top w:val="nil"/>
              <w:bottom w:val="nil"/>
            </w:tcBorders>
          </w:tcPr>
          <w:p w14:paraId="05645805" w14:textId="5F3D3728" w:rsidR="00FA1F5B" w:rsidRPr="002E63ED" w:rsidRDefault="00FA1F5B" w:rsidP="00202B00">
            <w:pPr>
              <w:spacing w:before="0" w:after="0" w:line="240" w:lineRule="auto"/>
              <w:contextualSpacing/>
              <w:jc w:val="center"/>
              <w:rPr>
                <w:sz w:val="19"/>
                <w:szCs w:val="19"/>
              </w:rPr>
            </w:pPr>
            <w:r w:rsidRPr="002E63ED">
              <w:rPr>
                <w:sz w:val="19"/>
                <w:szCs w:val="19"/>
              </w:rPr>
              <w:t>0.7120</w:t>
            </w:r>
          </w:p>
        </w:tc>
      </w:tr>
      <w:tr w:rsidR="00FA1F5B" w:rsidRPr="002E63ED" w14:paraId="6A898523" w14:textId="77777777" w:rsidTr="00A81D01">
        <w:trPr>
          <w:jc w:val="center"/>
        </w:trPr>
        <w:tc>
          <w:tcPr>
            <w:tcW w:w="588" w:type="pct"/>
            <w:tcBorders>
              <w:top w:val="nil"/>
              <w:bottom w:val="single" w:sz="4" w:space="0" w:color="auto"/>
            </w:tcBorders>
          </w:tcPr>
          <w:p w14:paraId="662175AD" w14:textId="77777777" w:rsidR="00FA1F5B" w:rsidRPr="002E63ED" w:rsidDel="00AA4993" w:rsidRDefault="00FA1F5B" w:rsidP="00202B00">
            <w:pPr>
              <w:spacing w:before="0" w:after="0" w:line="240" w:lineRule="auto"/>
              <w:contextualSpacing/>
              <w:jc w:val="center"/>
              <w:rPr>
                <w:sz w:val="19"/>
                <w:szCs w:val="19"/>
              </w:rPr>
            </w:pPr>
            <w:r w:rsidRPr="002E63ED">
              <w:rPr>
                <w:sz w:val="19"/>
                <w:szCs w:val="19"/>
              </w:rPr>
              <w:t>Silver perch</w:t>
            </w:r>
          </w:p>
        </w:tc>
        <w:tc>
          <w:tcPr>
            <w:tcW w:w="515" w:type="pct"/>
            <w:tcBorders>
              <w:top w:val="nil"/>
              <w:bottom w:val="single" w:sz="4" w:space="0" w:color="auto"/>
            </w:tcBorders>
          </w:tcPr>
          <w:p w14:paraId="2CAC5879" w14:textId="77777777" w:rsidR="00FA1F5B" w:rsidRPr="002E63ED" w:rsidRDefault="00FA1F5B" w:rsidP="00202B00">
            <w:pPr>
              <w:spacing w:before="0" w:after="0" w:line="240" w:lineRule="auto"/>
              <w:contextualSpacing/>
              <w:jc w:val="center"/>
              <w:rPr>
                <w:sz w:val="19"/>
                <w:szCs w:val="19"/>
              </w:rPr>
            </w:pPr>
            <w:r w:rsidRPr="002E63ED">
              <w:rPr>
                <w:sz w:val="19"/>
                <w:szCs w:val="19"/>
              </w:rPr>
              <w:t>Gorge</w:t>
            </w:r>
          </w:p>
        </w:tc>
        <w:tc>
          <w:tcPr>
            <w:tcW w:w="736" w:type="pct"/>
            <w:tcBorders>
              <w:top w:val="nil"/>
              <w:bottom w:val="single" w:sz="4" w:space="0" w:color="auto"/>
            </w:tcBorders>
          </w:tcPr>
          <w:p w14:paraId="6ACADFA3" w14:textId="77777777" w:rsidR="00FA1F5B" w:rsidRPr="002E63ED" w:rsidRDefault="00FA1F5B" w:rsidP="00202B00">
            <w:pPr>
              <w:spacing w:before="0" w:after="0" w:line="240" w:lineRule="auto"/>
              <w:contextualSpacing/>
              <w:jc w:val="center"/>
              <w:rPr>
                <w:sz w:val="19"/>
                <w:szCs w:val="19"/>
              </w:rPr>
            </w:pPr>
            <w:r w:rsidRPr="002E63ED">
              <w:rPr>
                <w:sz w:val="19"/>
                <w:szCs w:val="19"/>
              </w:rPr>
              <w:t>Lock 1</w:t>
            </w:r>
          </w:p>
        </w:tc>
        <w:tc>
          <w:tcPr>
            <w:tcW w:w="735" w:type="pct"/>
            <w:tcBorders>
              <w:top w:val="nil"/>
              <w:bottom w:val="single" w:sz="4" w:space="0" w:color="auto"/>
            </w:tcBorders>
          </w:tcPr>
          <w:p w14:paraId="03F26D93" w14:textId="77777777" w:rsidR="00FA1F5B" w:rsidRPr="002E63ED" w:rsidRDefault="00FA1F5B" w:rsidP="00202B00">
            <w:pPr>
              <w:spacing w:before="0" w:after="0" w:line="240" w:lineRule="auto"/>
              <w:contextualSpacing/>
              <w:jc w:val="center"/>
              <w:rPr>
                <w:sz w:val="19"/>
                <w:szCs w:val="19"/>
              </w:rPr>
            </w:pPr>
            <w:r w:rsidRPr="002E63ED">
              <w:rPr>
                <w:sz w:val="19"/>
                <w:szCs w:val="19"/>
              </w:rPr>
              <w:t>1/12/2015</w:t>
            </w:r>
          </w:p>
        </w:tc>
        <w:tc>
          <w:tcPr>
            <w:tcW w:w="515" w:type="pct"/>
            <w:tcBorders>
              <w:top w:val="nil"/>
              <w:bottom w:val="single" w:sz="4" w:space="0" w:color="auto"/>
            </w:tcBorders>
          </w:tcPr>
          <w:p w14:paraId="06624F89" w14:textId="77777777" w:rsidR="00FA1F5B" w:rsidRPr="002E63ED" w:rsidRDefault="00FA1F5B" w:rsidP="00202B00">
            <w:pPr>
              <w:spacing w:before="0" w:after="0" w:line="240" w:lineRule="auto"/>
              <w:contextualSpacing/>
              <w:jc w:val="center"/>
              <w:rPr>
                <w:sz w:val="19"/>
                <w:szCs w:val="19"/>
              </w:rPr>
            </w:pPr>
            <w:r w:rsidRPr="002E63ED">
              <w:rPr>
                <w:sz w:val="19"/>
                <w:szCs w:val="19"/>
              </w:rPr>
              <w:t>29.5</w:t>
            </w:r>
          </w:p>
        </w:tc>
        <w:tc>
          <w:tcPr>
            <w:tcW w:w="515" w:type="pct"/>
            <w:tcBorders>
              <w:top w:val="nil"/>
              <w:bottom w:val="single" w:sz="4" w:space="0" w:color="auto"/>
            </w:tcBorders>
          </w:tcPr>
          <w:p w14:paraId="0491F7EA" w14:textId="77777777" w:rsidR="00FA1F5B" w:rsidRPr="002E63ED" w:rsidRDefault="00FA1F5B" w:rsidP="00202B00">
            <w:pPr>
              <w:spacing w:before="0" w:after="0" w:line="240" w:lineRule="auto"/>
              <w:contextualSpacing/>
              <w:jc w:val="center"/>
              <w:rPr>
                <w:sz w:val="19"/>
                <w:szCs w:val="19"/>
              </w:rPr>
            </w:pPr>
            <w:r w:rsidRPr="002E63ED">
              <w:rPr>
                <w:sz w:val="19"/>
                <w:szCs w:val="19"/>
              </w:rPr>
              <w:t>47</w:t>
            </w:r>
          </w:p>
        </w:tc>
        <w:tc>
          <w:tcPr>
            <w:tcW w:w="809" w:type="pct"/>
            <w:tcBorders>
              <w:top w:val="nil"/>
              <w:bottom w:val="single" w:sz="4" w:space="0" w:color="auto"/>
            </w:tcBorders>
          </w:tcPr>
          <w:p w14:paraId="6EE087DF" w14:textId="7933BB22" w:rsidR="00FA1F5B" w:rsidRPr="002E63ED" w:rsidRDefault="00E61AC1" w:rsidP="00202B00">
            <w:pPr>
              <w:spacing w:before="0" w:after="0" w:line="240" w:lineRule="auto"/>
              <w:contextualSpacing/>
              <w:jc w:val="center"/>
              <w:rPr>
                <w:sz w:val="19"/>
                <w:szCs w:val="19"/>
              </w:rPr>
            </w:pPr>
            <w:r w:rsidRPr="002E63ED">
              <w:rPr>
                <w:sz w:val="19"/>
                <w:szCs w:val="19"/>
              </w:rPr>
              <w:t>15/10/2015</w:t>
            </w:r>
          </w:p>
        </w:tc>
        <w:tc>
          <w:tcPr>
            <w:tcW w:w="588" w:type="pct"/>
            <w:tcBorders>
              <w:top w:val="nil"/>
              <w:bottom w:val="single" w:sz="4" w:space="0" w:color="auto"/>
            </w:tcBorders>
          </w:tcPr>
          <w:p w14:paraId="36C97B3C" w14:textId="4A79E80D" w:rsidR="00FA1F5B" w:rsidRPr="002E63ED" w:rsidRDefault="00FA1F5B" w:rsidP="00202B00">
            <w:pPr>
              <w:spacing w:before="0" w:after="0" w:line="240" w:lineRule="auto"/>
              <w:contextualSpacing/>
              <w:jc w:val="center"/>
              <w:rPr>
                <w:sz w:val="19"/>
                <w:szCs w:val="19"/>
              </w:rPr>
            </w:pPr>
            <w:r w:rsidRPr="002E63ED">
              <w:rPr>
                <w:sz w:val="19"/>
                <w:szCs w:val="19"/>
              </w:rPr>
              <w:t>0.7129</w:t>
            </w:r>
          </w:p>
        </w:tc>
      </w:tr>
    </w:tbl>
    <w:p w14:paraId="38C56F79" w14:textId="77777777" w:rsidR="00FA1F5B" w:rsidRPr="00285A61" w:rsidRDefault="00FA1F5B" w:rsidP="00FA1F5B">
      <w:pPr>
        <w:rPr>
          <w:highlight w:val="yellow"/>
        </w:rPr>
      </w:pPr>
    </w:p>
    <w:p w14:paraId="0952540B" w14:textId="3C676176" w:rsidR="00FA1F5B" w:rsidRPr="007E08E3" w:rsidRDefault="000533D7" w:rsidP="00921E04">
      <w:pPr>
        <w:spacing w:before="0" w:after="200" w:line="276" w:lineRule="auto"/>
        <w:jc w:val="center"/>
      </w:pPr>
      <w:r w:rsidRPr="000533D7">
        <w:rPr>
          <w:noProof/>
          <w:lang w:eastAsia="en-AU"/>
        </w:rPr>
        <w:drawing>
          <wp:inline distT="0" distB="0" distL="0" distR="0" wp14:anchorId="7D53DCA0" wp14:editId="7D09F214">
            <wp:extent cx="4972050" cy="3143000"/>
            <wp:effectExtent l="0" t="0" r="0" b="63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1" cstate="email">
                      <a:extLst>
                        <a:ext uri="{28A0092B-C50C-407E-A947-70E740481C1C}">
                          <a14:useLocalDpi xmlns:a14="http://schemas.microsoft.com/office/drawing/2010/main"/>
                        </a:ext>
                      </a:extLst>
                    </a:blip>
                    <a:srcRect l="5113" t="8842" r="9476"/>
                    <a:stretch/>
                  </pic:blipFill>
                  <pic:spPr bwMode="auto">
                    <a:xfrm>
                      <a:off x="0" y="0"/>
                      <a:ext cx="4991279" cy="3155155"/>
                    </a:xfrm>
                    <a:prstGeom prst="rect">
                      <a:avLst/>
                    </a:prstGeom>
                    <a:noFill/>
                    <a:ln>
                      <a:noFill/>
                    </a:ln>
                    <a:extLst>
                      <a:ext uri="{53640926-AAD7-44D8-BBD7-CCE9431645EC}">
                        <a14:shadowObscured xmlns:a14="http://schemas.microsoft.com/office/drawing/2010/main"/>
                      </a:ext>
                    </a:extLst>
                  </pic:spPr>
                </pic:pic>
              </a:graphicData>
            </a:graphic>
          </wp:inline>
        </w:drawing>
      </w:r>
      <w:r w:rsidRPr="000533D7">
        <w:t xml:space="preserve"> </w:t>
      </w:r>
    </w:p>
    <w:p w14:paraId="21087A8D" w14:textId="09B59B14" w:rsidR="00D02003" w:rsidRDefault="00FA1F5B" w:rsidP="00B46038">
      <w:pPr>
        <w:pStyle w:val="Captions"/>
      </w:pPr>
      <w:r w:rsidRPr="007E08E3">
        <w:t>Figure H7. Back-calculated spawn dates for larval golden perch (</w:t>
      </w:r>
      <w:r w:rsidRPr="001B145E">
        <w:rPr>
          <w:i/>
        </w:rPr>
        <w:t>n</w:t>
      </w:r>
      <w:r w:rsidRPr="007E08E3">
        <w:t xml:space="preserve"> = 2, blue squares) and silver perch (</w:t>
      </w:r>
      <w:r w:rsidRPr="001B145E">
        <w:rPr>
          <w:i/>
        </w:rPr>
        <w:t>n</w:t>
      </w:r>
      <w:r w:rsidRPr="007E08E3">
        <w:t xml:space="preserve"> = 1, blue circle) captured from the LMR Selected Area during 2015/16, plotted against discharge (ML day</w:t>
      </w:r>
      <w:r w:rsidRPr="007E08E3">
        <w:rPr>
          <w:vertAlign w:val="superscript"/>
        </w:rPr>
        <w:noBreakHyphen/>
        <w:t>1</w:t>
      </w:r>
      <w:r w:rsidRPr="007E08E3">
        <w:t>) in the Lower Murray River at the South Australian border (solid black line) and Euston (dashed black line)</w:t>
      </w:r>
      <w:r>
        <w:t>,</w:t>
      </w:r>
      <w:r w:rsidRPr="007E08E3">
        <w:t xml:space="preserve"> and water temperature (°C) (grey line).</w:t>
      </w:r>
      <w:r w:rsidR="00D02003" w:rsidRPr="00920A9B">
        <w:t xml:space="preserve"> </w:t>
      </w:r>
    </w:p>
    <w:p w14:paraId="5D523229" w14:textId="03507743" w:rsidR="00002794" w:rsidRPr="00B61C7B" w:rsidRDefault="00FA1F5B" w:rsidP="00002794">
      <w:pPr>
        <w:spacing w:before="0" w:after="200" w:line="276" w:lineRule="auto"/>
        <w:rPr>
          <w:b/>
          <w:i/>
          <w:color w:val="1F497D" w:themeColor="text2"/>
          <w:sz w:val="24"/>
          <w:szCs w:val="24"/>
        </w:rPr>
      </w:pPr>
      <w:r>
        <w:rPr>
          <w:b/>
          <w:i/>
          <w:color w:val="1F497D" w:themeColor="text2"/>
          <w:sz w:val="24"/>
          <w:szCs w:val="24"/>
        </w:rPr>
        <w:lastRenderedPageBreak/>
        <w:t>O</w:t>
      </w:r>
      <w:r w:rsidR="00002794" w:rsidRPr="00B61C7B">
        <w:rPr>
          <w:b/>
          <w:i/>
          <w:color w:val="1F497D" w:themeColor="text2"/>
          <w:sz w:val="24"/>
          <w:szCs w:val="24"/>
        </w:rPr>
        <w:t xml:space="preserve">tolith </w:t>
      </w:r>
      <w:r w:rsidR="00002794" w:rsidRPr="00B61C7B">
        <w:rPr>
          <w:b/>
          <w:i/>
          <w:color w:val="1F497D" w:themeColor="text2"/>
          <w:sz w:val="24"/>
          <w:szCs w:val="24"/>
          <w:vertAlign w:val="superscript"/>
        </w:rPr>
        <w:t>87</w:t>
      </w:r>
      <w:r w:rsidR="00002794" w:rsidRPr="00B61C7B">
        <w:rPr>
          <w:b/>
          <w:i/>
          <w:color w:val="1F497D" w:themeColor="text2"/>
          <w:sz w:val="24"/>
          <w:szCs w:val="24"/>
        </w:rPr>
        <w:t>Sr/</w:t>
      </w:r>
      <w:r w:rsidR="00002794" w:rsidRPr="00B61C7B">
        <w:rPr>
          <w:b/>
          <w:i/>
          <w:color w:val="1F497D" w:themeColor="text2"/>
          <w:sz w:val="24"/>
          <w:szCs w:val="24"/>
          <w:vertAlign w:val="superscript"/>
        </w:rPr>
        <w:t>86</w:t>
      </w:r>
      <w:r w:rsidR="00002794" w:rsidRPr="00B61C7B">
        <w:rPr>
          <w:b/>
          <w:i/>
          <w:color w:val="1F497D" w:themeColor="text2"/>
          <w:sz w:val="24"/>
          <w:szCs w:val="24"/>
        </w:rPr>
        <w:t>Sr of larval golden perch</w:t>
      </w:r>
      <w:r>
        <w:rPr>
          <w:b/>
          <w:i/>
          <w:color w:val="1F497D" w:themeColor="text2"/>
          <w:sz w:val="24"/>
          <w:szCs w:val="24"/>
        </w:rPr>
        <w:t xml:space="preserve"> and silver perch</w:t>
      </w:r>
    </w:p>
    <w:p w14:paraId="0CF5F769" w14:textId="6B832CDB" w:rsidR="00FA1F5B" w:rsidRPr="00285A61" w:rsidRDefault="00FA1F5B" w:rsidP="00FA1F5B">
      <w:pPr>
        <w:rPr>
          <w:highlight w:val="yellow"/>
        </w:rPr>
      </w:pPr>
      <w:r>
        <w:t>Otoliths from the</w:t>
      </w:r>
      <w:r w:rsidRPr="00D97844">
        <w:t xml:space="preserve"> largest golden perch (12.9 mm) and </w:t>
      </w:r>
      <w:r w:rsidR="001D75C2">
        <w:t xml:space="preserve">the </w:t>
      </w:r>
      <w:r w:rsidR="001D75C2" w:rsidRPr="00D97844">
        <w:t xml:space="preserve">silver perch (29.5 mm) larvae were analysed for </w:t>
      </w:r>
      <w:r w:rsidR="001D75C2" w:rsidRPr="00D97844">
        <w:rPr>
          <w:vertAlign w:val="superscript"/>
        </w:rPr>
        <w:t>87</w:t>
      </w:r>
      <w:r w:rsidR="001D75C2" w:rsidRPr="00D97844">
        <w:t>Sr/</w:t>
      </w:r>
      <w:r w:rsidR="001D75C2" w:rsidRPr="00D97844">
        <w:rPr>
          <w:vertAlign w:val="superscript"/>
        </w:rPr>
        <w:t>86</w:t>
      </w:r>
      <w:r w:rsidR="001D75C2" w:rsidRPr="00D97844">
        <w:t>Sr (Table H</w:t>
      </w:r>
      <w:r w:rsidR="00487A0B">
        <w:t>5</w:t>
      </w:r>
      <w:r w:rsidR="001D75C2" w:rsidRPr="00D97844">
        <w:t xml:space="preserve">). The otoliths of </w:t>
      </w:r>
      <w:r w:rsidR="001D75C2">
        <w:t xml:space="preserve">the </w:t>
      </w:r>
      <w:r w:rsidR="001D75C2" w:rsidRPr="00D97844">
        <w:t>remaining larval golden perch w</w:t>
      </w:r>
      <w:r w:rsidR="001D75C2">
        <w:t>as</w:t>
      </w:r>
      <w:r w:rsidR="001D75C2" w:rsidRPr="00D97844">
        <w:t xml:space="preserve"> </w:t>
      </w:r>
      <w:r w:rsidR="001D75C2">
        <w:t xml:space="preserve">too </w:t>
      </w:r>
      <w:r w:rsidRPr="00D97844">
        <w:t xml:space="preserve">small for LA-ICPMS analysis. </w:t>
      </w:r>
      <w:r>
        <w:t xml:space="preserve">Both larvae </w:t>
      </w:r>
      <w:r w:rsidRPr="004A7384">
        <w:t xml:space="preserve">had otolith core </w:t>
      </w:r>
      <w:r w:rsidRPr="004A7384">
        <w:rPr>
          <w:vertAlign w:val="superscript"/>
        </w:rPr>
        <w:t>87</w:t>
      </w:r>
      <w:r w:rsidRPr="004A7384">
        <w:t>Sr/</w:t>
      </w:r>
      <w:r w:rsidRPr="004A7384">
        <w:rPr>
          <w:vertAlign w:val="superscript"/>
        </w:rPr>
        <w:t>86</w:t>
      </w:r>
      <w:r w:rsidRPr="004A7384">
        <w:t>Sr indicative of the</w:t>
      </w:r>
      <w:r>
        <w:t>ir capture location in the</w:t>
      </w:r>
      <w:r w:rsidRPr="004A7384">
        <w:t xml:space="preserve"> LMR, </w:t>
      </w:r>
      <w:r w:rsidR="009F6005">
        <w:t>below</w:t>
      </w:r>
      <w:r w:rsidRPr="004A7384">
        <w:t xml:space="preserve"> Lock 1 (i.e. 0.7120</w:t>
      </w:r>
      <w:r>
        <w:t>–</w:t>
      </w:r>
      <w:r w:rsidRPr="004A7384">
        <w:t>0.7130) (Table H</w:t>
      </w:r>
      <w:r w:rsidR="00487A0B">
        <w:t>5</w:t>
      </w:r>
      <w:r w:rsidRPr="004A7384">
        <w:t>;</w:t>
      </w:r>
      <w:r>
        <w:t xml:space="preserve"> Figure </w:t>
      </w:r>
      <w:r w:rsidRPr="004A7384">
        <w:t>H8).</w:t>
      </w:r>
    </w:p>
    <w:p w14:paraId="53212141" w14:textId="43A7CD48" w:rsidR="00FA1F5B" w:rsidRPr="00247D40" w:rsidRDefault="000533D7" w:rsidP="00921E04">
      <w:pPr>
        <w:jc w:val="center"/>
      </w:pPr>
      <w:r w:rsidRPr="000533D7">
        <w:rPr>
          <w:noProof/>
          <w:lang w:eastAsia="en-AU"/>
        </w:rPr>
        <w:drawing>
          <wp:inline distT="0" distB="0" distL="0" distR="0" wp14:anchorId="21E793D5" wp14:editId="125AE249">
            <wp:extent cx="5259600" cy="3527758"/>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2" cstate="email">
                      <a:extLst>
                        <a:ext uri="{28A0092B-C50C-407E-A947-70E740481C1C}">
                          <a14:useLocalDpi xmlns:a14="http://schemas.microsoft.com/office/drawing/2010/main"/>
                        </a:ext>
                      </a:extLst>
                    </a:blip>
                    <a:srcRect t="8587" r="6760"/>
                    <a:stretch/>
                  </pic:blipFill>
                  <pic:spPr bwMode="auto">
                    <a:xfrm>
                      <a:off x="0" y="0"/>
                      <a:ext cx="5259600" cy="3527758"/>
                    </a:xfrm>
                    <a:prstGeom prst="rect">
                      <a:avLst/>
                    </a:prstGeom>
                    <a:noFill/>
                    <a:ln>
                      <a:noFill/>
                    </a:ln>
                    <a:extLst>
                      <a:ext uri="{53640926-AAD7-44D8-BBD7-CCE9431645EC}">
                        <a14:shadowObscured xmlns:a14="http://schemas.microsoft.com/office/drawing/2010/main"/>
                      </a:ext>
                    </a:extLst>
                  </pic:spPr>
                </pic:pic>
              </a:graphicData>
            </a:graphic>
          </wp:inline>
        </w:drawing>
      </w:r>
      <w:r w:rsidRPr="000533D7">
        <w:t xml:space="preserve"> </w:t>
      </w:r>
    </w:p>
    <w:p w14:paraId="3905979A" w14:textId="77777777" w:rsidR="00FA1F5B" w:rsidRPr="00247D40" w:rsidRDefault="00FA1F5B" w:rsidP="00B46038">
      <w:pPr>
        <w:pStyle w:val="Captions"/>
      </w:pPr>
      <w:bookmarkStart w:id="199" w:name="_Ref393360105"/>
      <w:bookmarkStart w:id="200" w:name="_Toc403728250"/>
      <w:r w:rsidRPr="00247D40">
        <w:t>Figure</w:t>
      </w:r>
      <w:bookmarkEnd w:id="199"/>
      <w:r w:rsidRPr="00247D40">
        <w:t xml:space="preserve"> H8. </w:t>
      </w:r>
      <w:r w:rsidRPr="00247D40">
        <w:rPr>
          <w:vertAlign w:val="superscript"/>
        </w:rPr>
        <w:t>87</w:t>
      </w:r>
      <w:r w:rsidRPr="00247D40">
        <w:t>Sr/</w:t>
      </w:r>
      <w:r w:rsidRPr="00247D40">
        <w:rPr>
          <w:vertAlign w:val="superscript"/>
        </w:rPr>
        <w:t>86</w:t>
      </w:r>
      <w:r w:rsidRPr="00247D40">
        <w:t xml:space="preserve">Sr in water samples collected from late September 2015 to late February 2016 at sites in the southern MDB. </w:t>
      </w:r>
      <w:r w:rsidRPr="00247D40">
        <w:rPr>
          <w:vertAlign w:val="superscript"/>
        </w:rPr>
        <w:t>87</w:t>
      </w:r>
      <w:r w:rsidRPr="00247D40">
        <w:t>Sr/</w:t>
      </w:r>
      <w:r w:rsidRPr="00247D40">
        <w:rPr>
          <w:vertAlign w:val="superscript"/>
        </w:rPr>
        <w:t>86</w:t>
      </w:r>
      <w:r w:rsidRPr="00247D40">
        <w:t xml:space="preserve">Sr in the Darling River and Edward River/Murray River at Barmah are presented as dashed straight lines as these were temporally stable and represent the maximum and minimum </w:t>
      </w:r>
      <w:r w:rsidRPr="00247D40">
        <w:rPr>
          <w:vertAlign w:val="superscript"/>
        </w:rPr>
        <w:t>87</w:t>
      </w:r>
      <w:r w:rsidRPr="00247D40">
        <w:t>Sr/</w:t>
      </w:r>
      <w:r w:rsidRPr="00247D40">
        <w:rPr>
          <w:vertAlign w:val="superscript"/>
        </w:rPr>
        <w:t>86</w:t>
      </w:r>
      <w:r w:rsidRPr="00247D40">
        <w:t xml:space="preserve">Sr measured in water samples in the southern MDB in 2015/16. Closed blue symbols represent spawn date and otolith core </w:t>
      </w:r>
      <w:r w:rsidRPr="00247D40">
        <w:rPr>
          <w:vertAlign w:val="superscript"/>
        </w:rPr>
        <w:t>87</w:t>
      </w:r>
      <w:r w:rsidRPr="00247D40">
        <w:t>Sr/</w:t>
      </w:r>
      <w:r w:rsidRPr="00247D40">
        <w:rPr>
          <w:vertAlign w:val="superscript"/>
        </w:rPr>
        <w:t>86</w:t>
      </w:r>
      <w:r w:rsidRPr="00247D40">
        <w:t>Sr of larval golden perch (</w:t>
      </w:r>
      <w:r>
        <w:t>square</w:t>
      </w:r>
      <w:r w:rsidRPr="00247D40">
        <w:t>)</w:t>
      </w:r>
      <w:r>
        <w:t xml:space="preserve"> and silver perch (circle</w:t>
      </w:r>
      <w:r w:rsidRPr="00247D40">
        <w:t>) collected in the LMR Selected Area from October to December 2015.</w:t>
      </w:r>
      <w:bookmarkEnd w:id="200"/>
    </w:p>
    <w:p w14:paraId="6F4CBC95" w14:textId="77777777" w:rsidR="001D75C2" w:rsidRDefault="001D75C2" w:rsidP="00FA1F5B"/>
    <w:p w14:paraId="2695B262" w14:textId="7F81702D" w:rsidR="00FA1F5B" w:rsidRPr="009136E9" w:rsidRDefault="00FA1F5B" w:rsidP="00FA1F5B">
      <w:r w:rsidRPr="009136E9">
        <w:t xml:space="preserve">Transects of </w:t>
      </w:r>
      <w:r w:rsidRPr="009136E9">
        <w:rPr>
          <w:vertAlign w:val="superscript"/>
        </w:rPr>
        <w:t>87</w:t>
      </w:r>
      <w:r w:rsidRPr="009136E9">
        <w:t>Sr/</w:t>
      </w:r>
      <w:r w:rsidRPr="009136E9">
        <w:rPr>
          <w:vertAlign w:val="superscript"/>
        </w:rPr>
        <w:t>86</w:t>
      </w:r>
      <w:r w:rsidRPr="009136E9">
        <w:t xml:space="preserve">Sr from the otolith core to edge can elucidate the movement history of golden perch but may also reflect temporal variability in ambient </w:t>
      </w:r>
      <w:r w:rsidRPr="009136E9">
        <w:rPr>
          <w:vertAlign w:val="superscript"/>
        </w:rPr>
        <w:t>87</w:t>
      </w:r>
      <w:r w:rsidRPr="009136E9">
        <w:t>Sr/</w:t>
      </w:r>
      <w:r w:rsidRPr="009136E9">
        <w:rPr>
          <w:vertAlign w:val="superscript"/>
        </w:rPr>
        <w:t>86</w:t>
      </w:r>
      <w:r w:rsidRPr="009136E9">
        <w:t xml:space="preserve">Sr in water. Transects of otolith </w:t>
      </w:r>
      <w:r w:rsidRPr="009136E9">
        <w:rPr>
          <w:vertAlign w:val="superscript"/>
        </w:rPr>
        <w:t>87</w:t>
      </w:r>
      <w:r w:rsidRPr="009136E9">
        <w:t>Sr/</w:t>
      </w:r>
      <w:r w:rsidRPr="009136E9">
        <w:rPr>
          <w:vertAlign w:val="superscript"/>
        </w:rPr>
        <w:t>86</w:t>
      </w:r>
      <w:r w:rsidRPr="009136E9">
        <w:t xml:space="preserve">Sr for golden perch and silver perch larvae captured </w:t>
      </w:r>
      <w:r w:rsidR="009F6005">
        <w:t>below</w:t>
      </w:r>
      <w:r w:rsidRPr="009136E9">
        <w:t xml:space="preserve"> Lock 1 indicated that both individuals were spawned in the LMR Selected Area, likely below Lock 1, and remained </w:t>
      </w:r>
      <w:r>
        <w:t>in this region</w:t>
      </w:r>
      <w:r w:rsidRPr="009136E9">
        <w:t xml:space="preserve"> throughout their early life (Figure H9a).</w:t>
      </w:r>
    </w:p>
    <w:p w14:paraId="57E91F5C" w14:textId="43B43ADE" w:rsidR="00FA1F5B" w:rsidRPr="00F172BD" w:rsidRDefault="00E96143" w:rsidP="00FA1F5B">
      <w:pPr>
        <w:jc w:val="center"/>
      </w:pPr>
      <w:r w:rsidRPr="00E96143">
        <w:rPr>
          <w:noProof/>
          <w:lang w:eastAsia="en-AU"/>
        </w:rPr>
        <w:lastRenderedPageBreak/>
        <w:drawing>
          <wp:inline distT="0" distB="0" distL="0" distR="0" wp14:anchorId="0D7A6AB9" wp14:editId="64FFC84E">
            <wp:extent cx="5659200" cy="2280048"/>
            <wp:effectExtent l="0" t="0" r="0" b="635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3" cstate="email">
                      <a:extLst>
                        <a:ext uri="{28A0092B-C50C-407E-A947-70E740481C1C}">
                          <a14:useLocalDpi xmlns:a14="http://schemas.microsoft.com/office/drawing/2010/main"/>
                        </a:ext>
                      </a:extLst>
                    </a:blip>
                    <a:srcRect t="45724" r="1543" b="6216"/>
                    <a:stretch/>
                  </pic:blipFill>
                  <pic:spPr bwMode="auto">
                    <a:xfrm>
                      <a:off x="0" y="0"/>
                      <a:ext cx="5659200" cy="2280048"/>
                    </a:xfrm>
                    <a:prstGeom prst="rect">
                      <a:avLst/>
                    </a:prstGeom>
                    <a:noFill/>
                    <a:ln>
                      <a:noFill/>
                    </a:ln>
                    <a:extLst>
                      <a:ext uri="{53640926-AAD7-44D8-BBD7-CCE9431645EC}">
                        <a14:shadowObscured xmlns:a14="http://schemas.microsoft.com/office/drawing/2010/main"/>
                      </a:ext>
                    </a:extLst>
                  </pic:spPr>
                </pic:pic>
              </a:graphicData>
            </a:graphic>
          </wp:inline>
        </w:drawing>
      </w:r>
      <w:r w:rsidRPr="00E96143">
        <w:t xml:space="preserve"> </w:t>
      </w:r>
    </w:p>
    <w:p w14:paraId="2564EA62" w14:textId="7532460F" w:rsidR="00FA1F5B" w:rsidRPr="00F172BD" w:rsidRDefault="00FA1F5B" w:rsidP="00B46038">
      <w:pPr>
        <w:pStyle w:val="Captions"/>
        <w:rPr>
          <w:lang w:val="en-AU"/>
        </w:rPr>
      </w:pPr>
      <w:bookmarkStart w:id="201" w:name="_Ref393368414"/>
      <w:bookmarkStart w:id="202" w:name="_Toc403728251"/>
      <w:r w:rsidRPr="00F172BD">
        <w:t>Figure</w:t>
      </w:r>
      <w:bookmarkEnd w:id="201"/>
      <w:r w:rsidRPr="00F172BD">
        <w:t xml:space="preserve"> H9. Individual life history profiles based on otolith Sr isotope transects (core to edge) for a (a) golden perch larvae aged 19 days and (b) silver perch larvae aged 47 days, collected </w:t>
      </w:r>
      <w:r w:rsidR="009F6005">
        <w:t>below</w:t>
      </w:r>
      <w:r w:rsidRPr="00F172BD">
        <w:t xml:space="preserve"> Lock 1 in the gorge zone of the LMR Selected Area. Dashed lines denote minimum and maximum </w:t>
      </w:r>
      <w:r w:rsidRPr="00F172BD">
        <w:rPr>
          <w:vertAlign w:val="superscript"/>
        </w:rPr>
        <w:t>87</w:t>
      </w:r>
      <w:r w:rsidRPr="00F172BD">
        <w:t>Sr/</w:t>
      </w:r>
      <w:r w:rsidRPr="00F172BD">
        <w:rPr>
          <w:vertAlign w:val="superscript"/>
        </w:rPr>
        <w:t>86</w:t>
      </w:r>
      <w:r w:rsidRPr="00F172BD">
        <w:t>Sr ratios in th</w:t>
      </w:r>
      <w:r w:rsidR="002B63C3">
        <w:t xml:space="preserve">e Murray </w:t>
      </w:r>
      <w:r w:rsidR="00D20187">
        <w:t xml:space="preserve">River </w:t>
      </w:r>
      <w:r w:rsidR="002B63C3">
        <w:t>at Lock 1 (blue) and</w:t>
      </w:r>
      <w:r w:rsidRPr="00F172BD">
        <w:t xml:space="preserve"> Murray </w:t>
      </w:r>
      <w:r w:rsidR="00D20187" w:rsidRPr="00F172BD">
        <w:t xml:space="preserve">River </w:t>
      </w:r>
      <w:r w:rsidRPr="00F172BD">
        <w:t>at Lock 6 (red).</w:t>
      </w:r>
      <w:bookmarkEnd w:id="202"/>
      <w:r w:rsidRPr="00F172BD" w:rsidDel="006A04F3">
        <w:t xml:space="preserve"> </w:t>
      </w:r>
    </w:p>
    <w:p w14:paraId="6DEB8C3F" w14:textId="77777777" w:rsidR="001D75C2" w:rsidRDefault="001D75C2" w:rsidP="00FA1F5B">
      <w:pPr>
        <w:spacing w:before="0" w:after="200" w:line="276" w:lineRule="auto"/>
        <w:rPr>
          <w:b/>
          <w:i/>
          <w:color w:val="1F497D" w:themeColor="text2"/>
          <w:sz w:val="24"/>
          <w:szCs w:val="24"/>
        </w:rPr>
      </w:pPr>
    </w:p>
    <w:p w14:paraId="18CD129D" w14:textId="52DA6CCE" w:rsidR="00FA1F5B" w:rsidRPr="0097212A" w:rsidRDefault="00FA1F5B" w:rsidP="00FA1F5B">
      <w:pPr>
        <w:spacing w:before="0" w:after="200" w:line="276" w:lineRule="auto"/>
        <w:rPr>
          <w:b/>
          <w:i/>
          <w:color w:val="1F497D" w:themeColor="text2"/>
          <w:sz w:val="24"/>
          <w:szCs w:val="24"/>
        </w:rPr>
      </w:pPr>
      <w:r w:rsidRPr="0097212A">
        <w:rPr>
          <w:b/>
          <w:i/>
          <w:color w:val="1F497D" w:themeColor="text2"/>
          <w:sz w:val="24"/>
          <w:szCs w:val="24"/>
        </w:rPr>
        <w:t>Golden</w:t>
      </w:r>
      <w:r w:rsidR="00FD17CB">
        <w:rPr>
          <w:b/>
          <w:i/>
          <w:color w:val="1F497D" w:themeColor="text2"/>
          <w:sz w:val="24"/>
          <w:szCs w:val="24"/>
        </w:rPr>
        <w:t xml:space="preserve"> perch and </w:t>
      </w:r>
      <w:r>
        <w:rPr>
          <w:b/>
          <w:i/>
          <w:color w:val="1F497D" w:themeColor="text2"/>
          <w:sz w:val="24"/>
          <w:szCs w:val="24"/>
        </w:rPr>
        <w:t>silver</w:t>
      </w:r>
      <w:r w:rsidRPr="0097212A">
        <w:rPr>
          <w:b/>
          <w:i/>
          <w:color w:val="1F497D" w:themeColor="text2"/>
          <w:sz w:val="24"/>
          <w:szCs w:val="24"/>
        </w:rPr>
        <w:t xml:space="preserve"> perch length and age structure</w:t>
      </w:r>
    </w:p>
    <w:p w14:paraId="0E4FE316" w14:textId="4A3F989E" w:rsidR="00FA1F5B" w:rsidRPr="002D37DC" w:rsidRDefault="00FA1F5B" w:rsidP="00FA1F5B">
      <w:r w:rsidRPr="0097212A">
        <w:t xml:space="preserve">In 2016, </w:t>
      </w:r>
      <w:r>
        <w:t>n</w:t>
      </w:r>
      <w:r w:rsidRPr="00A42733">
        <w:t>o YOY golden perch or silver perch were collected during Category 1 and 3 Fish LTIM electrofishing sampling in the LMR Selected Area.</w:t>
      </w:r>
      <w:r>
        <w:t xml:space="preserve"> G</w:t>
      </w:r>
      <w:r w:rsidRPr="0097212A">
        <w:t xml:space="preserve">olden perch sampled in the gorge and floodplain geomorphic zones of the LMR Selected Area ranged in age </w:t>
      </w:r>
      <w:r w:rsidR="001D75C2" w:rsidRPr="0097212A">
        <w:t xml:space="preserve">from </w:t>
      </w:r>
      <w:r w:rsidR="001D75C2">
        <w:t xml:space="preserve">age </w:t>
      </w:r>
      <w:r w:rsidR="001D75C2" w:rsidRPr="0097212A">
        <w:t>2+ to 19+</w:t>
      </w:r>
      <w:r w:rsidRPr="0097212A">
        <w:t>, with dominant cohorts of age 6+ and 5+</w:t>
      </w:r>
      <w:r>
        <w:t xml:space="preserve"> </w:t>
      </w:r>
      <w:r w:rsidRPr="0097212A">
        <w:t>fish, spawned in 2009</w:t>
      </w:r>
      <w:r w:rsidRPr="0097212A">
        <w:rPr>
          <w:rFonts w:cstheme="minorHAnsi"/>
        </w:rPr>
        <w:t>/</w:t>
      </w:r>
      <w:r w:rsidRPr="0097212A">
        <w:t xml:space="preserve">10 and 2010/11, respectively. Age 6+ fish comprised 55 and 33% of the sampled population in the floodplain and gorge geomorphic zones, respectively, whilst age 5+ fish comprised 25 and 27% of the population in the floodplain and gorge zones, respectively (Figure H10). In the gorge geomorphic zone, age 15+ and 19+ fish spawned in 2000/01 and 1996–97 comprised 5 and 14% of the sampled population, respectively (Figure H10). </w:t>
      </w:r>
    </w:p>
    <w:p w14:paraId="29C77280" w14:textId="7EAAA600" w:rsidR="00FA1F5B" w:rsidRPr="002D37DC" w:rsidRDefault="00E96143" w:rsidP="00FA1F5B">
      <w:pPr>
        <w:spacing w:before="0" w:after="200" w:line="276" w:lineRule="auto"/>
      </w:pPr>
      <w:r w:rsidRPr="00E96143">
        <w:rPr>
          <w:noProof/>
          <w:lang w:eastAsia="en-AU"/>
        </w:rPr>
        <w:lastRenderedPageBreak/>
        <w:drawing>
          <wp:inline distT="0" distB="0" distL="0" distR="0" wp14:anchorId="3709BC98" wp14:editId="1310982D">
            <wp:extent cx="5724000" cy="4203235"/>
            <wp:effectExtent l="0" t="0" r="0" b="698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4" cstate="email">
                      <a:extLst>
                        <a:ext uri="{28A0092B-C50C-407E-A947-70E740481C1C}">
                          <a14:useLocalDpi xmlns:a14="http://schemas.microsoft.com/office/drawing/2010/main"/>
                        </a:ext>
                      </a:extLst>
                    </a:blip>
                    <a:srcRect t="6775" r="1932"/>
                    <a:stretch/>
                  </pic:blipFill>
                  <pic:spPr bwMode="auto">
                    <a:xfrm>
                      <a:off x="0" y="0"/>
                      <a:ext cx="5724000" cy="4203235"/>
                    </a:xfrm>
                    <a:prstGeom prst="rect">
                      <a:avLst/>
                    </a:prstGeom>
                    <a:noFill/>
                    <a:ln>
                      <a:noFill/>
                    </a:ln>
                    <a:extLst>
                      <a:ext uri="{53640926-AAD7-44D8-BBD7-CCE9431645EC}">
                        <a14:shadowObscured xmlns:a14="http://schemas.microsoft.com/office/drawing/2010/main"/>
                      </a:ext>
                    </a:extLst>
                  </pic:spPr>
                </pic:pic>
              </a:graphicData>
            </a:graphic>
          </wp:inline>
        </w:drawing>
      </w:r>
      <w:r w:rsidRPr="00E96143">
        <w:t xml:space="preserve"> </w:t>
      </w:r>
    </w:p>
    <w:p w14:paraId="6380521E" w14:textId="77777777" w:rsidR="00FA1F5B" w:rsidRDefault="00FA1F5B" w:rsidP="00B46038">
      <w:pPr>
        <w:pStyle w:val="Captions"/>
      </w:pPr>
      <w:bookmarkStart w:id="203" w:name="_Ref393370720"/>
      <w:bookmarkStart w:id="204" w:name="_Ref393375464"/>
      <w:bookmarkStart w:id="205" w:name="_Toc403728252"/>
      <w:r w:rsidRPr="002D37DC">
        <w:t>Figure</w:t>
      </w:r>
      <w:bookmarkEnd w:id="203"/>
      <w:bookmarkEnd w:id="204"/>
      <w:r w:rsidRPr="002D37DC">
        <w:t xml:space="preserve"> H10. </w:t>
      </w:r>
      <w:r>
        <w:t>Total l</w:t>
      </w:r>
      <w:r w:rsidRPr="002D37DC">
        <w:t>ength (left column) and age (right column) frequency distribution of golden perch collected by boat electrofishing from the floodplain (top) and gorge (bottom) geomorphic zones of the LMR Selected Area in April 201</w:t>
      </w:r>
      <w:r>
        <w:t>6</w:t>
      </w:r>
      <w:r w:rsidRPr="002D37DC">
        <w:t>.</w:t>
      </w:r>
      <w:bookmarkEnd w:id="205"/>
    </w:p>
    <w:p w14:paraId="4CDB3CE3" w14:textId="6C50953F" w:rsidR="00FA1F5B" w:rsidRDefault="00FA1F5B" w:rsidP="00FA1F5B">
      <w:r w:rsidRPr="003856EF">
        <w:rPr>
          <w:lang w:val="en-US"/>
        </w:rPr>
        <w:t>In 2016, low numbers of silver perch were sampled from the gorge (</w:t>
      </w:r>
      <w:r w:rsidRPr="00B52FFE">
        <w:rPr>
          <w:i/>
          <w:lang w:val="en-US"/>
        </w:rPr>
        <w:t>n</w:t>
      </w:r>
      <w:r w:rsidRPr="003856EF">
        <w:rPr>
          <w:lang w:val="en-US"/>
        </w:rPr>
        <w:t xml:space="preserve"> = 5) and floodplain (</w:t>
      </w:r>
      <w:r w:rsidRPr="00B52FFE">
        <w:rPr>
          <w:i/>
          <w:lang w:val="en-US"/>
        </w:rPr>
        <w:t>n</w:t>
      </w:r>
      <w:r w:rsidRPr="003856EF">
        <w:rPr>
          <w:lang w:val="en-US"/>
        </w:rPr>
        <w:t xml:space="preserve"> = 9) geomorphic zones of the LMR Selected Area. Silver perch sampled in the floodplain geomorphic zone ranged from </w:t>
      </w:r>
      <w:r w:rsidR="001D75C2">
        <w:rPr>
          <w:lang w:val="en-US"/>
        </w:rPr>
        <w:t xml:space="preserve">age </w:t>
      </w:r>
      <w:r w:rsidR="001D75C2" w:rsidRPr="003856EF">
        <w:rPr>
          <w:lang w:val="en-US"/>
        </w:rPr>
        <w:t xml:space="preserve">2+ to 6+ </w:t>
      </w:r>
      <w:r w:rsidR="009B76EA">
        <w:rPr>
          <w:lang w:val="en-US"/>
        </w:rPr>
        <w:t>(Figure H11), with age </w:t>
      </w:r>
      <w:r w:rsidRPr="003856EF">
        <w:rPr>
          <w:lang w:val="en-US"/>
        </w:rPr>
        <w:t xml:space="preserve">2+, 4+ and 6+ fish the most abundant cohorts (Figure H11). </w:t>
      </w:r>
      <w:r w:rsidR="00E12616">
        <w:rPr>
          <w:lang w:val="en-US"/>
        </w:rPr>
        <w:t xml:space="preserve">No ageing was conducted for samples from the gorge geomorphic zone for this species.  </w:t>
      </w:r>
      <w:r w:rsidRPr="003856EF">
        <w:rPr>
          <w:lang w:val="en-US"/>
        </w:rPr>
        <w:t xml:space="preserve">  </w:t>
      </w:r>
    </w:p>
    <w:p w14:paraId="11BBB133" w14:textId="7B3699CD" w:rsidR="00FA1F5B" w:rsidRPr="00FD17CB" w:rsidRDefault="00E96143" w:rsidP="00FA1F5B">
      <w:r w:rsidRPr="00E96143">
        <w:rPr>
          <w:noProof/>
          <w:lang w:eastAsia="en-AU"/>
        </w:rPr>
        <w:lastRenderedPageBreak/>
        <w:drawing>
          <wp:inline distT="0" distB="0" distL="0" distR="0" wp14:anchorId="31CE6841" wp14:editId="0B273C07">
            <wp:extent cx="5637600" cy="4159047"/>
            <wp:effectExtent l="0" t="0" r="127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5" cstate="email">
                      <a:extLst>
                        <a:ext uri="{28A0092B-C50C-407E-A947-70E740481C1C}">
                          <a14:useLocalDpi xmlns:a14="http://schemas.microsoft.com/office/drawing/2010/main"/>
                        </a:ext>
                      </a:extLst>
                    </a:blip>
                    <a:srcRect t="6333" r="1924"/>
                    <a:stretch/>
                  </pic:blipFill>
                  <pic:spPr bwMode="auto">
                    <a:xfrm>
                      <a:off x="0" y="0"/>
                      <a:ext cx="5637600" cy="4159047"/>
                    </a:xfrm>
                    <a:prstGeom prst="rect">
                      <a:avLst/>
                    </a:prstGeom>
                    <a:noFill/>
                    <a:ln>
                      <a:noFill/>
                    </a:ln>
                    <a:extLst>
                      <a:ext uri="{53640926-AAD7-44D8-BBD7-CCE9431645EC}">
                        <a14:shadowObscured xmlns:a14="http://schemas.microsoft.com/office/drawing/2010/main"/>
                      </a:ext>
                    </a:extLst>
                  </pic:spPr>
                </pic:pic>
              </a:graphicData>
            </a:graphic>
          </wp:inline>
        </w:drawing>
      </w:r>
      <w:r w:rsidRPr="00E96143">
        <w:t xml:space="preserve"> </w:t>
      </w:r>
    </w:p>
    <w:p w14:paraId="6889B81C" w14:textId="77777777" w:rsidR="00FA1F5B" w:rsidRPr="00EC725C" w:rsidRDefault="00FA1F5B" w:rsidP="00B46038">
      <w:pPr>
        <w:pStyle w:val="Captions"/>
      </w:pPr>
      <w:r w:rsidRPr="00FD17CB">
        <w:t>Figure H11. Fork length (left column) and age (right column) frequency distribution of silver perch collected by boat electrofishing from the floodplain (top) and gorge (bottom) geomorphic zones of the LMR Selected Area in April 2016.</w:t>
      </w:r>
    </w:p>
    <w:p w14:paraId="019B51C8" w14:textId="77777777" w:rsidR="00FA1F5B" w:rsidRDefault="00FA1F5B" w:rsidP="00FA1F5B">
      <w:pPr>
        <w:spacing w:before="0" w:after="200" w:line="276" w:lineRule="auto"/>
        <w:rPr>
          <w:b/>
          <w:i/>
          <w:color w:val="1F497D" w:themeColor="text2"/>
          <w:sz w:val="24"/>
          <w:szCs w:val="24"/>
        </w:rPr>
      </w:pPr>
      <w:r w:rsidRPr="00191029">
        <w:rPr>
          <w:b/>
          <w:i/>
          <w:color w:val="1F497D" w:themeColor="text2"/>
          <w:sz w:val="24"/>
          <w:szCs w:val="24"/>
        </w:rPr>
        <w:t xml:space="preserve">Otolith </w:t>
      </w:r>
      <w:r w:rsidRPr="00191029">
        <w:rPr>
          <w:b/>
          <w:i/>
          <w:color w:val="1F497D" w:themeColor="text2"/>
          <w:sz w:val="24"/>
          <w:szCs w:val="24"/>
          <w:vertAlign w:val="superscript"/>
        </w:rPr>
        <w:t>87</w:t>
      </w:r>
      <w:r w:rsidRPr="00191029">
        <w:rPr>
          <w:b/>
          <w:i/>
          <w:color w:val="1F497D" w:themeColor="text2"/>
          <w:sz w:val="24"/>
          <w:szCs w:val="24"/>
        </w:rPr>
        <w:t>Sr/</w:t>
      </w:r>
      <w:r w:rsidRPr="00191029">
        <w:rPr>
          <w:b/>
          <w:i/>
          <w:color w:val="1F497D" w:themeColor="text2"/>
          <w:sz w:val="24"/>
          <w:szCs w:val="24"/>
          <w:vertAlign w:val="superscript"/>
        </w:rPr>
        <w:t>86</w:t>
      </w:r>
      <w:r w:rsidRPr="00191029">
        <w:rPr>
          <w:b/>
          <w:i/>
          <w:color w:val="1F497D" w:themeColor="text2"/>
          <w:sz w:val="24"/>
          <w:szCs w:val="24"/>
        </w:rPr>
        <w:t>Sr, natal origin and migration history of golden/silver perch</w:t>
      </w:r>
    </w:p>
    <w:p w14:paraId="3E9D2053" w14:textId="77777777" w:rsidR="00FA1F5B" w:rsidRPr="00DB142D" w:rsidRDefault="00FA1F5B" w:rsidP="00FA1F5B">
      <w:pPr>
        <w:rPr>
          <w:u w:val="single"/>
        </w:rPr>
      </w:pPr>
      <w:r w:rsidRPr="00DB142D">
        <w:rPr>
          <w:u w:val="single"/>
        </w:rPr>
        <w:t>Golden perch</w:t>
      </w:r>
    </w:p>
    <w:p w14:paraId="2CEDF29C" w14:textId="7A5A78A6" w:rsidR="00FA1F5B" w:rsidRDefault="00FA1F5B" w:rsidP="00FA1F5B">
      <w:r>
        <w:t xml:space="preserve">To investigate the natal origin and migration history of dominant cohorts </w:t>
      </w:r>
      <w:r w:rsidR="00503BAA">
        <w:t xml:space="preserve">(Figure H10) </w:t>
      </w:r>
      <w:r>
        <w:t>of golden perch in the lower River Murray (gorge and floodplain geomorphic regions) in 2015/16</w:t>
      </w:r>
      <w:r w:rsidR="006F522F">
        <w:t>,</w:t>
      </w:r>
      <w:r>
        <w:t xml:space="preserve"> we analysed </w:t>
      </w:r>
      <w:r w:rsidRPr="00DB142D">
        <w:rPr>
          <w:vertAlign w:val="superscript"/>
        </w:rPr>
        <w:t>87</w:t>
      </w:r>
      <w:r w:rsidRPr="00DB142D">
        <w:t>Sr/</w:t>
      </w:r>
      <w:r w:rsidRPr="00DB142D">
        <w:rPr>
          <w:vertAlign w:val="superscript"/>
        </w:rPr>
        <w:t>86</w:t>
      </w:r>
      <w:r w:rsidRPr="00DB142D">
        <w:t>Sr from the otolith core to edge</w:t>
      </w:r>
      <w:r>
        <w:t xml:space="preserve"> in a subsample of fish from age 5+ (</w:t>
      </w:r>
      <w:r w:rsidRPr="00503BAA">
        <w:rPr>
          <w:i/>
        </w:rPr>
        <w:t>n</w:t>
      </w:r>
      <w:r w:rsidR="00503BAA">
        <w:t xml:space="preserve"> </w:t>
      </w:r>
      <w:r>
        <w:t>=</w:t>
      </w:r>
      <w:r w:rsidR="00503BAA">
        <w:t xml:space="preserve"> </w:t>
      </w:r>
      <w:r>
        <w:t>10), 6+ (</w:t>
      </w:r>
      <w:r w:rsidRPr="00B52FFE">
        <w:rPr>
          <w:i/>
        </w:rPr>
        <w:t>n</w:t>
      </w:r>
      <w:r w:rsidR="00503BAA">
        <w:t xml:space="preserve"> </w:t>
      </w:r>
      <w:r>
        <w:t>=</w:t>
      </w:r>
      <w:r w:rsidR="00503BAA">
        <w:t xml:space="preserve"> </w:t>
      </w:r>
      <w:r>
        <w:t>10) and 19+ (</w:t>
      </w:r>
      <w:r w:rsidRPr="00503BAA">
        <w:rPr>
          <w:i/>
        </w:rPr>
        <w:t>n</w:t>
      </w:r>
      <w:r w:rsidR="00503BAA">
        <w:t xml:space="preserve"> </w:t>
      </w:r>
      <w:r>
        <w:t>=</w:t>
      </w:r>
      <w:r w:rsidR="00503BAA">
        <w:t xml:space="preserve"> </w:t>
      </w:r>
      <w:r>
        <w:t xml:space="preserve">5) </w:t>
      </w:r>
      <w:r w:rsidR="00503BAA">
        <w:t xml:space="preserve">cohorts </w:t>
      </w:r>
      <w:r>
        <w:t xml:space="preserve">(Table </w:t>
      </w:r>
      <w:r w:rsidR="007E5224">
        <w:t>H</w:t>
      </w:r>
      <w:r w:rsidR="00487A0B">
        <w:t>6</w:t>
      </w:r>
      <w:r w:rsidR="007E5224">
        <w:t>; Figure</w:t>
      </w:r>
      <w:r w:rsidR="00371F83">
        <w:t>s</w:t>
      </w:r>
      <w:r w:rsidR="007E5224">
        <w:t xml:space="preserve"> H1</w:t>
      </w:r>
      <w:r w:rsidR="00371F83">
        <w:t>3–16</w:t>
      </w:r>
      <w:r>
        <w:t xml:space="preserve">). We compared these transects to water </w:t>
      </w:r>
      <w:r w:rsidRPr="00C83F68">
        <w:rPr>
          <w:vertAlign w:val="superscript"/>
        </w:rPr>
        <w:t>87</w:t>
      </w:r>
      <w:r w:rsidRPr="00C83F68">
        <w:t>Sr/</w:t>
      </w:r>
      <w:r w:rsidRPr="00C83F68">
        <w:rPr>
          <w:vertAlign w:val="superscript"/>
        </w:rPr>
        <w:t>86</w:t>
      </w:r>
      <w:r w:rsidRPr="00C83F68">
        <w:t>Sr</w:t>
      </w:r>
      <w:r>
        <w:t xml:space="preserve"> measured at sites across the southern MDB from 2011–2016 (this report; Zampatti </w:t>
      </w:r>
      <w:r w:rsidRPr="00CB3294">
        <w:rPr>
          <w:i/>
        </w:rPr>
        <w:t>et al</w:t>
      </w:r>
      <w:r>
        <w:t>. 2015; SARDI unpublished data) (Fig</w:t>
      </w:r>
      <w:r w:rsidR="00371F83">
        <w:t>ure</w:t>
      </w:r>
      <w:r w:rsidR="009B76EA">
        <w:t> </w:t>
      </w:r>
      <w:r w:rsidR="00371F83">
        <w:t>H12</w:t>
      </w:r>
      <w:r>
        <w:t>).</w:t>
      </w:r>
    </w:p>
    <w:p w14:paraId="36091DEF" w14:textId="77777777" w:rsidR="00D14767" w:rsidRDefault="00D14767" w:rsidP="00B46038">
      <w:pPr>
        <w:pStyle w:val="Captions"/>
      </w:pPr>
    </w:p>
    <w:p w14:paraId="0110C1E1" w14:textId="77777777" w:rsidR="00D14767" w:rsidRDefault="00D14767">
      <w:pPr>
        <w:spacing w:before="0" w:after="200" w:line="276" w:lineRule="auto"/>
        <w:jc w:val="left"/>
        <w:rPr>
          <w:rFonts w:eastAsia="MS Mincho" w:cs="Arial"/>
          <w:b/>
          <w:bCs/>
          <w:color w:val="auto"/>
          <w:kern w:val="0"/>
          <w:sz w:val="20"/>
          <w:lang w:val="en-US"/>
        </w:rPr>
      </w:pPr>
      <w:r>
        <w:br w:type="page"/>
      </w:r>
    </w:p>
    <w:p w14:paraId="3228E2DA" w14:textId="6B2D88AF" w:rsidR="00FA1F5B" w:rsidRDefault="00FA1F5B" w:rsidP="00B46038">
      <w:pPr>
        <w:pStyle w:val="Captions"/>
      </w:pPr>
      <w:r>
        <w:lastRenderedPageBreak/>
        <w:t xml:space="preserve">Table </w:t>
      </w:r>
      <w:r w:rsidR="007E5224">
        <w:t>H</w:t>
      </w:r>
      <w:r w:rsidR="00487A0B">
        <w:t>6</w:t>
      </w:r>
      <w:r>
        <w:t xml:space="preserve">. Capture location and region, length (mm), age (years) and spawn year, and otolith core </w:t>
      </w:r>
      <w:r w:rsidRPr="00334024">
        <w:rPr>
          <w:vertAlign w:val="superscript"/>
        </w:rPr>
        <w:t>87</w:t>
      </w:r>
      <w:r w:rsidRPr="00334024">
        <w:t>Sr/</w:t>
      </w:r>
      <w:r w:rsidRPr="00334024">
        <w:rPr>
          <w:vertAlign w:val="superscript"/>
        </w:rPr>
        <w:t>86</w:t>
      </w:r>
      <w:r w:rsidRPr="00334024">
        <w:t>Sr</w:t>
      </w:r>
      <w:r>
        <w:t xml:space="preserve"> of 25 golden perch collected from the lower River Murray in April 2016.</w:t>
      </w:r>
      <w:r w:rsidR="00125268">
        <w:t xml:space="preserve"> L</w:t>
      </w:r>
      <w:r w:rsidR="00125268" w:rsidRPr="00125268">
        <w:t>ife</w:t>
      </w:r>
      <w:r w:rsidR="00CA1E4D">
        <w:t xml:space="preserve"> </w:t>
      </w:r>
      <w:r w:rsidR="00125268" w:rsidRPr="00125268">
        <w:t>history profiles</w:t>
      </w:r>
      <w:r w:rsidR="00125268">
        <w:t xml:space="preserve"> are shown for individuals marked with *. </w:t>
      </w:r>
    </w:p>
    <w:tbl>
      <w:tblPr>
        <w:tblStyle w:val="LightShading1"/>
        <w:tblW w:w="0" w:type="auto"/>
        <w:tblLayout w:type="fixed"/>
        <w:tblLook w:val="04A0" w:firstRow="1" w:lastRow="0" w:firstColumn="1" w:lastColumn="0" w:noHBand="0" w:noVBand="1"/>
      </w:tblPr>
      <w:tblGrid>
        <w:gridCol w:w="1526"/>
        <w:gridCol w:w="2041"/>
        <w:gridCol w:w="1077"/>
        <w:gridCol w:w="1134"/>
        <w:gridCol w:w="1276"/>
        <w:gridCol w:w="1701"/>
      </w:tblGrid>
      <w:tr w:rsidR="00FA1F5B" w:rsidRPr="002E63ED" w14:paraId="50BEF510" w14:textId="77777777" w:rsidTr="000F2E0B">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6593907F" w14:textId="77777777" w:rsidR="00FA1F5B" w:rsidRPr="002E63ED" w:rsidRDefault="00FA1F5B" w:rsidP="007E5224">
            <w:pPr>
              <w:spacing w:before="40" w:after="40" w:line="240" w:lineRule="auto"/>
              <w:jc w:val="center"/>
              <w:rPr>
                <w:sz w:val="19"/>
                <w:szCs w:val="19"/>
              </w:rPr>
            </w:pPr>
            <w:r w:rsidRPr="002E63ED">
              <w:rPr>
                <w:sz w:val="19"/>
                <w:szCs w:val="19"/>
              </w:rPr>
              <w:t>Region</w:t>
            </w:r>
          </w:p>
        </w:tc>
        <w:tc>
          <w:tcPr>
            <w:tcW w:w="2041" w:type="dxa"/>
            <w:shd w:val="clear" w:color="auto" w:fill="auto"/>
            <w:vAlign w:val="center"/>
          </w:tcPr>
          <w:p w14:paraId="691B4707" w14:textId="77777777" w:rsidR="00FA1F5B" w:rsidRPr="002E63ED" w:rsidRDefault="00FA1F5B" w:rsidP="007E522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9"/>
                <w:szCs w:val="19"/>
              </w:rPr>
            </w:pPr>
            <w:r w:rsidRPr="002E63ED">
              <w:rPr>
                <w:sz w:val="19"/>
                <w:szCs w:val="19"/>
              </w:rPr>
              <w:t>Capture location</w:t>
            </w:r>
          </w:p>
        </w:tc>
        <w:tc>
          <w:tcPr>
            <w:tcW w:w="1077" w:type="dxa"/>
            <w:shd w:val="clear" w:color="auto" w:fill="auto"/>
            <w:vAlign w:val="center"/>
          </w:tcPr>
          <w:p w14:paraId="5680D127" w14:textId="77777777" w:rsidR="00FA1F5B" w:rsidRPr="002E63ED" w:rsidRDefault="00FA1F5B" w:rsidP="007E522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9"/>
                <w:szCs w:val="19"/>
              </w:rPr>
            </w:pPr>
            <w:r w:rsidRPr="002E63ED">
              <w:rPr>
                <w:sz w:val="19"/>
                <w:szCs w:val="19"/>
              </w:rPr>
              <w:t>Length (mm)</w:t>
            </w:r>
          </w:p>
        </w:tc>
        <w:tc>
          <w:tcPr>
            <w:tcW w:w="1134" w:type="dxa"/>
            <w:shd w:val="clear" w:color="auto" w:fill="auto"/>
            <w:vAlign w:val="center"/>
          </w:tcPr>
          <w:p w14:paraId="26E49771" w14:textId="77777777" w:rsidR="00FA1F5B" w:rsidRPr="002E63ED" w:rsidRDefault="00FA1F5B" w:rsidP="007E522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9"/>
                <w:szCs w:val="19"/>
              </w:rPr>
            </w:pPr>
            <w:r w:rsidRPr="002E63ED">
              <w:rPr>
                <w:sz w:val="19"/>
                <w:szCs w:val="19"/>
              </w:rPr>
              <w:t>Age</w:t>
            </w:r>
          </w:p>
          <w:p w14:paraId="2A928E76" w14:textId="77777777" w:rsidR="00FA1F5B" w:rsidRPr="002E63ED" w:rsidRDefault="00FA1F5B" w:rsidP="007E522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9"/>
                <w:szCs w:val="19"/>
              </w:rPr>
            </w:pPr>
            <w:r w:rsidRPr="002E63ED">
              <w:rPr>
                <w:sz w:val="19"/>
                <w:szCs w:val="19"/>
              </w:rPr>
              <w:t>(years)</w:t>
            </w:r>
          </w:p>
        </w:tc>
        <w:tc>
          <w:tcPr>
            <w:tcW w:w="1276" w:type="dxa"/>
            <w:shd w:val="clear" w:color="auto" w:fill="auto"/>
            <w:vAlign w:val="center"/>
          </w:tcPr>
          <w:p w14:paraId="5370187C" w14:textId="77777777" w:rsidR="00FA1F5B" w:rsidRPr="002E63ED" w:rsidRDefault="00FA1F5B" w:rsidP="007E522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9"/>
                <w:szCs w:val="19"/>
              </w:rPr>
            </w:pPr>
            <w:r w:rsidRPr="002E63ED">
              <w:rPr>
                <w:sz w:val="19"/>
                <w:szCs w:val="19"/>
              </w:rPr>
              <w:t>Spawn year</w:t>
            </w:r>
          </w:p>
        </w:tc>
        <w:tc>
          <w:tcPr>
            <w:tcW w:w="1701" w:type="dxa"/>
            <w:shd w:val="clear" w:color="auto" w:fill="auto"/>
            <w:vAlign w:val="center"/>
          </w:tcPr>
          <w:p w14:paraId="0E68422A" w14:textId="77777777" w:rsidR="00FA1F5B" w:rsidRPr="002E63ED" w:rsidRDefault="00FA1F5B" w:rsidP="007E522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9"/>
                <w:szCs w:val="19"/>
              </w:rPr>
            </w:pPr>
            <w:r w:rsidRPr="002E63ED">
              <w:rPr>
                <w:sz w:val="19"/>
                <w:szCs w:val="19"/>
              </w:rPr>
              <w:t xml:space="preserve">Core </w:t>
            </w:r>
            <w:r w:rsidRPr="002E63ED">
              <w:rPr>
                <w:sz w:val="19"/>
                <w:szCs w:val="19"/>
                <w:vertAlign w:val="superscript"/>
              </w:rPr>
              <w:t>87</w:t>
            </w:r>
            <w:r w:rsidRPr="002E63ED">
              <w:rPr>
                <w:sz w:val="19"/>
                <w:szCs w:val="19"/>
              </w:rPr>
              <w:t>Sr/</w:t>
            </w:r>
            <w:r w:rsidRPr="002E63ED">
              <w:rPr>
                <w:sz w:val="19"/>
                <w:szCs w:val="19"/>
                <w:vertAlign w:val="superscript"/>
              </w:rPr>
              <w:t>86</w:t>
            </w:r>
            <w:r w:rsidRPr="002E63ED">
              <w:rPr>
                <w:sz w:val="19"/>
                <w:szCs w:val="19"/>
              </w:rPr>
              <w:t>Sr</w:t>
            </w:r>
          </w:p>
        </w:tc>
      </w:tr>
      <w:tr w:rsidR="00FA1F5B" w:rsidRPr="002E63ED" w14:paraId="045C7F9A" w14:textId="77777777" w:rsidTr="000F2E0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8CC3C4E" w14:textId="77777777" w:rsidR="00FA1F5B" w:rsidRPr="002E63ED" w:rsidRDefault="00FA1F5B" w:rsidP="007E5224">
            <w:pPr>
              <w:spacing w:before="40" w:after="40" w:line="240" w:lineRule="auto"/>
              <w:rPr>
                <w:b w:val="0"/>
                <w:sz w:val="19"/>
                <w:szCs w:val="19"/>
              </w:rPr>
            </w:pPr>
            <w:r w:rsidRPr="002E63ED">
              <w:rPr>
                <w:b w:val="0"/>
                <w:sz w:val="19"/>
                <w:szCs w:val="19"/>
              </w:rPr>
              <w:t>Gorge</w:t>
            </w:r>
          </w:p>
        </w:tc>
        <w:tc>
          <w:tcPr>
            <w:tcW w:w="2041" w:type="dxa"/>
            <w:shd w:val="clear" w:color="auto" w:fill="auto"/>
          </w:tcPr>
          <w:p w14:paraId="5E325FD7" w14:textId="77777777" w:rsidR="00FA1F5B" w:rsidRPr="002E63ED" w:rsidRDefault="00FA1F5B" w:rsidP="007E5224">
            <w:pPr>
              <w:spacing w:before="40" w:after="4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Swan Reach</w:t>
            </w:r>
          </w:p>
        </w:tc>
        <w:tc>
          <w:tcPr>
            <w:tcW w:w="1077" w:type="dxa"/>
            <w:shd w:val="clear" w:color="auto" w:fill="auto"/>
          </w:tcPr>
          <w:p w14:paraId="4D939D56" w14:textId="5612C89F" w:rsidR="00FA1F5B" w:rsidRPr="002E63ED" w:rsidRDefault="00FA1F5B" w:rsidP="00C449C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253</w:t>
            </w:r>
          </w:p>
        </w:tc>
        <w:tc>
          <w:tcPr>
            <w:tcW w:w="1134" w:type="dxa"/>
            <w:shd w:val="clear" w:color="auto" w:fill="auto"/>
          </w:tcPr>
          <w:p w14:paraId="3307CB1A" w14:textId="1E845738"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5</w:t>
            </w:r>
            <w:r w:rsidR="00C449CE" w:rsidRPr="002E63ED">
              <w:rPr>
                <w:sz w:val="19"/>
                <w:szCs w:val="19"/>
              </w:rPr>
              <w:t>*</w:t>
            </w:r>
          </w:p>
        </w:tc>
        <w:tc>
          <w:tcPr>
            <w:tcW w:w="1276" w:type="dxa"/>
            <w:shd w:val="clear" w:color="auto" w:fill="auto"/>
          </w:tcPr>
          <w:p w14:paraId="4D077CA3"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2010/11</w:t>
            </w:r>
          </w:p>
        </w:tc>
        <w:tc>
          <w:tcPr>
            <w:tcW w:w="1701" w:type="dxa"/>
            <w:shd w:val="clear" w:color="auto" w:fill="auto"/>
          </w:tcPr>
          <w:p w14:paraId="33454B0A"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0.707375</w:t>
            </w:r>
          </w:p>
        </w:tc>
      </w:tr>
      <w:tr w:rsidR="00FA1F5B" w:rsidRPr="002E63ED" w14:paraId="14657B1B" w14:textId="77777777" w:rsidTr="000F2E0B">
        <w:trPr>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B97D690" w14:textId="77777777" w:rsidR="00FA1F5B" w:rsidRPr="002E63ED" w:rsidRDefault="00FA1F5B" w:rsidP="007E5224">
            <w:pPr>
              <w:spacing w:before="40" w:after="40" w:line="240" w:lineRule="auto"/>
              <w:rPr>
                <w:b w:val="0"/>
                <w:sz w:val="19"/>
                <w:szCs w:val="19"/>
              </w:rPr>
            </w:pPr>
            <w:r w:rsidRPr="002E63ED">
              <w:rPr>
                <w:b w:val="0"/>
                <w:sz w:val="19"/>
                <w:szCs w:val="19"/>
              </w:rPr>
              <w:t>Gorge</w:t>
            </w:r>
          </w:p>
        </w:tc>
        <w:tc>
          <w:tcPr>
            <w:tcW w:w="2041" w:type="dxa"/>
            <w:shd w:val="clear" w:color="auto" w:fill="auto"/>
          </w:tcPr>
          <w:p w14:paraId="3B0F452E" w14:textId="77777777" w:rsidR="00FA1F5B" w:rsidRPr="002E63ED" w:rsidRDefault="00FA1F5B" w:rsidP="007E5224">
            <w:pPr>
              <w:spacing w:before="40" w:after="4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Caurnamont</w:t>
            </w:r>
          </w:p>
        </w:tc>
        <w:tc>
          <w:tcPr>
            <w:tcW w:w="1077" w:type="dxa"/>
            <w:shd w:val="clear" w:color="auto" w:fill="auto"/>
          </w:tcPr>
          <w:p w14:paraId="53DDBAB8"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239</w:t>
            </w:r>
          </w:p>
        </w:tc>
        <w:tc>
          <w:tcPr>
            <w:tcW w:w="1134" w:type="dxa"/>
            <w:shd w:val="clear" w:color="auto" w:fill="auto"/>
          </w:tcPr>
          <w:p w14:paraId="7C5109D8"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5</w:t>
            </w:r>
          </w:p>
        </w:tc>
        <w:tc>
          <w:tcPr>
            <w:tcW w:w="1276" w:type="dxa"/>
            <w:shd w:val="clear" w:color="auto" w:fill="auto"/>
          </w:tcPr>
          <w:p w14:paraId="4BF39DFA"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lang w:val="en-AU"/>
              </w:rPr>
              <w:t>2010/11</w:t>
            </w:r>
          </w:p>
        </w:tc>
        <w:tc>
          <w:tcPr>
            <w:tcW w:w="1701" w:type="dxa"/>
            <w:shd w:val="clear" w:color="auto" w:fill="auto"/>
          </w:tcPr>
          <w:p w14:paraId="5C00590F"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0.707304</w:t>
            </w:r>
          </w:p>
        </w:tc>
      </w:tr>
      <w:tr w:rsidR="00FA1F5B" w:rsidRPr="002E63ED" w14:paraId="75C39153" w14:textId="77777777" w:rsidTr="000F2E0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14306871" w14:textId="77777777" w:rsidR="00FA1F5B" w:rsidRPr="002E63ED" w:rsidRDefault="00FA1F5B" w:rsidP="007E5224">
            <w:pPr>
              <w:spacing w:before="40" w:after="40" w:line="240" w:lineRule="auto"/>
              <w:rPr>
                <w:b w:val="0"/>
                <w:sz w:val="19"/>
                <w:szCs w:val="19"/>
              </w:rPr>
            </w:pPr>
            <w:r w:rsidRPr="002E63ED">
              <w:rPr>
                <w:b w:val="0"/>
                <w:sz w:val="19"/>
                <w:szCs w:val="19"/>
              </w:rPr>
              <w:t>Gorge</w:t>
            </w:r>
          </w:p>
        </w:tc>
        <w:tc>
          <w:tcPr>
            <w:tcW w:w="2041" w:type="dxa"/>
            <w:shd w:val="clear" w:color="auto" w:fill="auto"/>
          </w:tcPr>
          <w:p w14:paraId="20238248" w14:textId="77777777" w:rsidR="00FA1F5B" w:rsidRPr="002E63ED" w:rsidRDefault="00FA1F5B" w:rsidP="007E5224">
            <w:pPr>
              <w:spacing w:before="40" w:after="4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Waikerie</w:t>
            </w:r>
          </w:p>
        </w:tc>
        <w:tc>
          <w:tcPr>
            <w:tcW w:w="1077" w:type="dxa"/>
            <w:shd w:val="clear" w:color="auto" w:fill="auto"/>
          </w:tcPr>
          <w:p w14:paraId="0D49C5B9"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335</w:t>
            </w:r>
          </w:p>
        </w:tc>
        <w:tc>
          <w:tcPr>
            <w:tcW w:w="1134" w:type="dxa"/>
            <w:shd w:val="clear" w:color="auto" w:fill="auto"/>
          </w:tcPr>
          <w:p w14:paraId="6232FB35"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5</w:t>
            </w:r>
          </w:p>
        </w:tc>
        <w:tc>
          <w:tcPr>
            <w:tcW w:w="1276" w:type="dxa"/>
            <w:shd w:val="clear" w:color="auto" w:fill="auto"/>
          </w:tcPr>
          <w:p w14:paraId="58DC1883"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lang w:val="en-AU"/>
              </w:rPr>
              <w:t>2010/11</w:t>
            </w:r>
          </w:p>
        </w:tc>
        <w:tc>
          <w:tcPr>
            <w:tcW w:w="1701" w:type="dxa"/>
            <w:shd w:val="clear" w:color="auto" w:fill="auto"/>
          </w:tcPr>
          <w:p w14:paraId="0EA547E3"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0.707722</w:t>
            </w:r>
          </w:p>
        </w:tc>
      </w:tr>
      <w:tr w:rsidR="00FA1F5B" w:rsidRPr="002E63ED" w14:paraId="4670814D" w14:textId="77777777" w:rsidTr="000F2E0B">
        <w:trPr>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AAB1064" w14:textId="77777777" w:rsidR="00FA1F5B" w:rsidRPr="002E63ED" w:rsidRDefault="00FA1F5B" w:rsidP="007E5224">
            <w:pPr>
              <w:spacing w:before="40" w:after="40" w:line="240" w:lineRule="auto"/>
              <w:rPr>
                <w:b w:val="0"/>
                <w:sz w:val="19"/>
                <w:szCs w:val="19"/>
              </w:rPr>
            </w:pPr>
            <w:r w:rsidRPr="002E63ED">
              <w:rPr>
                <w:b w:val="0"/>
                <w:sz w:val="19"/>
                <w:szCs w:val="19"/>
              </w:rPr>
              <w:t>Gorge</w:t>
            </w:r>
          </w:p>
        </w:tc>
        <w:tc>
          <w:tcPr>
            <w:tcW w:w="2041" w:type="dxa"/>
            <w:shd w:val="clear" w:color="auto" w:fill="auto"/>
          </w:tcPr>
          <w:p w14:paraId="3FA0B441" w14:textId="77777777" w:rsidR="00FA1F5B" w:rsidRPr="002E63ED" w:rsidRDefault="00FA1F5B" w:rsidP="007E5224">
            <w:pPr>
              <w:spacing w:before="40" w:after="4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Morgan</w:t>
            </w:r>
          </w:p>
        </w:tc>
        <w:tc>
          <w:tcPr>
            <w:tcW w:w="1077" w:type="dxa"/>
            <w:shd w:val="clear" w:color="auto" w:fill="auto"/>
          </w:tcPr>
          <w:p w14:paraId="132FF8FC"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307</w:t>
            </w:r>
          </w:p>
        </w:tc>
        <w:tc>
          <w:tcPr>
            <w:tcW w:w="1134" w:type="dxa"/>
            <w:shd w:val="clear" w:color="auto" w:fill="auto"/>
          </w:tcPr>
          <w:p w14:paraId="326F8715"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5</w:t>
            </w:r>
          </w:p>
        </w:tc>
        <w:tc>
          <w:tcPr>
            <w:tcW w:w="1276" w:type="dxa"/>
            <w:shd w:val="clear" w:color="auto" w:fill="auto"/>
          </w:tcPr>
          <w:p w14:paraId="7B9DF88F"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lang w:val="en-AU"/>
              </w:rPr>
              <w:t>2010/11</w:t>
            </w:r>
          </w:p>
        </w:tc>
        <w:tc>
          <w:tcPr>
            <w:tcW w:w="1701" w:type="dxa"/>
            <w:shd w:val="clear" w:color="auto" w:fill="auto"/>
          </w:tcPr>
          <w:p w14:paraId="76556E2C"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0.707515</w:t>
            </w:r>
          </w:p>
        </w:tc>
      </w:tr>
      <w:tr w:rsidR="00FA1F5B" w:rsidRPr="002E63ED" w14:paraId="319938E0" w14:textId="77777777" w:rsidTr="000F2E0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51D2F6D" w14:textId="77777777" w:rsidR="00FA1F5B" w:rsidRPr="002E63ED" w:rsidRDefault="00FA1F5B" w:rsidP="007E5224">
            <w:pPr>
              <w:spacing w:before="40" w:after="40" w:line="240" w:lineRule="auto"/>
              <w:rPr>
                <w:b w:val="0"/>
                <w:sz w:val="19"/>
                <w:szCs w:val="19"/>
              </w:rPr>
            </w:pPr>
            <w:r w:rsidRPr="002E63ED">
              <w:rPr>
                <w:b w:val="0"/>
                <w:sz w:val="19"/>
                <w:szCs w:val="19"/>
              </w:rPr>
              <w:t>Gorge</w:t>
            </w:r>
          </w:p>
        </w:tc>
        <w:tc>
          <w:tcPr>
            <w:tcW w:w="2041" w:type="dxa"/>
            <w:shd w:val="clear" w:color="auto" w:fill="auto"/>
          </w:tcPr>
          <w:p w14:paraId="2BB15B3D" w14:textId="77777777" w:rsidR="00FA1F5B" w:rsidRPr="002E63ED" w:rsidRDefault="00FA1F5B" w:rsidP="007E5224">
            <w:pPr>
              <w:spacing w:before="40" w:after="4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Blanchetown</w:t>
            </w:r>
          </w:p>
        </w:tc>
        <w:tc>
          <w:tcPr>
            <w:tcW w:w="1077" w:type="dxa"/>
            <w:shd w:val="clear" w:color="auto" w:fill="auto"/>
          </w:tcPr>
          <w:p w14:paraId="4E06098D" w14:textId="29A76E54" w:rsidR="00FA1F5B" w:rsidRPr="002E63ED" w:rsidRDefault="00FA1F5B" w:rsidP="00C449CE">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275</w:t>
            </w:r>
          </w:p>
        </w:tc>
        <w:tc>
          <w:tcPr>
            <w:tcW w:w="1134" w:type="dxa"/>
            <w:shd w:val="clear" w:color="auto" w:fill="auto"/>
          </w:tcPr>
          <w:p w14:paraId="58A9509F" w14:textId="2826FD4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5</w:t>
            </w:r>
            <w:r w:rsidR="00C449CE" w:rsidRPr="002E63ED">
              <w:rPr>
                <w:sz w:val="19"/>
                <w:szCs w:val="19"/>
              </w:rPr>
              <w:t>*</w:t>
            </w:r>
          </w:p>
        </w:tc>
        <w:tc>
          <w:tcPr>
            <w:tcW w:w="1276" w:type="dxa"/>
            <w:shd w:val="clear" w:color="auto" w:fill="auto"/>
          </w:tcPr>
          <w:p w14:paraId="7286BAE7"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lang w:val="en-AU"/>
              </w:rPr>
              <w:t>2010/11</w:t>
            </w:r>
          </w:p>
        </w:tc>
        <w:tc>
          <w:tcPr>
            <w:tcW w:w="1701" w:type="dxa"/>
            <w:shd w:val="clear" w:color="auto" w:fill="auto"/>
          </w:tcPr>
          <w:p w14:paraId="35BD1346"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0.707359</w:t>
            </w:r>
          </w:p>
        </w:tc>
      </w:tr>
      <w:tr w:rsidR="00FA1F5B" w:rsidRPr="002E63ED" w14:paraId="48D0F19A" w14:textId="77777777" w:rsidTr="000F2E0B">
        <w:trPr>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5E27B80C" w14:textId="77777777" w:rsidR="00FA1F5B" w:rsidRPr="002E63ED" w:rsidRDefault="00FA1F5B" w:rsidP="007E5224">
            <w:pPr>
              <w:spacing w:before="40" w:after="40" w:line="240" w:lineRule="auto"/>
              <w:rPr>
                <w:b w:val="0"/>
                <w:sz w:val="19"/>
                <w:szCs w:val="19"/>
              </w:rPr>
            </w:pPr>
            <w:r w:rsidRPr="002E63ED">
              <w:rPr>
                <w:b w:val="0"/>
                <w:sz w:val="19"/>
                <w:szCs w:val="19"/>
              </w:rPr>
              <w:t>Floodplain</w:t>
            </w:r>
          </w:p>
        </w:tc>
        <w:tc>
          <w:tcPr>
            <w:tcW w:w="2041" w:type="dxa"/>
            <w:shd w:val="clear" w:color="auto" w:fill="auto"/>
          </w:tcPr>
          <w:p w14:paraId="34CC99EC" w14:textId="77777777" w:rsidR="00FA1F5B" w:rsidRPr="002E63ED" w:rsidRDefault="00FA1F5B" w:rsidP="007E5224">
            <w:pPr>
              <w:spacing w:before="40" w:after="4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Murtho Forest</w:t>
            </w:r>
          </w:p>
        </w:tc>
        <w:tc>
          <w:tcPr>
            <w:tcW w:w="1077" w:type="dxa"/>
            <w:shd w:val="clear" w:color="auto" w:fill="auto"/>
          </w:tcPr>
          <w:p w14:paraId="2839CC5A"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261</w:t>
            </w:r>
          </w:p>
        </w:tc>
        <w:tc>
          <w:tcPr>
            <w:tcW w:w="1134" w:type="dxa"/>
            <w:shd w:val="clear" w:color="auto" w:fill="auto"/>
          </w:tcPr>
          <w:p w14:paraId="4C615576" w14:textId="6CA18BB3"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5</w:t>
            </w:r>
            <w:r w:rsidR="00C449CE" w:rsidRPr="002E63ED">
              <w:rPr>
                <w:sz w:val="19"/>
                <w:szCs w:val="19"/>
              </w:rPr>
              <w:t>*</w:t>
            </w:r>
          </w:p>
        </w:tc>
        <w:tc>
          <w:tcPr>
            <w:tcW w:w="1276" w:type="dxa"/>
            <w:shd w:val="clear" w:color="auto" w:fill="auto"/>
          </w:tcPr>
          <w:p w14:paraId="4D18759F"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lang w:val="en-AU"/>
              </w:rPr>
              <w:t>2010/11</w:t>
            </w:r>
          </w:p>
        </w:tc>
        <w:tc>
          <w:tcPr>
            <w:tcW w:w="1701" w:type="dxa"/>
            <w:shd w:val="clear" w:color="auto" w:fill="auto"/>
          </w:tcPr>
          <w:p w14:paraId="3E6521DD"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0.712130</w:t>
            </w:r>
          </w:p>
        </w:tc>
      </w:tr>
      <w:tr w:rsidR="00FA1F5B" w:rsidRPr="002E63ED" w14:paraId="36D869A5" w14:textId="77777777" w:rsidTr="000F2E0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12D18461" w14:textId="77777777" w:rsidR="00FA1F5B" w:rsidRPr="002E63ED" w:rsidRDefault="00FA1F5B" w:rsidP="007E5224">
            <w:pPr>
              <w:spacing w:before="40" w:after="40" w:line="240" w:lineRule="auto"/>
              <w:rPr>
                <w:b w:val="0"/>
                <w:sz w:val="19"/>
                <w:szCs w:val="19"/>
              </w:rPr>
            </w:pPr>
            <w:r w:rsidRPr="002E63ED">
              <w:rPr>
                <w:b w:val="0"/>
                <w:sz w:val="19"/>
                <w:szCs w:val="19"/>
              </w:rPr>
              <w:t>Floodplain</w:t>
            </w:r>
          </w:p>
        </w:tc>
        <w:tc>
          <w:tcPr>
            <w:tcW w:w="2041" w:type="dxa"/>
            <w:shd w:val="clear" w:color="auto" w:fill="auto"/>
          </w:tcPr>
          <w:p w14:paraId="0AD03224" w14:textId="77777777" w:rsidR="00FA1F5B" w:rsidRPr="002E63ED" w:rsidRDefault="00FA1F5B" w:rsidP="007E5224">
            <w:pPr>
              <w:spacing w:before="40" w:after="4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Murtho Forest</w:t>
            </w:r>
          </w:p>
        </w:tc>
        <w:tc>
          <w:tcPr>
            <w:tcW w:w="1077" w:type="dxa"/>
            <w:shd w:val="clear" w:color="auto" w:fill="auto"/>
          </w:tcPr>
          <w:p w14:paraId="70204BB1"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213</w:t>
            </w:r>
          </w:p>
        </w:tc>
        <w:tc>
          <w:tcPr>
            <w:tcW w:w="1134" w:type="dxa"/>
            <w:shd w:val="clear" w:color="auto" w:fill="auto"/>
          </w:tcPr>
          <w:p w14:paraId="2204C37B"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5</w:t>
            </w:r>
          </w:p>
        </w:tc>
        <w:tc>
          <w:tcPr>
            <w:tcW w:w="1276" w:type="dxa"/>
            <w:shd w:val="clear" w:color="auto" w:fill="auto"/>
          </w:tcPr>
          <w:p w14:paraId="2BCC1B07"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lang w:val="en-AU"/>
              </w:rPr>
              <w:t>2010/11</w:t>
            </w:r>
          </w:p>
        </w:tc>
        <w:tc>
          <w:tcPr>
            <w:tcW w:w="1701" w:type="dxa"/>
            <w:shd w:val="clear" w:color="auto" w:fill="auto"/>
          </w:tcPr>
          <w:p w14:paraId="5035B11C"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0.709026</w:t>
            </w:r>
          </w:p>
        </w:tc>
      </w:tr>
      <w:tr w:rsidR="00FA1F5B" w:rsidRPr="002E63ED" w14:paraId="313F5C95" w14:textId="77777777" w:rsidTr="000F2E0B">
        <w:trPr>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2759BD0E" w14:textId="77777777" w:rsidR="00FA1F5B" w:rsidRPr="002E63ED" w:rsidRDefault="00FA1F5B" w:rsidP="007E5224">
            <w:pPr>
              <w:spacing w:before="40" w:after="40" w:line="240" w:lineRule="auto"/>
              <w:rPr>
                <w:b w:val="0"/>
                <w:sz w:val="19"/>
                <w:szCs w:val="19"/>
              </w:rPr>
            </w:pPr>
            <w:r w:rsidRPr="002E63ED">
              <w:rPr>
                <w:b w:val="0"/>
                <w:sz w:val="19"/>
                <w:szCs w:val="19"/>
              </w:rPr>
              <w:t>Floodplain</w:t>
            </w:r>
          </w:p>
        </w:tc>
        <w:tc>
          <w:tcPr>
            <w:tcW w:w="2041" w:type="dxa"/>
            <w:shd w:val="clear" w:color="auto" w:fill="auto"/>
          </w:tcPr>
          <w:p w14:paraId="38B67AF5" w14:textId="77777777" w:rsidR="00FA1F5B" w:rsidRPr="002E63ED" w:rsidRDefault="00FA1F5B" w:rsidP="007E5224">
            <w:pPr>
              <w:spacing w:before="40" w:after="4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Rili Island</w:t>
            </w:r>
          </w:p>
        </w:tc>
        <w:tc>
          <w:tcPr>
            <w:tcW w:w="1077" w:type="dxa"/>
            <w:shd w:val="clear" w:color="auto" w:fill="auto"/>
          </w:tcPr>
          <w:p w14:paraId="4B97DDAC"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250</w:t>
            </w:r>
          </w:p>
        </w:tc>
        <w:tc>
          <w:tcPr>
            <w:tcW w:w="1134" w:type="dxa"/>
            <w:shd w:val="clear" w:color="auto" w:fill="auto"/>
          </w:tcPr>
          <w:p w14:paraId="1C1FF311" w14:textId="17405BF1"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5</w:t>
            </w:r>
            <w:r w:rsidR="00C449CE" w:rsidRPr="002E63ED">
              <w:rPr>
                <w:sz w:val="19"/>
                <w:szCs w:val="19"/>
              </w:rPr>
              <w:t>*</w:t>
            </w:r>
          </w:p>
        </w:tc>
        <w:tc>
          <w:tcPr>
            <w:tcW w:w="1276" w:type="dxa"/>
            <w:shd w:val="clear" w:color="auto" w:fill="auto"/>
          </w:tcPr>
          <w:p w14:paraId="10BC9604"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lang w:val="en-AU"/>
              </w:rPr>
              <w:t>2010/11</w:t>
            </w:r>
          </w:p>
        </w:tc>
        <w:tc>
          <w:tcPr>
            <w:tcW w:w="1701" w:type="dxa"/>
            <w:shd w:val="clear" w:color="auto" w:fill="auto"/>
          </w:tcPr>
          <w:p w14:paraId="2DD3CBD4"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0.710623</w:t>
            </w:r>
          </w:p>
        </w:tc>
      </w:tr>
      <w:tr w:rsidR="00FA1F5B" w:rsidRPr="002E63ED" w14:paraId="768EF9AD" w14:textId="77777777" w:rsidTr="000F2E0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6CF8E6D" w14:textId="77777777" w:rsidR="00FA1F5B" w:rsidRPr="002E63ED" w:rsidRDefault="00FA1F5B" w:rsidP="007E5224">
            <w:pPr>
              <w:spacing w:before="40" w:after="40" w:line="240" w:lineRule="auto"/>
              <w:rPr>
                <w:b w:val="0"/>
                <w:sz w:val="19"/>
                <w:szCs w:val="19"/>
              </w:rPr>
            </w:pPr>
            <w:r w:rsidRPr="002E63ED">
              <w:rPr>
                <w:b w:val="0"/>
                <w:sz w:val="19"/>
                <w:szCs w:val="19"/>
              </w:rPr>
              <w:t>Floodplain</w:t>
            </w:r>
          </w:p>
        </w:tc>
        <w:tc>
          <w:tcPr>
            <w:tcW w:w="2041" w:type="dxa"/>
            <w:shd w:val="clear" w:color="auto" w:fill="auto"/>
          </w:tcPr>
          <w:p w14:paraId="4397E4AF" w14:textId="77777777" w:rsidR="00FA1F5B" w:rsidRPr="002E63ED" w:rsidRDefault="00FA1F5B" w:rsidP="007E5224">
            <w:pPr>
              <w:spacing w:before="40" w:after="4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Plushes Bend</w:t>
            </w:r>
          </w:p>
        </w:tc>
        <w:tc>
          <w:tcPr>
            <w:tcW w:w="1077" w:type="dxa"/>
            <w:shd w:val="clear" w:color="auto" w:fill="auto"/>
          </w:tcPr>
          <w:p w14:paraId="352CD56E"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244</w:t>
            </w:r>
          </w:p>
        </w:tc>
        <w:tc>
          <w:tcPr>
            <w:tcW w:w="1134" w:type="dxa"/>
            <w:shd w:val="clear" w:color="auto" w:fill="auto"/>
          </w:tcPr>
          <w:p w14:paraId="1404BE39"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5</w:t>
            </w:r>
          </w:p>
        </w:tc>
        <w:tc>
          <w:tcPr>
            <w:tcW w:w="1276" w:type="dxa"/>
            <w:shd w:val="clear" w:color="auto" w:fill="auto"/>
          </w:tcPr>
          <w:p w14:paraId="15023B58"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lang w:val="en-AU"/>
              </w:rPr>
              <w:t>2010/11</w:t>
            </w:r>
          </w:p>
        </w:tc>
        <w:tc>
          <w:tcPr>
            <w:tcW w:w="1701" w:type="dxa"/>
            <w:shd w:val="clear" w:color="auto" w:fill="auto"/>
          </w:tcPr>
          <w:p w14:paraId="11AB6002"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0.711023</w:t>
            </w:r>
          </w:p>
        </w:tc>
      </w:tr>
      <w:tr w:rsidR="00FA1F5B" w:rsidRPr="002E63ED" w14:paraId="5A76CD57" w14:textId="77777777" w:rsidTr="000F2E0B">
        <w:trPr>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660D5097" w14:textId="77777777" w:rsidR="00FA1F5B" w:rsidRPr="002E63ED" w:rsidRDefault="00FA1F5B" w:rsidP="007E5224">
            <w:pPr>
              <w:spacing w:before="40" w:after="40" w:line="240" w:lineRule="auto"/>
              <w:rPr>
                <w:b w:val="0"/>
                <w:sz w:val="19"/>
                <w:szCs w:val="19"/>
              </w:rPr>
            </w:pPr>
            <w:r w:rsidRPr="002E63ED">
              <w:rPr>
                <w:b w:val="0"/>
                <w:sz w:val="19"/>
                <w:szCs w:val="19"/>
              </w:rPr>
              <w:t>Floodplain</w:t>
            </w:r>
          </w:p>
        </w:tc>
        <w:tc>
          <w:tcPr>
            <w:tcW w:w="2041" w:type="dxa"/>
            <w:shd w:val="clear" w:color="auto" w:fill="auto"/>
          </w:tcPr>
          <w:p w14:paraId="27D99CAE" w14:textId="77777777" w:rsidR="00FA1F5B" w:rsidRPr="002E63ED" w:rsidRDefault="00FA1F5B" w:rsidP="007E5224">
            <w:pPr>
              <w:spacing w:before="40" w:after="4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Plushes Bend</w:t>
            </w:r>
          </w:p>
        </w:tc>
        <w:tc>
          <w:tcPr>
            <w:tcW w:w="1077" w:type="dxa"/>
            <w:shd w:val="clear" w:color="auto" w:fill="auto"/>
          </w:tcPr>
          <w:p w14:paraId="625C814C"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281</w:t>
            </w:r>
          </w:p>
        </w:tc>
        <w:tc>
          <w:tcPr>
            <w:tcW w:w="1134" w:type="dxa"/>
            <w:shd w:val="clear" w:color="auto" w:fill="auto"/>
          </w:tcPr>
          <w:p w14:paraId="11D92265"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5</w:t>
            </w:r>
          </w:p>
        </w:tc>
        <w:tc>
          <w:tcPr>
            <w:tcW w:w="1276" w:type="dxa"/>
            <w:shd w:val="clear" w:color="auto" w:fill="auto"/>
          </w:tcPr>
          <w:p w14:paraId="520931BD"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lang w:val="en-AU"/>
              </w:rPr>
              <w:t>2010/11</w:t>
            </w:r>
          </w:p>
        </w:tc>
        <w:tc>
          <w:tcPr>
            <w:tcW w:w="1701" w:type="dxa"/>
            <w:shd w:val="clear" w:color="auto" w:fill="auto"/>
          </w:tcPr>
          <w:p w14:paraId="45C61094"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0.709863</w:t>
            </w:r>
          </w:p>
        </w:tc>
      </w:tr>
      <w:tr w:rsidR="00FA1F5B" w:rsidRPr="002E63ED" w14:paraId="6AA177DB" w14:textId="77777777" w:rsidTr="000F2E0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1AB058B3" w14:textId="77777777" w:rsidR="00FA1F5B" w:rsidRPr="002E63ED" w:rsidRDefault="00FA1F5B" w:rsidP="007E5224">
            <w:pPr>
              <w:spacing w:before="40" w:after="40" w:line="240" w:lineRule="auto"/>
              <w:rPr>
                <w:b w:val="0"/>
                <w:sz w:val="19"/>
                <w:szCs w:val="19"/>
              </w:rPr>
            </w:pPr>
            <w:r w:rsidRPr="002E63ED">
              <w:rPr>
                <w:b w:val="0"/>
                <w:sz w:val="19"/>
                <w:szCs w:val="19"/>
              </w:rPr>
              <w:t>Gorge</w:t>
            </w:r>
          </w:p>
        </w:tc>
        <w:tc>
          <w:tcPr>
            <w:tcW w:w="2041" w:type="dxa"/>
            <w:shd w:val="clear" w:color="auto" w:fill="auto"/>
          </w:tcPr>
          <w:p w14:paraId="7A47998D" w14:textId="77777777" w:rsidR="00FA1F5B" w:rsidRPr="002E63ED" w:rsidRDefault="00FA1F5B" w:rsidP="007E5224">
            <w:pPr>
              <w:spacing w:before="40" w:after="4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Swan Reach</w:t>
            </w:r>
          </w:p>
        </w:tc>
        <w:tc>
          <w:tcPr>
            <w:tcW w:w="1077" w:type="dxa"/>
            <w:shd w:val="clear" w:color="auto" w:fill="auto"/>
          </w:tcPr>
          <w:p w14:paraId="27DA9DDA"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361</w:t>
            </w:r>
          </w:p>
        </w:tc>
        <w:tc>
          <w:tcPr>
            <w:tcW w:w="1134" w:type="dxa"/>
            <w:shd w:val="clear" w:color="auto" w:fill="auto"/>
          </w:tcPr>
          <w:p w14:paraId="08E66FC4"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6</w:t>
            </w:r>
          </w:p>
        </w:tc>
        <w:tc>
          <w:tcPr>
            <w:tcW w:w="1276" w:type="dxa"/>
            <w:shd w:val="clear" w:color="auto" w:fill="auto"/>
          </w:tcPr>
          <w:p w14:paraId="0B5A7531"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2009/10</w:t>
            </w:r>
          </w:p>
        </w:tc>
        <w:tc>
          <w:tcPr>
            <w:tcW w:w="1701" w:type="dxa"/>
            <w:shd w:val="clear" w:color="auto" w:fill="auto"/>
          </w:tcPr>
          <w:p w14:paraId="284E9B1D"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0.707497</w:t>
            </w:r>
          </w:p>
        </w:tc>
      </w:tr>
      <w:tr w:rsidR="00FA1F5B" w:rsidRPr="002E63ED" w14:paraId="46A1F140" w14:textId="77777777" w:rsidTr="000F2E0B">
        <w:trPr>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F8001F8" w14:textId="77777777" w:rsidR="00FA1F5B" w:rsidRPr="002E63ED" w:rsidRDefault="00FA1F5B" w:rsidP="007E5224">
            <w:pPr>
              <w:spacing w:before="40" w:after="40" w:line="240" w:lineRule="auto"/>
              <w:rPr>
                <w:b w:val="0"/>
                <w:sz w:val="19"/>
                <w:szCs w:val="19"/>
              </w:rPr>
            </w:pPr>
            <w:r w:rsidRPr="002E63ED">
              <w:rPr>
                <w:b w:val="0"/>
                <w:sz w:val="19"/>
                <w:szCs w:val="19"/>
              </w:rPr>
              <w:t>Gorge</w:t>
            </w:r>
          </w:p>
        </w:tc>
        <w:tc>
          <w:tcPr>
            <w:tcW w:w="2041" w:type="dxa"/>
            <w:shd w:val="clear" w:color="auto" w:fill="auto"/>
          </w:tcPr>
          <w:p w14:paraId="7CD87922" w14:textId="77777777" w:rsidR="00FA1F5B" w:rsidRPr="002E63ED" w:rsidRDefault="00FA1F5B" w:rsidP="007E5224">
            <w:pPr>
              <w:spacing w:before="40" w:after="4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Caurnamont</w:t>
            </w:r>
          </w:p>
        </w:tc>
        <w:tc>
          <w:tcPr>
            <w:tcW w:w="1077" w:type="dxa"/>
            <w:shd w:val="clear" w:color="auto" w:fill="auto"/>
          </w:tcPr>
          <w:p w14:paraId="17ABF8BA"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409</w:t>
            </w:r>
          </w:p>
        </w:tc>
        <w:tc>
          <w:tcPr>
            <w:tcW w:w="1134" w:type="dxa"/>
            <w:shd w:val="clear" w:color="auto" w:fill="auto"/>
          </w:tcPr>
          <w:p w14:paraId="3B71B649" w14:textId="7616840A"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6</w:t>
            </w:r>
            <w:r w:rsidR="006F522F" w:rsidRPr="002E63ED">
              <w:rPr>
                <w:sz w:val="19"/>
                <w:szCs w:val="19"/>
              </w:rPr>
              <w:t>*</w:t>
            </w:r>
          </w:p>
        </w:tc>
        <w:tc>
          <w:tcPr>
            <w:tcW w:w="1276" w:type="dxa"/>
            <w:shd w:val="clear" w:color="auto" w:fill="auto"/>
          </w:tcPr>
          <w:p w14:paraId="146AE9A3"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lang w:val="en-AU"/>
              </w:rPr>
              <w:t>2009/10</w:t>
            </w:r>
          </w:p>
        </w:tc>
        <w:tc>
          <w:tcPr>
            <w:tcW w:w="1701" w:type="dxa"/>
            <w:shd w:val="clear" w:color="auto" w:fill="auto"/>
          </w:tcPr>
          <w:p w14:paraId="6491C0E5"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0.707277</w:t>
            </w:r>
          </w:p>
        </w:tc>
      </w:tr>
      <w:tr w:rsidR="00FA1F5B" w:rsidRPr="002E63ED" w14:paraId="3ED4FDAE" w14:textId="77777777" w:rsidTr="000F2E0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DB0F8D8" w14:textId="77777777" w:rsidR="00FA1F5B" w:rsidRPr="002E63ED" w:rsidRDefault="00FA1F5B" w:rsidP="007E5224">
            <w:pPr>
              <w:spacing w:before="40" w:after="40" w:line="240" w:lineRule="auto"/>
              <w:rPr>
                <w:b w:val="0"/>
                <w:sz w:val="19"/>
                <w:szCs w:val="19"/>
              </w:rPr>
            </w:pPr>
            <w:r w:rsidRPr="002E63ED">
              <w:rPr>
                <w:b w:val="0"/>
                <w:sz w:val="19"/>
                <w:szCs w:val="19"/>
              </w:rPr>
              <w:t>Gorge</w:t>
            </w:r>
          </w:p>
        </w:tc>
        <w:tc>
          <w:tcPr>
            <w:tcW w:w="2041" w:type="dxa"/>
            <w:shd w:val="clear" w:color="auto" w:fill="auto"/>
          </w:tcPr>
          <w:p w14:paraId="19475315" w14:textId="77777777" w:rsidR="00FA1F5B" w:rsidRPr="002E63ED" w:rsidRDefault="00FA1F5B" w:rsidP="007E5224">
            <w:pPr>
              <w:spacing w:before="40" w:after="4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Cadell</w:t>
            </w:r>
          </w:p>
        </w:tc>
        <w:tc>
          <w:tcPr>
            <w:tcW w:w="1077" w:type="dxa"/>
            <w:shd w:val="clear" w:color="auto" w:fill="auto"/>
          </w:tcPr>
          <w:p w14:paraId="604B1396"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272</w:t>
            </w:r>
          </w:p>
        </w:tc>
        <w:tc>
          <w:tcPr>
            <w:tcW w:w="1134" w:type="dxa"/>
            <w:shd w:val="clear" w:color="auto" w:fill="auto"/>
          </w:tcPr>
          <w:p w14:paraId="3B3B3BDB" w14:textId="0ADDFE56"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6</w:t>
            </w:r>
            <w:r w:rsidR="006F522F" w:rsidRPr="002E63ED">
              <w:rPr>
                <w:sz w:val="19"/>
                <w:szCs w:val="19"/>
              </w:rPr>
              <w:t>*</w:t>
            </w:r>
          </w:p>
        </w:tc>
        <w:tc>
          <w:tcPr>
            <w:tcW w:w="1276" w:type="dxa"/>
            <w:shd w:val="clear" w:color="auto" w:fill="auto"/>
          </w:tcPr>
          <w:p w14:paraId="6A741CA5"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lang w:val="en-AU"/>
              </w:rPr>
              <w:t>2009/10</w:t>
            </w:r>
          </w:p>
        </w:tc>
        <w:tc>
          <w:tcPr>
            <w:tcW w:w="1701" w:type="dxa"/>
            <w:shd w:val="clear" w:color="auto" w:fill="auto"/>
          </w:tcPr>
          <w:p w14:paraId="037BC8DA"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0.708859</w:t>
            </w:r>
          </w:p>
        </w:tc>
      </w:tr>
      <w:tr w:rsidR="00FA1F5B" w:rsidRPr="002E63ED" w14:paraId="72D78AF4" w14:textId="77777777" w:rsidTr="000F2E0B">
        <w:trPr>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0C14D5AE" w14:textId="77777777" w:rsidR="00FA1F5B" w:rsidRPr="002E63ED" w:rsidRDefault="00FA1F5B" w:rsidP="007E5224">
            <w:pPr>
              <w:spacing w:before="40" w:after="40" w:line="240" w:lineRule="auto"/>
              <w:rPr>
                <w:b w:val="0"/>
                <w:sz w:val="19"/>
                <w:szCs w:val="19"/>
              </w:rPr>
            </w:pPr>
            <w:r w:rsidRPr="002E63ED">
              <w:rPr>
                <w:b w:val="0"/>
                <w:sz w:val="19"/>
                <w:szCs w:val="19"/>
              </w:rPr>
              <w:t>Gorge</w:t>
            </w:r>
          </w:p>
        </w:tc>
        <w:tc>
          <w:tcPr>
            <w:tcW w:w="2041" w:type="dxa"/>
            <w:shd w:val="clear" w:color="auto" w:fill="auto"/>
          </w:tcPr>
          <w:p w14:paraId="1656230B" w14:textId="77777777" w:rsidR="00FA1F5B" w:rsidRPr="002E63ED" w:rsidRDefault="00FA1F5B" w:rsidP="007E5224">
            <w:pPr>
              <w:spacing w:before="40" w:after="4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Blanchetown</w:t>
            </w:r>
          </w:p>
        </w:tc>
        <w:tc>
          <w:tcPr>
            <w:tcW w:w="1077" w:type="dxa"/>
            <w:shd w:val="clear" w:color="auto" w:fill="auto"/>
          </w:tcPr>
          <w:p w14:paraId="018B24A2"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350</w:t>
            </w:r>
          </w:p>
        </w:tc>
        <w:tc>
          <w:tcPr>
            <w:tcW w:w="1134" w:type="dxa"/>
            <w:shd w:val="clear" w:color="auto" w:fill="auto"/>
          </w:tcPr>
          <w:p w14:paraId="520900D7"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6</w:t>
            </w:r>
          </w:p>
        </w:tc>
        <w:tc>
          <w:tcPr>
            <w:tcW w:w="1276" w:type="dxa"/>
            <w:shd w:val="clear" w:color="auto" w:fill="auto"/>
          </w:tcPr>
          <w:p w14:paraId="3E721578"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lang w:val="en-AU"/>
              </w:rPr>
              <w:t>2009/10</w:t>
            </w:r>
          </w:p>
        </w:tc>
        <w:tc>
          <w:tcPr>
            <w:tcW w:w="1701" w:type="dxa"/>
            <w:shd w:val="clear" w:color="auto" w:fill="auto"/>
          </w:tcPr>
          <w:p w14:paraId="39AE67F9"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0.708269</w:t>
            </w:r>
          </w:p>
        </w:tc>
      </w:tr>
      <w:tr w:rsidR="00FA1F5B" w:rsidRPr="002E63ED" w14:paraId="283EA941" w14:textId="77777777" w:rsidTr="000F2E0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51FAA821" w14:textId="77777777" w:rsidR="00FA1F5B" w:rsidRPr="002E63ED" w:rsidRDefault="00FA1F5B" w:rsidP="007E5224">
            <w:pPr>
              <w:spacing w:before="40" w:after="40" w:line="240" w:lineRule="auto"/>
              <w:rPr>
                <w:b w:val="0"/>
                <w:sz w:val="19"/>
                <w:szCs w:val="19"/>
              </w:rPr>
            </w:pPr>
            <w:r w:rsidRPr="002E63ED">
              <w:rPr>
                <w:b w:val="0"/>
                <w:sz w:val="19"/>
                <w:szCs w:val="19"/>
              </w:rPr>
              <w:t>Gorge</w:t>
            </w:r>
          </w:p>
        </w:tc>
        <w:tc>
          <w:tcPr>
            <w:tcW w:w="2041" w:type="dxa"/>
            <w:shd w:val="clear" w:color="auto" w:fill="auto"/>
          </w:tcPr>
          <w:p w14:paraId="1810CCA3" w14:textId="77777777" w:rsidR="00FA1F5B" w:rsidRPr="002E63ED" w:rsidRDefault="00FA1F5B" w:rsidP="007E5224">
            <w:pPr>
              <w:spacing w:before="40" w:after="4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Scott's Creek</w:t>
            </w:r>
          </w:p>
        </w:tc>
        <w:tc>
          <w:tcPr>
            <w:tcW w:w="1077" w:type="dxa"/>
            <w:shd w:val="clear" w:color="auto" w:fill="auto"/>
          </w:tcPr>
          <w:p w14:paraId="57874A1A"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347</w:t>
            </w:r>
          </w:p>
        </w:tc>
        <w:tc>
          <w:tcPr>
            <w:tcW w:w="1134" w:type="dxa"/>
            <w:shd w:val="clear" w:color="auto" w:fill="auto"/>
          </w:tcPr>
          <w:p w14:paraId="7C32ACD2"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6</w:t>
            </w:r>
          </w:p>
        </w:tc>
        <w:tc>
          <w:tcPr>
            <w:tcW w:w="1276" w:type="dxa"/>
            <w:shd w:val="clear" w:color="auto" w:fill="auto"/>
          </w:tcPr>
          <w:p w14:paraId="3F1CEB47"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lang w:val="en-AU"/>
              </w:rPr>
              <w:t>2009/10</w:t>
            </w:r>
          </w:p>
        </w:tc>
        <w:tc>
          <w:tcPr>
            <w:tcW w:w="1701" w:type="dxa"/>
            <w:shd w:val="clear" w:color="auto" w:fill="auto"/>
          </w:tcPr>
          <w:p w14:paraId="537AC75A"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0.707678</w:t>
            </w:r>
          </w:p>
        </w:tc>
      </w:tr>
      <w:tr w:rsidR="00FA1F5B" w:rsidRPr="002E63ED" w14:paraId="40481B81" w14:textId="77777777" w:rsidTr="000F2E0B">
        <w:trPr>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06EFE920" w14:textId="77777777" w:rsidR="00FA1F5B" w:rsidRPr="002E63ED" w:rsidRDefault="00FA1F5B" w:rsidP="007E5224">
            <w:pPr>
              <w:spacing w:before="40" w:after="40" w:line="240" w:lineRule="auto"/>
              <w:rPr>
                <w:b w:val="0"/>
                <w:sz w:val="19"/>
                <w:szCs w:val="19"/>
              </w:rPr>
            </w:pPr>
            <w:r w:rsidRPr="002E63ED">
              <w:rPr>
                <w:b w:val="0"/>
                <w:sz w:val="19"/>
                <w:szCs w:val="19"/>
              </w:rPr>
              <w:t>Floodplain</w:t>
            </w:r>
          </w:p>
        </w:tc>
        <w:tc>
          <w:tcPr>
            <w:tcW w:w="2041" w:type="dxa"/>
            <w:shd w:val="clear" w:color="auto" w:fill="auto"/>
          </w:tcPr>
          <w:p w14:paraId="3CCF212E" w14:textId="77777777" w:rsidR="00FA1F5B" w:rsidRPr="002E63ED" w:rsidRDefault="00FA1F5B" w:rsidP="007E5224">
            <w:pPr>
              <w:spacing w:before="40" w:after="4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Murtho Forest</w:t>
            </w:r>
          </w:p>
        </w:tc>
        <w:tc>
          <w:tcPr>
            <w:tcW w:w="1077" w:type="dxa"/>
            <w:shd w:val="clear" w:color="auto" w:fill="auto"/>
          </w:tcPr>
          <w:p w14:paraId="7138B028"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298</w:t>
            </w:r>
          </w:p>
        </w:tc>
        <w:tc>
          <w:tcPr>
            <w:tcW w:w="1134" w:type="dxa"/>
            <w:shd w:val="clear" w:color="auto" w:fill="auto"/>
          </w:tcPr>
          <w:p w14:paraId="26CAF58E" w14:textId="3D73A13B"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6</w:t>
            </w:r>
            <w:r w:rsidR="00C449CE" w:rsidRPr="002E63ED">
              <w:rPr>
                <w:sz w:val="19"/>
                <w:szCs w:val="19"/>
              </w:rPr>
              <w:t>*</w:t>
            </w:r>
          </w:p>
        </w:tc>
        <w:tc>
          <w:tcPr>
            <w:tcW w:w="1276" w:type="dxa"/>
            <w:shd w:val="clear" w:color="auto" w:fill="auto"/>
          </w:tcPr>
          <w:p w14:paraId="533B0859"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lang w:val="en-AU"/>
              </w:rPr>
              <w:t>2009/10</w:t>
            </w:r>
          </w:p>
        </w:tc>
        <w:tc>
          <w:tcPr>
            <w:tcW w:w="1701" w:type="dxa"/>
            <w:shd w:val="clear" w:color="auto" w:fill="auto"/>
          </w:tcPr>
          <w:p w14:paraId="1ABC2E47"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0.707702</w:t>
            </w:r>
          </w:p>
        </w:tc>
      </w:tr>
      <w:tr w:rsidR="00FA1F5B" w:rsidRPr="002E63ED" w14:paraId="42CBB2AB" w14:textId="77777777" w:rsidTr="000F2E0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2954092B" w14:textId="77777777" w:rsidR="00FA1F5B" w:rsidRPr="002E63ED" w:rsidRDefault="00FA1F5B" w:rsidP="007E5224">
            <w:pPr>
              <w:spacing w:before="40" w:after="40" w:line="240" w:lineRule="auto"/>
              <w:rPr>
                <w:b w:val="0"/>
                <w:sz w:val="19"/>
                <w:szCs w:val="19"/>
              </w:rPr>
            </w:pPr>
            <w:r w:rsidRPr="002E63ED">
              <w:rPr>
                <w:b w:val="0"/>
                <w:sz w:val="19"/>
                <w:szCs w:val="19"/>
              </w:rPr>
              <w:t>Floodplain</w:t>
            </w:r>
          </w:p>
        </w:tc>
        <w:tc>
          <w:tcPr>
            <w:tcW w:w="2041" w:type="dxa"/>
            <w:shd w:val="clear" w:color="auto" w:fill="auto"/>
          </w:tcPr>
          <w:p w14:paraId="17F08047" w14:textId="77777777" w:rsidR="00FA1F5B" w:rsidRPr="002E63ED" w:rsidRDefault="00FA1F5B" w:rsidP="007E5224">
            <w:pPr>
              <w:spacing w:before="40" w:after="4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Murtho Forest</w:t>
            </w:r>
          </w:p>
        </w:tc>
        <w:tc>
          <w:tcPr>
            <w:tcW w:w="1077" w:type="dxa"/>
            <w:shd w:val="clear" w:color="auto" w:fill="auto"/>
          </w:tcPr>
          <w:p w14:paraId="0075EC7A"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369</w:t>
            </w:r>
          </w:p>
        </w:tc>
        <w:tc>
          <w:tcPr>
            <w:tcW w:w="1134" w:type="dxa"/>
            <w:shd w:val="clear" w:color="auto" w:fill="auto"/>
          </w:tcPr>
          <w:p w14:paraId="46FDBF24"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6</w:t>
            </w:r>
          </w:p>
        </w:tc>
        <w:tc>
          <w:tcPr>
            <w:tcW w:w="1276" w:type="dxa"/>
            <w:shd w:val="clear" w:color="auto" w:fill="auto"/>
          </w:tcPr>
          <w:p w14:paraId="0F9A921D"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lang w:val="en-AU"/>
              </w:rPr>
              <w:t>2009/10</w:t>
            </w:r>
          </w:p>
        </w:tc>
        <w:tc>
          <w:tcPr>
            <w:tcW w:w="1701" w:type="dxa"/>
            <w:shd w:val="clear" w:color="auto" w:fill="auto"/>
          </w:tcPr>
          <w:p w14:paraId="37E40CCC"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0.709794</w:t>
            </w:r>
          </w:p>
        </w:tc>
      </w:tr>
      <w:tr w:rsidR="00FA1F5B" w:rsidRPr="002E63ED" w14:paraId="5677BB2D" w14:textId="77777777" w:rsidTr="000F2E0B">
        <w:trPr>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1B922BAE" w14:textId="77777777" w:rsidR="00FA1F5B" w:rsidRPr="002E63ED" w:rsidRDefault="00FA1F5B" w:rsidP="007E5224">
            <w:pPr>
              <w:spacing w:before="40" w:after="40" w:line="240" w:lineRule="auto"/>
              <w:rPr>
                <w:b w:val="0"/>
                <w:sz w:val="19"/>
                <w:szCs w:val="19"/>
              </w:rPr>
            </w:pPr>
            <w:r w:rsidRPr="002E63ED">
              <w:rPr>
                <w:b w:val="0"/>
                <w:sz w:val="19"/>
                <w:szCs w:val="19"/>
              </w:rPr>
              <w:t>Floodplain</w:t>
            </w:r>
          </w:p>
        </w:tc>
        <w:tc>
          <w:tcPr>
            <w:tcW w:w="2041" w:type="dxa"/>
            <w:shd w:val="clear" w:color="auto" w:fill="auto"/>
          </w:tcPr>
          <w:p w14:paraId="51A278B8" w14:textId="77777777" w:rsidR="00FA1F5B" w:rsidRPr="002E63ED" w:rsidRDefault="00FA1F5B" w:rsidP="007E5224">
            <w:pPr>
              <w:spacing w:before="40" w:after="4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Rili Island</w:t>
            </w:r>
          </w:p>
        </w:tc>
        <w:tc>
          <w:tcPr>
            <w:tcW w:w="1077" w:type="dxa"/>
            <w:shd w:val="clear" w:color="auto" w:fill="auto"/>
          </w:tcPr>
          <w:p w14:paraId="60FE01C2"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297</w:t>
            </w:r>
          </w:p>
        </w:tc>
        <w:tc>
          <w:tcPr>
            <w:tcW w:w="1134" w:type="dxa"/>
            <w:shd w:val="clear" w:color="auto" w:fill="auto"/>
          </w:tcPr>
          <w:p w14:paraId="0B96644B"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6</w:t>
            </w:r>
          </w:p>
        </w:tc>
        <w:tc>
          <w:tcPr>
            <w:tcW w:w="1276" w:type="dxa"/>
            <w:shd w:val="clear" w:color="auto" w:fill="auto"/>
          </w:tcPr>
          <w:p w14:paraId="23924B8B"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lang w:val="en-AU"/>
              </w:rPr>
              <w:t>2009/10</w:t>
            </w:r>
          </w:p>
        </w:tc>
        <w:tc>
          <w:tcPr>
            <w:tcW w:w="1701" w:type="dxa"/>
            <w:shd w:val="clear" w:color="auto" w:fill="auto"/>
          </w:tcPr>
          <w:p w14:paraId="3E68D31C"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0.707500</w:t>
            </w:r>
          </w:p>
        </w:tc>
      </w:tr>
      <w:tr w:rsidR="00FA1F5B" w:rsidRPr="002E63ED" w14:paraId="542C6A45" w14:textId="77777777" w:rsidTr="000F2E0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A549DAA" w14:textId="77777777" w:rsidR="00FA1F5B" w:rsidRPr="002E63ED" w:rsidRDefault="00FA1F5B" w:rsidP="007E5224">
            <w:pPr>
              <w:spacing w:before="40" w:after="40" w:line="240" w:lineRule="auto"/>
              <w:rPr>
                <w:b w:val="0"/>
                <w:sz w:val="19"/>
                <w:szCs w:val="19"/>
              </w:rPr>
            </w:pPr>
            <w:r w:rsidRPr="002E63ED">
              <w:rPr>
                <w:b w:val="0"/>
                <w:sz w:val="19"/>
                <w:szCs w:val="19"/>
              </w:rPr>
              <w:t>Floodplain</w:t>
            </w:r>
          </w:p>
        </w:tc>
        <w:tc>
          <w:tcPr>
            <w:tcW w:w="2041" w:type="dxa"/>
            <w:shd w:val="clear" w:color="auto" w:fill="auto"/>
          </w:tcPr>
          <w:p w14:paraId="2B316750" w14:textId="77777777" w:rsidR="00FA1F5B" w:rsidRPr="002E63ED" w:rsidRDefault="00FA1F5B" w:rsidP="007E5224">
            <w:pPr>
              <w:spacing w:before="40" w:after="4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Plushes Bend</w:t>
            </w:r>
          </w:p>
        </w:tc>
        <w:tc>
          <w:tcPr>
            <w:tcW w:w="1077" w:type="dxa"/>
            <w:shd w:val="clear" w:color="auto" w:fill="auto"/>
          </w:tcPr>
          <w:p w14:paraId="215538C3"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372</w:t>
            </w:r>
          </w:p>
        </w:tc>
        <w:tc>
          <w:tcPr>
            <w:tcW w:w="1134" w:type="dxa"/>
            <w:shd w:val="clear" w:color="auto" w:fill="auto"/>
          </w:tcPr>
          <w:p w14:paraId="5D6F5C5E"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6</w:t>
            </w:r>
          </w:p>
        </w:tc>
        <w:tc>
          <w:tcPr>
            <w:tcW w:w="1276" w:type="dxa"/>
            <w:shd w:val="clear" w:color="auto" w:fill="auto"/>
          </w:tcPr>
          <w:p w14:paraId="14375F96"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lang w:val="en-AU"/>
              </w:rPr>
              <w:t>2009/10</w:t>
            </w:r>
          </w:p>
        </w:tc>
        <w:tc>
          <w:tcPr>
            <w:tcW w:w="1701" w:type="dxa"/>
            <w:shd w:val="clear" w:color="auto" w:fill="auto"/>
          </w:tcPr>
          <w:p w14:paraId="2B5AC460"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0.707585</w:t>
            </w:r>
          </w:p>
        </w:tc>
      </w:tr>
      <w:tr w:rsidR="00FA1F5B" w:rsidRPr="002E63ED" w14:paraId="6B99CE07" w14:textId="77777777" w:rsidTr="000F2E0B">
        <w:trPr>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6F5B946" w14:textId="77777777" w:rsidR="00FA1F5B" w:rsidRPr="002E63ED" w:rsidRDefault="00FA1F5B" w:rsidP="007E5224">
            <w:pPr>
              <w:spacing w:before="40" w:after="40" w:line="240" w:lineRule="auto"/>
              <w:rPr>
                <w:b w:val="0"/>
                <w:sz w:val="19"/>
                <w:szCs w:val="19"/>
              </w:rPr>
            </w:pPr>
            <w:r w:rsidRPr="002E63ED">
              <w:rPr>
                <w:b w:val="0"/>
                <w:sz w:val="19"/>
                <w:szCs w:val="19"/>
              </w:rPr>
              <w:t>Floodplain</w:t>
            </w:r>
          </w:p>
        </w:tc>
        <w:tc>
          <w:tcPr>
            <w:tcW w:w="2041" w:type="dxa"/>
            <w:shd w:val="clear" w:color="auto" w:fill="auto"/>
          </w:tcPr>
          <w:p w14:paraId="5BD194F6" w14:textId="77777777" w:rsidR="00FA1F5B" w:rsidRPr="002E63ED" w:rsidRDefault="00FA1F5B" w:rsidP="007E5224">
            <w:pPr>
              <w:spacing w:before="40" w:after="4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Plushes Bend</w:t>
            </w:r>
          </w:p>
        </w:tc>
        <w:tc>
          <w:tcPr>
            <w:tcW w:w="1077" w:type="dxa"/>
            <w:shd w:val="clear" w:color="auto" w:fill="auto"/>
          </w:tcPr>
          <w:p w14:paraId="124C75BD"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393</w:t>
            </w:r>
          </w:p>
        </w:tc>
        <w:tc>
          <w:tcPr>
            <w:tcW w:w="1134" w:type="dxa"/>
            <w:shd w:val="clear" w:color="auto" w:fill="auto"/>
          </w:tcPr>
          <w:p w14:paraId="1A4D9B5F"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6</w:t>
            </w:r>
          </w:p>
        </w:tc>
        <w:tc>
          <w:tcPr>
            <w:tcW w:w="1276" w:type="dxa"/>
            <w:shd w:val="clear" w:color="auto" w:fill="auto"/>
          </w:tcPr>
          <w:p w14:paraId="2E4E3878"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lang w:val="en-AU"/>
              </w:rPr>
              <w:t>2009/10</w:t>
            </w:r>
          </w:p>
        </w:tc>
        <w:tc>
          <w:tcPr>
            <w:tcW w:w="1701" w:type="dxa"/>
            <w:shd w:val="clear" w:color="auto" w:fill="auto"/>
          </w:tcPr>
          <w:p w14:paraId="09D92CD6"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0.707620</w:t>
            </w:r>
          </w:p>
        </w:tc>
      </w:tr>
      <w:tr w:rsidR="00FA1F5B" w:rsidRPr="002E63ED" w14:paraId="200C13C2" w14:textId="77777777" w:rsidTr="000F2E0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0681DCE8" w14:textId="77777777" w:rsidR="00FA1F5B" w:rsidRPr="002E63ED" w:rsidRDefault="00FA1F5B" w:rsidP="007E5224">
            <w:pPr>
              <w:spacing w:before="40" w:after="40" w:line="240" w:lineRule="auto"/>
              <w:rPr>
                <w:b w:val="0"/>
                <w:sz w:val="19"/>
                <w:szCs w:val="19"/>
              </w:rPr>
            </w:pPr>
            <w:r w:rsidRPr="002E63ED">
              <w:rPr>
                <w:b w:val="0"/>
                <w:sz w:val="19"/>
                <w:szCs w:val="19"/>
              </w:rPr>
              <w:t>Gorge</w:t>
            </w:r>
          </w:p>
        </w:tc>
        <w:tc>
          <w:tcPr>
            <w:tcW w:w="2041" w:type="dxa"/>
            <w:shd w:val="clear" w:color="auto" w:fill="auto"/>
          </w:tcPr>
          <w:p w14:paraId="3F045539" w14:textId="77777777" w:rsidR="00FA1F5B" w:rsidRPr="002E63ED" w:rsidRDefault="00FA1F5B" w:rsidP="007E5224">
            <w:pPr>
              <w:spacing w:before="40" w:after="4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Swan Reach</w:t>
            </w:r>
          </w:p>
        </w:tc>
        <w:tc>
          <w:tcPr>
            <w:tcW w:w="1077" w:type="dxa"/>
            <w:shd w:val="clear" w:color="auto" w:fill="auto"/>
          </w:tcPr>
          <w:p w14:paraId="2446343D"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362</w:t>
            </w:r>
          </w:p>
        </w:tc>
        <w:tc>
          <w:tcPr>
            <w:tcW w:w="1134" w:type="dxa"/>
            <w:shd w:val="clear" w:color="auto" w:fill="auto"/>
          </w:tcPr>
          <w:p w14:paraId="344EDB68" w14:textId="592EBA65"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19</w:t>
            </w:r>
            <w:r w:rsidR="006F522F" w:rsidRPr="002E63ED">
              <w:rPr>
                <w:sz w:val="19"/>
                <w:szCs w:val="19"/>
              </w:rPr>
              <w:t>*</w:t>
            </w:r>
          </w:p>
        </w:tc>
        <w:tc>
          <w:tcPr>
            <w:tcW w:w="1276" w:type="dxa"/>
            <w:shd w:val="clear" w:color="auto" w:fill="auto"/>
          </w:tcPr>
          <w:p w14:paraId="5043F70D"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1996/97</w:t>
            </w:r>
          </w:p>
        </w:tc>
        <w:tc>
          <w:tcPr>
            <w:tcW w:w="1701" w:type="dxa"/>
            <w:shd w:val="clear" w:color="auto" w:fill="auto"/>
          </w:tcPr>
          <w:p w14:paraId="5A69987F"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0.713399</w:t>
            </w:r>
          </w:p>
        </w:tc>
      </w:tr>
      <w:tr w:rsidR="00FA1F5B" w:rsidRPr="002E63ED" w14:paraId="59701E63" w14:textId="77777777" w:rsidTr="000F2E0B">
        <w:trPr>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0A5EC83B" w14:textId="77777777" w:rsidR="00FA1F5B" w:rsidRPr="002E63ED" w:rsidRDefault="00FA1F5B" w:rsidP="007E5224">
            <w:pPr>
              <w:spacing w:before="40" w:after="40" w:line="240" w:lineRule="auto"/>
              <w:rPr>
                <w:b w:val="0"/>
                <w:sz w:val="19"/>
                <w:szCs w:val="19"/>
              </w:rPr>
            </w:pPr>
            <w:r w:rsidRPr="002E63ED">
              <w:rPr>
                <w:b w:val="0"/>
                <w:sz w:val="19"/>
                <w:szCs w:val="19"/>
              </w:rPr>
              <w:t>Gorge</w:t>
            </w:r>
          </w:p>
        </w:tc>
        <w:tc>
          <w:tcPr>
            <w:tcW w:w="2041" w:type="dxa"/>
            <w:shd w:val="clear" w:color="auto" w:fill="auto"/>
          </w:tcPr>
          <w:p w14:paraId="71342F3C" w14:textId="77777777" w:rsidR="00FA1F5B" w:rsidRPr="002E63ED" w:rsidRDefault="00FA1F5B" w:rsidP="007E5224">
            <w:pPr>
              <w:spacing w:before="40" w:after="4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Caurnamont</w:t>
            </w:r>
          </w:p>
        </w:tc>
        <w:tc>
          <w:tcPr>
            <w:tcW w:w="1077" w:type="dxa"/>
            <w:shd w:val="clear" w:color="auto" w:fill="auto"/>
          </w:tcPr>
          <w:p w14:paraId="7A050CA6"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404</w:t>
            </w:r>
          </w:p>
        </w:tc>
        <w:tc>
          <w:tcPr>
            <w:tcW w:w="1134" w:type="dxa"/>
            <w:shd w:val="clear" w:color="auto" w:fill="auto"/>
          </w:tcPr>
          <w:p w14:paraId="2EC34640" w14:textId="70B1919A"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19</w:t>
            </w:r>
            <w:r w:rsidR="006F522F" w:rsidRPr="002E63ED">
              <w:rPr>
                <w:sz w:val="19"/>
                <w:szCs w:val="19"/>
              </w:rPr>
              <w:t>*</w:t>
            </w:r>
          </w:p>
        </w:tc>
        <w:tc>
          <w:tcPr>
            <w:tcW w:w="1276" w:type="dxa"/>
            <w:shd w:val="clear" w:color="auto" w:fill="auto"/>
          </w:tcPr>
          <w:p w14:paraId="146AC82A"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1996/97</w:t>
            </w:r>
          </w:p>
        </w:tc>
        <w:tc>
          <w:tcPr>
            <w:tcW w:w="1701" w:type="dxa"/>
            <w:shd w:val="clear" w:color="auto" w:fill="auto"/>
          </w:tcPr>
          <w:p w14:paraId="5F8DAE99"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0.713035</w:t>
            </w:r>
          </w:p>
        </w:tc>
      </w:tr>
      <w:tr w:rsidR="00FA1F5B" w:rsidRPr="002E63ED" w14:paraId="4445816F" w14:textId="77777777" w:rsidTr="000F2E0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3D4AB101" w14:textId="77777777" w:rsidR="00FA1F5B" w:rsidRPr="002E63ED" w:rsidRDefault="00FA1F5B" w:rsidP="007E5224">
            <w:pPr>
              <w:spacing w:before="40" w:after="40" w:line="240" w:lineRule="auto"/>
              <w:rPr>
                <w:b w:val="0"/>
                <w:sz w:val="19"/>
                <w:szCs w:val="19"/>
              </w:rPr>
            </w:pPr>
            <w:r w:rsidRPr="002E63ED">
              <w:rPr>
                <w:b w:val="0"/>
                <w:sz w:val="19"/>
                <w:szCs w:val="19"/>
              </w:rPr>
              <w:t>Gorge</w:t>
            </w:r>
          </w:p>
        </w:tc>
        <w:tc>
          <w:tcPr>
            <w:tcW w:w="2041" w:type="dxa"/>
            <w:shd w:val="clear" w:color="auto" w:fill="auto"/>
          </w:tcPr>
          <w:p w14:paraId="7575428F" w14:textId="77777777" w:rsidR="00FA1F5B" w:rsidRPr="002E63ED" w:rsidRDefault="00FA1F5B" w:rsidP="007E5224">
            <w:pPr>
              <w:spacing w:before="40" w:after="4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Overland Corner</w:t>
            </w:r>
          </w:p>
        </w:tc>
        <w:tc>
          <w:tcPr>
            <w:tcW w:w="1077" w:type="dxa"/>
            <w:shd w:val="clear" w:color="auto" w:fill="auto"/>
          </w:tcPr>
          <w:p w14:paraId="2E8767EE"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373</w:t>
            </w:r>
          </w:p>
        </w:tc>
        <w:tc>
          <w:tcPr>
            <w:tcW w:w="1134" w:type="dxa"/>
            <w:shd w:val="clear" w:color="auto" w:fill="auto"/>
          </w:tcPr>
          <w:p w14:paraId="1BAAD23B"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19</w:t>
            </w:r>
          </w:p>
        </w:tc>
        <w:tc>
          <w:tcPr>
            <w:tcW w:w="1276" w:type="dxa"/>
            <w:shd w:val="clear" w:color="auto" w:fill="auto"/>
          </w:tcPr>
          <w:p w14:paraId="034FE0D4"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1996/97</w:t>
            </w:r>
          </w:p>
        </w:tc>
        <w:tc>
          <w:tcPr>
            <w:tcW w:w="1701" w:type="dxa"/>
            <w:shd w:val="clear" w:color="auto" w:fill="auto"/>
          </w:tcPr>
          <w:p w14:paraId="2A70CBC1"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0.713269</w:t>
            </w:r>
          </w:p>
        </w:tc>
      </w:tr>
      <w:tr w:rsidR="00FA1F5B" w:rsidRPr="002E63ED" w14:paraId="47AD1174" w14:textId="77777777" w:rsidTr="000F2E0B">
        <w:trPr>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39835365" w14:textId="77777777" w:rsidR="00FA1F5B" w:rsidRPr="002E63ED" w:rsidRDefault="00FA1F5B" w:rsidP="007E5224">
            <w:pPr>
              <w:spacing w:before="40" w:after="40" w:line="240" w:lineRule="auto"/>
              <w:rPr>
                <w:b w:val="0"/>
                <w:sz w:val="19"/>
                <w:szCs w:val="19"/>
              </w:rPr>
            </w:pPr>
            <w:r w:rsidRPr="002E63ED">
              <w:rPr>
                <w:b w:val="0"/>
                <w:sz w:val="19"/>
                <w:szCs w:val="19"/>
              </w:rPr>
              <w:t>Gorge</w:t>
            </w:r>
          </w:p>
        </w:tc>
        <w:tc>
          <w:tcPr>
            <w:tcW w:w="2041" w:type="dxa"/>
            <w:shd w:val="clear" w:color="auto" w:fill="auto"/>
          </w:tcPr>
          <w:p w14:paraId="7E231BE2" w14:textId="77777777" w:rsidR="00FA1F5B" w:rsidRPr="002E63ED" w:rsidRDefault="00FA1F5B" w:rsidP="007E5224">
            <w:pPr>
              <w:spacing w:before="40" w:after="4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Cadell</w:t>
            </w:r>
          </w:p>
        </w:tc>
        <w:tc>
          <w:tcPr>
            <w:tcW w:w="1077" w:type="dxa"/>
            <w:shd w:val="clear" w:color="auto" w:fill="auto"/>
          </w:tcPr>
          <w:p w14:paraId="23F1B745"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379</w:t>
            </w:r>
          </w:p>
        </w:tc>
        <w:tc>
          <w:tcPr>
            <w:tcW w:w="1134" w:type="dxa"/>
            <w:shd w:val="clear" w:color="auto" w:fill="auto"/>
          </w:tcPr>
          <w:p w14:paraId="0B10A9D0"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19</w:t>
            </w:r>
          </w:p>
        </w:tc>
        <w:tc>
          <w:tcPr>
            <w:tcW w:w="1276" w:type="dxa"/>
            <w:shd w:val="clear" w:color="auto" w:fill="auto"/>
          </w:tcPr>
          <w:p w14:paraId="194F3894"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1996/97</w:t>
            </w:r>
          </w:p>
        </w:tc>
        <w:tc>
          <w:tcPr>
            <w:tcW w:w="1701" w:type="dxa"/>
            <w:shd w:val="clear" w:color="auto" w:fill="auto"/>
          </w:tcPr>
          <w:p w14:paraId="0F3A3918" w14:textId="77777777" w:rsidR="00FA1F5B" w:rsidRPr="002E63ED" w:rsidRDefault="00FA1F5B" w:rsidP="007E522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0.713561</w:t>
            </w:r>
          </w:p>
        </w:tc>
      </w:tr>
      <w:tr w:rsidR="00FA1F5B" w:rsidRPr="002E63ED" w14:paraId="59C948D2" w14:textId="77777777" w:rsidTr="000F2E0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558370C5" w14:textId="77777777" w:rsidR="00FA1F5B" w:rsidRPr="002E63ED" w:rsidRDefault="00FA1F5B" w:rsidP="007E5224">
            <w:pPr>
              <w:spacing w:before="40" w:after="40" w:line="240" w:lineRule="auto"/>
              <w:rPr>
                <w:b w:val="0"/>
                <w:sz w:val="19"/>
                <w:szCs w:val="19"/>
              </w:rPr>
            </w:pPr>
            <w:r w:rsidRPr="002E63ED">
              <w:rPr>
                <w:b w:val="0"/>
                <w:sz w:val="19"/>
                <w:szCs w:val="19"/>
              </w:rPr>
              <w:t>Gorge</w:t>
            </w:r>
          </w:p>
        </w:tc>
        <w:tc>
          <w:tcPr>
            <w:tcW w:w="2041" w:type="dxa"/>
            <w:shd w:val="clear" w:color="auto" w:fill="auto"/>
          </w:tcPr>
          <w:p w14:paraId="2E8A2968" w14:textId="77777777" w:rsidR="00FA1F5B" w:rsidRPr="002E63ED" w:rsidRDefault="00FA1F5B" w:rsidP="007E5224">
            <w:pPr>
              <w:spacing w:before="40" w:after="4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Blanchetown</w:t>
            </w:r>
          </w:p>
        </w:tc>
        <w:tc>
          <w:tcPr>
            <w:tcW w:w="1077" w:type="dxa"/>
            <w:shd w:val="clear" w:color="auto" w:fill="auto"/>
          </w:tcPr>
          <w:p w14:paraId="05634D95"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413</w:t>
            </w:r>
          </w:p>
        </w:tc>
        <w:tc>
          <w:tcPr>
            <w:tcW w:w="1134" w:type="dxa"/>
            <w:shd w:val="clear" w:color="auto" w:fill="auto"/>
          </w:tcPr>
          <w:p w14:paraId="4DA3F597"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19</w:t>
            </w:r>
          </w:p>
        </w:tc>
        <w:tc>
          <w:tcPr>
            <w:tcW w:w="1276" w:type="dxa"/>
            <w:shd w:val="clear" w:color="auto" w:fill="auto"/>
          </w:tcPr>
          <w:p w14:paraId="26117EFE"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1996/97</w:t>
            </w:r>
          </w:p>
        </w:tc>
        <w:tc>
          <w:tcPr>
            <w:tcW w:w="1701" w:type="dxa"/>
            <w:shd w:val="clear" w:color="auto" w:fill="auto"/>
          </w:tcPr>
          <w:p w14:paraId="0841A7A6" w14:textId="77777777" w:rsidR="00FA1F5B" w:rsidRPr="002E63ED" w:rsidRDefault="00FA1F5B" w:rsidP="007E522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0.713213</w:t>
            </w:r>
          </w:p>
        </w:tc>
      </w:tr>
    </w:tbl>
    <w:p w14:paraId="19FB7F00" w14:textId="77777777" w:rsidR="00FA1F5B" w:rsidRDefault="00FA1F5B" w:rsidP="00FA1F5B"/>
    <w:p w14:paraId="29DA1EBE" w14:textId="767BAE9C" w:rsidR="007E5224" w:rsidRDefault="00E96143" w:rsidP="00FA1F5B">
      <w:pPr>
        <w:spacing w:before="0" w:after="200" w:line="276" w:lineRule="auto"/>
        <w:jc w:val="left"/>
      </w:pPr>
      <w:r w:rsidRPr="00E96143">
        <w:rPr>
          <w:noProof/>
          <w:lang w:eastAsia="en-AU"/>
        </w:rPr>
        <w:lastRenderedPageBreak/>
        <w:drawing>
          <wp:inline distT="0" distB="0" distL="0" distR="0" wp14:anchorId="2D5DDE98" wp14:editId="6F6E5339">
            <wp:extent cx="4846168" cy="6642000"/>
            <wp:effectExtent l="0" t="0" r="0" b="698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6" cstate="email">
                      <a:extLst>
                        <a:ext uri="{28A0092B-C50C-407E-A947-70E740481C1C}">
                          <a14:useLocalDpi xmlns:a14="http://schemas.microsoft.com/office/drawing/2010/main"/>
                        </a:ext>
                      </a:extLst>
                    </a:blip>
                    <a:srcRect l="7899" t="4095" r="3002"/>
                    <a:stretch/>
                  </pic:blipFill>
                  <pic:spPr bwMode="auto">
                    <a:xfrm>
                      <a:off x="0" y="0"/>
                      <a:ext cx="4846168" cy="6642000"/>
                    </a:xfrm>
                    <a:prstGeom prst="rect">
                      <a:avLst/>
                    </a:prstGeom>
                    <a:noFill/>
                    <a:ln>
                      <a:noFill/>
                    </a:ln>
                    <a:extLst>
                      <a:ext uri="{53640926-AAD7-44D8-BBD7-CCE9431645EC}">
                        <a14:shadowObscured xmlns:a14="http://schemas.microsoft.com/office/drawing/2010/main"/>
                      </a:ext>
                    </a:extLst>
                  </pic:spPr>
                </pic:pic>
              </a:graphicData>
            </a:graphic>
          </wp:inline>
        </w:drawing>
      </w:r>
      <w:r w:rsidRPr="00E96143">
        <w:t xml:space="preserve"> </w:t>
      </w:r>
    </w:p>
    <w:p w14:paraId="325F24DB" w14:textId="0AC6CDAC" w:rsidR="00304EF9" w:rsidRDefault="007E5224" w:rsidP="00B46038">
      <w:pPr>
        <w:pStyle w:val="Captions"/>
      </w:pPr>
      <w:r w:rsidRPr="00C94C97">
        <w:t xml:space="preserve">Figure H12. </w:t>
      </w:r>
      <w:r w:rsidR="00C94C97" w:rsidRPr="00C94C97">
        <w:t xml:space="preserve">(a) </w:t>
      </w:r>
      <w:r w:rsidRPr="00C94C97">
        <w:t xml:space="preserve">Mean </w:t>
      </w:r>
      <w:r w:rsidR="00082995" w:rsidRPr="00C94C97">
        <w:rPr>
          <w:vertAlign w:val="superscript"/>
        </w:rPr>
        <w:t>87</w:t>
      </w:r>
      <w:r w:rsidR="00082995" w:rsidRPr="00C94C97">
        <w:t>Sr/</w:t>
      </w:r>
      <w:r w:rsidR="00082995" w:rsidRPr="00C94C97">
        <w:rPr>
          <w:vertAlign w:val="superscript"/>
        </w:rPr>
        <w:t>86</w:t>
      </w:r>
      <w:r w:rsidR="00082995" w:rsidRPr="00C94C97">
        <w:t>Sr</w:t>
      </w:r>
      <w:r w:rsidR="00082995" w:rsidRPr="00304EF9">
        <w:t xml:space="preserve"> </w:t>
      </w:r>
      <w:r w:rsidR="00C94C97">
        <w:t xml:space="preserve">(with minimum and maximum values as error bars) </w:t>
      </w:r>
      <w:r w:rsidR="00304EF9" w:rsidRPr="00304EF9">
        <w:t>in water samples collected fro</w:t>
      </w:r>
      <w:r w:rsidR="009C6C50">
        <w:t>m spring/summer</w:t>
      </w:r>
      <w:r w:rsidR="00304EF9" w:rsidRPr="00304EF9">
        <w:t xml:space="preserve"> in the </w:t>
      </w:r>
      <w:r w:rsidR="009C6C50">
        <w:t xml:space="preserve">mid-Murray (Barmah, Torrumbarry and Lock 11), </w:t>
      </w:r>
      <w:r w:rsidR="00C94C97">
        <w:t>lower</w:t>
      </w:r>
      <w:r w:rsidR="00304EF9" w:rsidRPr="00304EF9">
        <w:t xml:space="preserve"> Murray </w:t>
      </w:r>
      <w:r w:rsidR="00C94C97">
        <w:t>(Lock 9, 6 and 1) and</w:t>
      </w:r>
      <w:r w:rsidR="009C6C50">
        <w:t xml:space="preserve"> Darling Rivers</w:t>
      </w:r>
      <w:r w:rsidR="00C94C97">
        <w:t xml:space="preserve"> from 2011 to 2016, and (b) a</w:t>
      </w:r>
      <w:r w:rsidR="00304EF9">
        <w:t>nnual</w:t>
      </w:r>
      <w:r w:rsidR="001B31D2" w:rsidRPr="001B31D2">
        <w:t xml:space="preserve"> discharge (</w:t>
      </w:r>
      <w:r w:rsidR="00C94C97">
        <w:t>GL</w:t>
      </w:r>
      <w:r w:rsidR="001B31D2" w:rsidRPr="001B31D2">
        <w:t>) in the Murray River at the South Australian border (</w:t>
      </w:r>
      <w:r w:rsidR="00304EF9">
        <w:t>QSA</w:t>
      </w:r>
      <w:r w:rsidR="001B31D2" w:rsidRPr="001B31D2">
        <w:t xml:space="preserve">) and </w:t>
      </w:r>
      <w:r w:rsidR="00304EF9">
        <w:t>the proportion of discharge from the Darling River at Burtundy that contributed to QSA</w:t>
      </w:r>
      <w:r w:rsidR="00082995">
        <w:t xml:space="preserve">. </w:t>
      </w:r>
    </w:p>
    <w:p w14:paraId="6043ED41" w14:textId="39845018" w:rsidR="00FA1F5B" w:rsidRDefault="00FA1F5B" w:rsidP="00B46038">
      <w:pPr>
        <w:pStyle w:val="Captions"/>
      </w:pPr>
      <w:r>
        <w:br w:type="page"/>
      </w:r>
    </w:p>
    <w:p w14:paraId="6D8A95BB" w14:textId="7565252F" w:rsidR="00D14767" w:rsidRDefault="00D14767" w:rsidP="00FA1F5B">
      <w:r w:rsidRPr="00F703BA">
        <w:lastRenderedPageBreak/>
        <w:t>Of the age 5+ golden perch (spawned 2010/11), all fish analysed from the gorge geomorphic region (</w:t>
      </w:r>
      <w:r w:rsidRPr="00B52FFE">
        <w:rPr>
          <w:i/>
        </w:rPr>
        <w:t>n</w:t>
      </w:r>
      <w:r w:rsidR="00B52FFE">
        <w:t xml:space="preserve"> </w:t>
      </w:r>
      <w:r w:rsidRPr="00F703BA">
        <w:t>=</w:t>
      </w:r>
      <w:r w:rsidR="00B52FFE">
        <w:t xml:space="preserve"> </w:t>
      </w:r>
      <w:r w:rsidRPr="00F703BA">
        <w:t xml:space="preserve">5) exhibited otolith core </w:t>
      </w:r>
      <w:r w:rsidRPr="00F703BA">
        <w:rPr>
          <w:vertAlign w:val="superscript"/>
        </w:rPr>
        <w:t>87</w:t>
      </w:r>
      <w:r w:rsidRPr="00F703BA">
        <w:t>Sr/</w:t>
      </w:r>
      <w:r w:rsidRPr="00F703BA">
        <w:rPr>
          <w:vertAlign w:val="superscript"/>
        </w:rPr>
        <w:t>86</w:t>
      </w:r>
      <w:r w:rsidRPr="00F703BA">
        <w:t xml:space="preserve">Sr (Table </w:t>
      </w:r>
      <w:r>
        <w:t>H</w:t>
      </w:r>
      <w:r w:rsidR="00487A0B">
        <w:t>6</w:t>
      </w:r>
      <w:r w:rsidRPr="00F703BA">
        <w:t>)</w:t>
      </w:r>
      <w:r>
        <w:t xml:space="preserve"> </w:t>
      </w:r>
      <w:r w:rsidRPr="00F703BA">
        <w:t xml:space="preserve">comparable to the distinct Darling River water </w:t>
      </w:r>
      <w:r w:rsidRPr="00F703BA">
        <w:rPr>
          <w:vertAlign w:val="superscript"/>
        </w:rPr>
        <w:t>87</w:t>
      </w:r>
      <w:r w:rsidRPr="00F703BA">
        <w:t>Sr/</w:t>
      </w:r>
      <w:r w:rsidRPr="00F703BA">
        <w:rPr>
          <w:vertAlign w:val="superscript"/>
        </w:rPr>
        <w:t>86</w:t>
      </w:r>
      <w:r w:rsidRPr="00F703BA">
        <w:t xml:space="preserve">Sr of ~0.7075, indicating these fish were spawned in the Darling River. </w:t>
      </w:r>
      <w:r w:rsidR="00E35600" w:rsidRPr="00F703BA">
        <w:t xml:space="preserve">Transects of otolith </w:t>
      </w:r>
      <w:r w:rsidR="00E35600" w:rsidRPr="00F703BA">
        <w:rPr>
          <w:vertAlign w:val="superscript"/>
        </w:rPr>
        <w:t>87</w:t>
      </w:r>
      <w:r w:rsidR="00E35600" w:rsidRPr="00F703BA">
        <w:t>Sr/</w:t>
      </w:r>
      <w:r w:rsidR="00E35600" w:rsidRPr="00F703BA">
        <w:rPr>
          <w:vertAlign w:val="superscript"/>
        </w:rPr>
        <w:t>86</w:t>
      </w:r>
      <w:r w:rsidR="00E35600" w:rsidRPr="00F703BA">
        <w:t xml:space="preserve">Sr, indicate that </w:t>
      </w:r>
      <w:r w:rsidR="00E35600">
        <w:t>all</w:t>
      </w:r>
      <w:r w:rsidR="00E35600" w:rsidRPr="00F703BA">
        <w:t xml:space="preserve"> of these fish transitioned from the Darling River </w:t>
      </w:r>
      <w:r w:rsidR="00E35600">
        <w:t>in their first year of</w:t>
      </w:r>
      <w:r w:rsidR="00E35600" w:rsidRPr="00F703BA">
        <w:t xml:space="preserve"> life (</w:t>
      </w:r>
      <w:r w:rsidR="00E35600">
        <w:t xml:space="preserve">i.e. </w:t>
      </w:r>
      <w:r w:rsidR="00E35600" w:rsidRPr="00F703BA">
        <w:t>age 0+)</w:t>
      </w:r>
      <w:r w:rsidR="00E35600">
        <w:t>, but potentially at different times in this first year</w:t>
      </w:r>
      <w:r w:rsidR="00E35600" w:rsidRPr="00F703BA">
        <w:t xml:space="preserve"> (Figure</w:t>
      </w:r>
      <w:r w:rsidR="00E35600">
        <w:t xml:space="preserve"> H13a</w:t>
      </w:r>
      <w:r w:rsidR="00E35600" w:rsidRPr="00F703BA">
        <w:t xml:space="preserve"> </w:t>
      </w:r>
      <w:r w:rsidR="00E35600">
        <w:t xml:space="preserve">and </w:t>
      </w:r>
      <w:r w:rsidR="00E35600" w:rsidRPr="00F703BA">
        <w:t xml:space="preserve">Figure </w:t>
      </w:r>
      <w:r w:rsidR="00E35600">
        <w:t>H13b</w:t>
      </w:r>
      <w:r w:rsidR="00E35600" w:rsidRPr="00F703BA">
        <w:t xml:space="preserve">)).  </w:t>
      </w:r>
    </w:p>
    <w:p w14:paraId="08068F83" w14:textId="430FFA8B" w:rsidR="00FA1F5B" w:rsidRDefault="00E17D42" w:rsidP="00FA1F5B">
      <w:r w:rsidRPr="00E17D42">
        <w:rPr>
          <w:noProof/>
          <w:lang w:eastAsia="en-AU"/>
        </w:rPr>
        <w:drawing>
          <wp:inline distT="0" distB="0" distL="0" distR="0" wp14:anchorId="20BFBB9F" wp14:editId="41B5874C">
            <wp:extent cx="5747657" cy="2286000"/>
            <wp:effectExtent l="0" t="0" r="571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7" cstate="email">
                      <a:extLst>
                        <a:ext uri="{28A0092B-C50C-407E-A947-70E740481C1C}">
                          <a14:useLocalDpi xmlns:a14="http://schemas.microsoft.com/office/drawing/2010/main"/>
                        </a:ext>
                      </a:extLst>
                    </a:blip>
                    <a:srcRect t="11393" r="1262"/>
                    <a:stretch/>
                  </pic:blipFill>
                  <pic:spPr bwMode="auto">
                    <a:xfrm>
                      <a:off x="0" y="0"/>
                      <a:ext cx="5758185" cy="2290187"/>
                    </a:xfrm>
                    <a:prstGeom prst="rect">
                      <a:avLst/>
                    </a:prstGeom>
                    <a:noFill/>
                    <a:ln>
                      <a:noFill/>
                    </a:ln>
                    <a:extLst>
                      <a:ext uri="{53640926-AAD7-44D8-BBD7-CCE9431645EC}">
                        <a14:shadowObscured xmlns:a14="http://schemas.microsoft.com/office/drawing/2010/main"/>
                      </a:ext>
                    </a:extLst>
                  </pic:spPr>
                </pic:pic>
              </a:graphicData>
            </a:graphic>
          </wp:inline>
        </w:drawing>
      </w:r>
      <w:r w:rsidRPr="00E17D42">
        <w:t xml:space="preserve"> </w:t>
      </w:r>
    </w:p>
    <w:p w14:paraId="7EBC491C" w14:textId="4CE19513" w:rsidR="00FA1F5B" w:rsidRDefault="00FA1F5B" w:rsidP="00B46038">
      <w:pPr>
        <w:pStyle w:val="Captions"/>
      </w:pPr>
      <w:r w:rsidRPr="007725A1">
        <w:t xml:space="preserve">Figure </w:t>
      </w:r>
      <w:r w:rsidR="007E5224">
        <w:t>H1</w:t>
      </w:r>
      <w:r w:rsidR="00371F83">
        <w:t>3</w:t>
      </w:r>
      <w:r w:rsidRPr="007725A1">
        <w:t xml:space="preserve">. </w:t>
      </w:r>
      <w:r>
        <w:t>I</w:t>
      </w:r>
      <w:r w:rsidRPr="007725A1">
        <w:t>ndividual life</w:t>
      </w:r>
      <w:r w:rsidR="00CA1E4D">
        <w:t xml:space="preserve"> </w:t>
      </w:r>
      <w:r w:rsidRPr="007725A1">
        <w:t>history profile</w:t>
      </w:r>
      <w:r>
        <w:t>s</w:t>
      </w:r>
      <w:r w:rsidRPr="007725A1">
        <w:t xml:space="preserve"> based on transect analysis of </w:t>
      </w:r>
      <w:r w:rsidRPr="007725A1">
        <w:rPr>
          <w:vertAlign w:val="superscript"/>
        </w:rPr>
        <w:t>87</w:t>
      </w:r>
      <w:r w:rsidRPr="007725A1">
        <w:t>Sr/</w:t>
      </w:r>
      <w:r w:rsidRPr="007725A1">
        <w:rPr>
          <w:vertAlign w:val="superscript"/>
        </w:rPr>
        <w:t>86</w:t>
      </w:r>
      <w:r w:rsidRPr="007725A1">
        <w:t>Sr from the core to edge of otolith</w:t>
      </w:r>
      <w:r>
        <w:t>s</w:t>
      </w:r>
      <w:r w:rsidRPr="007725A1">
        <w:t xml:space="preserve"> from </w:t>
      </w:r>
      <w:r>
        <w:t>two</w:t>
      </w:r>
      <w:r w:rsidRPr="007725A1">
        <w:t xml:space="preserve"> age </w:t>
      </w:r>
      <w:r>
        <w:t>5</w:t>
      </w:r>
      <w:r w:rsidRPr="007725A1">
        <w:t xml:space="preserve">+ golden perch collected </w:t>
      </w:r>
      <w:r w:rsidR="00666A4D">
        <w:t xml:space="preserve">from (a) Swan Reach and (b) Blanchetown </w:t>
      </w:r>
      <w:r w:rsidRPr="007725A1">
        <w:t xml:space="preserve">in the gorge geomorphic region of the lower River Murray. </w:t>
      </w:r>
      <w:r w:rsidR="001D75C2">
        <w:t>Green</w:t>
      </w:r>
      <w:r w:rsidR="001D75C2" w:rsidRPr="007725A1">
        <w:t xml:space="preserve"> </w:t>
      </w:r>
      <w:r w:rsidRPr="007725A1">
        <w:t xml:space="preserve">dashed line indicates the temporally stable water </w:t>
      </w:r>
      <w:r w:rsidRPr="007725A1">
        <w:rPr>
          <w:vertAlign w:val="superscript"/>
        </w:rPr>
        <w:t>87</w:t>
      </w:r>
      <w:r w:rsidRPr="007725A1">
        <w:t>Sr/</w:t>
      </w:r>
      <w:r w:rsidRPr="007725A1">
        <w:rPr>
          <w:vertAlign w:val="superscript"/>
        </w:rPr>
        <w:t>86</w:t>
      </w:r>
      <w:r w:rsidRPr="007725A1">
        <w:t>Sr of the lower Darling River</w:t>
      </w:r>
      <w:r w:rsidR="006F3182">
        <w:t xml:space="preserve"> (i.e. </w:t>
      </w:r>
      <w:r w:rsidR="006F3182" w:rsidRPr="00F703BA">
        <w:t>~0.7075</w:t>
      </w:r>
      <w:r w:rsidR="006F3182">
        <w:t>)</w:t>
      </w:r>
      <w:r w:rsidRPr="007725A1">
        <w:t xml:space="preserve"> and the </w:t>
      </w:r>
      <w:r w:rsidR="001D75C2">
        <w:t>blue</w:t>
      </w:r>
      <w:r w:rsidR="001D75C2" w:rsidRPr="007725A1">
        <w:t xml:space="preserve"> </w:t>
      </w:r>
      <w:r w:rsidRPr="007725A1">
        <w:t xml:space="preserve">dashed lines represent the range of water </w:t>
      </w:r>
      <w:r w:rsidRPr="007725A1">
        <w:rPr>
          <w:vertAlign w:val="superscript"/>
        </w:rPr>
        <w:t>87</w:t>
      </w:r>
      <w:r w:rsidRPr="007725A1">
        <w:t>Sr/</w:t>
      </w:r>
      <w:r w:rsidRPr="007725A1">
        <w:rPr>
          <w:vertAlign w:val="superscript"/>
        </w:rPr>
        <w:t>86</w:t>
      </w:r>
      <w:r w:rsidRPr="007725A1">
        <w:t xml:space="preserve">Sr in the lower River Murray (i.e. ~0.7080–0.7160). Red dashed lines represent the range of water </w:t>
      </w:r>
      <w:r w:rsidRPr="007725A1">
        <w:rPr>
          <w:vertAlign w:val="superscript"/>
        </w:rPr>
        <w:t>87</w:t>
      </w:r>
      <w:r w:rsidRPr="007725A1">
        <w:t>Sr/</w:t>
      </w:r>
      <w:r w:rsidRPr="007725A1">
        <w:rPr>
          <w:vertAlign w:val="superscript"/>
        </w:rPr>
        <w:t>86</w:t>
      </w:r>
      <w:r w:rsidRPr="007725A1">
        <w:t xml:space="preserve">Sr in the mid-Murray </w:t>
      </w:r>
      <w:r w:rsidR="00D20187" w:rsidRPr="007725A1">
        <w:t xml:space="preserve">River </w:t>
      </w:r>
      <w:r w:rsidRPr="007725A1">
        <w:t>(Lock 11–Torrumbarry, ~0.7160–0.7190).</w:t>
      </w:r>
    </w:p>
    <w:p w14:paraId="7BD37A87" w14:textId="77777777" w:rsidR="009B76EA" w:rsidRDefault="009B76EA" w:rsidP="00FA1F5B"/>
    <w:p w14:paraId="7A6679B0" w14:textId="5C8EDAA1" w:rsidR="00FA1F5B" w:rsidRDefault="00FA1F5B" w:rsidP="00FA1F5B">
      <w:r>
        <w:t>In contrast to the age 5+ golden perch from the gorge geomorphic region, all</w:t>
      </w:r>
      <w:r w:rsidRPr="00A0704A">
        <w:t xml:space="preserve"> </w:t>
      </w:r>
      <w:r>
        <w:t>age 5+ fish analysed from the floodplain geomorphic region (</w:t>
      </w:r>
      <w:r w:rsidRPr="00B52FFE">
        <w:rPr>
          <w:i/>
        </w:rPr>
        <w:t>n</w:t>
      </w:r>
      <w:r w:rsidR="00B52FFE">
        <w:t xml:space="preserve"> </w:t>
      </w:r>
      <w:r>
        <w:t>=</w:t>
      </w:r>
      <w:r w:rsidR="00B52FFE">
        <w:t xml:space="preserve"> </w:t>
      </w:r>
      <w:r>
        <w:t xml:space="preserve">5) had higher core </w:t>
      </w:r>
      <w:r w:rsidRPr="00907D37">
        <w:rPr>
          <w:vertAlign w:val="superscript"/>
        </w:rPr>
        <w:t>87</w:t>
      </w:r>
      <w:r w:rsidRPr="00907D37">
        <w:t>Sr/</w:t>
      </w:r>
      <w:r w:rsidRPr="00907D37">
        <w:rPr>
          <w:vertAlign w:val="superscript"/>
        </w:rPr>
        <w:t>86</w:t>
      </w:r>
      <w:r w:rsidRPr="00907D37">
        <w:t>Sr</w:t>
      </w:r>
      <w:r w:rsidR="006F3182">
        <w:t xml:space="preserve"> (Table H</w:t>
      </w:r>
      <w:r w:rsidR="00487A0B">
        <w:t>6</w:t>
      </w:r>
      <w:r w:rsidR="006F3182">
        <w:t>)</w:t>
      </w:r>
      <w:r>
        <w:t xml:space="preserve">, comparable to water </w:t>
      </w:r>
      <w:r w:rsidRPr="008D1BCD">
        <w:rPr>
          <w:vertAlign w:val="superscript"/>
        </w:rPr>
        <w:t>87</w:t>
      </w:r>
      <w:r w:rsidRPr="008D1BCD">
        <w:t>Sr/</w:t>
      </w:r>
      <w:r w:rsidRPr="008D1BCD">
        <w:rPr>
          <w:vertAlign w:val="superscript"/>
        </w:rPr>
        <w:t>86</w:t>
      </w:r>
      <w:r w:rsidRPr="008D1BCD">
        <w:t>Sr</w:t>
      </w:r>
      <w:r>
        <w:t xml:space="preserve"> in the lower Murray River (~0.7085–0.7140)</w:t>
      </w:r>
      <w:r w:rsidR="006F3182">
        <w:t xml:space="preserve"> (Figure H12)</w:t>
      </w:r>
      <w:r>
        <w:t xml:space="preserve">, indicating these fish were potentially spawned in various locations in the lower River Murray. </w:t>
      </w:r>
      <w:r w:rsidRPr="000630BF">
        <w:t xml:space="preserve">Transects of otolith </w:t>
      </w:r>
      <w:r w:rsidRPr="000630BF">
        <w:rPr>
          <w:vertAlign w:val="superscript"/>
        </w:rPr>
        <w:t>87</w:t>
      </w:r>
      <w:r w:rsidRPr="000630BF">
        <w:t>Sr/</w:t>
      </w:r>
      <w:r w:rsidRPr="000630BF">
        <w:rPr>
          <w:vertAlign w:val="superscript"/>
        </w:rPr>
        <w:t>86</w:t>
      </w:r>
      <w:r w:rsidRPr="000630BF">
        <w:t xml:space="preserve">Sr, indicate </w:t>
      </w:r>
      <w:r>
        <w:t>all five fish had spent their entire l</w:t>
      </w:r>
      <w:r w:rsidR="00884C7B">
        <w:t xml:space="preserve">ives in the lower Murray River </w:t>
      </w:r>
      <w:r w:rsidRPr="000630BF">
        <w:t>(</w:t>
      </w:r>
      <w:r w:rsidR="006F3182">
        <w:t xml:space="preserve">Figure </w:t>
      </w:r>
      <w:r w:rsidR="00884C7B">
        <w:t>H14</w:t>
      </w:r>
      <w:r w:rsidRPr="000630BF">
        <w:t>)</w:t>
      </w:r>
      <w:r>
        <w:t>.</w:t>
      </w:r>
    </w:p>
    <w:p w14:paraId="48574EC5" w14:textId="173E579C" w:rsidR="00FA1F5B" w:rsidRDefault="00E17D42" w:rsidP="00962820">
      <w:pPr>
        <w:jc w:val="center"/>
      </w:pPr>
      <w:r w:rsidRPr="00E17D42">
        <w:rPr>
          <w:noProof/>
          <w:lang w:eastAsia="en-AU"/>
        </w:rPr>
        <w:lastRenderedPageBreak/>
        <w:drawing>
          <wp:inline distT="0" distB="0" distL="0" distR="0" wp14:anchorId="06419695" wp14:editId="3DD10875">
            <wp:extent cx="5757174" cy="227647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8" cstate="email">
                      <a:extLst>
                        <a:ext uri="{28A0092B-C50C-407E-A947-70E740481C1C}">
                          <a14:useLocalDpi xmlns:a14="http://schemas.microsoft.com/office/drawing/2010/main"/>
                        </a:ext>
                      </a:extLst>
                    </a:blip>
                    <a:srcRect t="11821" r="1133"/>
                    <a:stretch/>
                  </pic:blipFill>
                  <pic:spPr bwMode="auto">
                    <a:xfrm>
                      <a:off x="0" y="0"/>
                      <a:ext cx="5765561" cy="2279792"/>
                    </a:xfrm>
                    <a:prstGeom prst="rect">
                      <a:avLst/>
                    </a:prstGeom>
                    <a:noFill/>
                    <a:ln>
                      <a:noFill/>
                    </a:ln>
                    <a:extLst>
                      <a:ext uri="{53640926-AAD7-44D8-BBD7-CCE9431645EC}">
                        <a14:shadowObscured xmlns:a14="http://schemas.microsoft.com/office/drawing/2010/main"/>
                      </a:ext>
                    </a:extLst>
                  </pic:spPr>
                </pic:pic>
              </a:graphicData>
            </a:graphic>
          </wp:inline>
        </w:drawing>
      </w:r>
      <w:r w:rsidRPr="00E17D42">
        <w:t xml:space="preserve"> </w:t>
      </w:r>
    </w:p>
    <w:p w14:paraId="38C2912D" w14:textId="0520E6ED" w:rsidR="00FA1F5B" w:rsidRDefault="00FA1F5B" w:rsidP="00B46038">
      <w:pPr>
        <w:pStyle w:val="Captions"/>
      </w:pPr>
      <w:r w:rsidRPr="002B1160">
        <w:t xml:space="preserve">Figure </w:t>
      </w:r>
      <w:r w:rsidR="007E5224">
        <w:t>H1</w:t>
      </w:r>
      <w:r w:rsidR="00371F83">
        <w:t>4</w:t>
      </w:r>
      <w:r w:rsidRPr="002B1160">
        <w:t>. An individual life</w:t>
      </w:r>
      <w:r w:rsidR="00CA1E4D">
        <w:t xml:space="preserve"> </w:t>
      </w:r>
      <w:r w:rsidRPr="002B1160">
        <w:t xml:space="preserve">history profile based on transect analysis of </w:t>
      </w:r>
      <w:r w:rsidRPr="002B1160">
        <w:rPr>
          <w:vertAlign w:val="superscript"/>
        </w:rPr>
        <w:t>87</w:t>
      </w:r>
      <w:r w:rsidRPr="002B1160">
        <w:t>Sr/</w:t>
      </w:r>
      <w:r w:rsidRPr="002B1160">
        <w:rPr>
          <w:vertAlign w:val="superscript"/>
        </w:rPr>
        <w:t>86</w:t>
      </w:r>
      <w:r w:rsidRPr="002B1160">
        <w:t xml:space="preserve">Sr from the core to edge of an otolith from an age </w:t>
      </w:r>
      <w:r>
        <w:t>5</w:t>
      </w:r>
      <w:r w:rsidRPr="002B1160">
        <w:t>+ golden perch collected</w:t>
      </w:r>
      <w:r w:rsidR="00C25621" w:rsidRPr="00C25621">
        <w:t xml:space="preserve"> </w:t>
      </w:r>
      <w:r w:rsidR="00C25621">
        <w:t>from (a) Murtho Forest and (b) Rilli Island</w:t>
      </w:r>
      <w:r w:rsidRPr="002B1160">
        <w:t xml:space="preserve"> in the </w:t>
      </w:r>
      <w:r>
        <w:t>floodplain</w:t>
      </w:r>
      <w:r w:rsidRPr="002B1160">
        <w:t xml:space="preserve"> geomorphic region of the lower River Murray. </w:t>
      </w:r>
      <w:r w:rsidR="001D75C2">
        <w:t>Green</w:t>
      </w:r>
      <w:r w:rsidR="001D75C2" w:rsidRPr="002B1160">
        <w:t xml:space="preserve"> </w:t>
      </w:r>
      <w:r w:rsidRPr="002B1160">
        <w:t xml:space="preserve">dashed line indicates the temporally stable water </w:t>
      </w:r>
      <w:r w:rsidRPr="002B1160">
        <w:rPr>
          <w:vertAlign w:val="superscript"/>
        </w:rPr>
        <w:t>87</w:t>
      </w:r>
      <w:r w:rsidRPr="002B1160">
        <w:t>Sr/</w:t>
      </w:r>
      <w:r w:rsidRPr="002B1160">
        <w:rPr>
          <w:vertAlign w:val="superscript"/>
        </w:rPr>
        <w:t>86</w:t>
      </w:r>
      <w:r w:rsidRPr="002B1160">
        <w:t xml:space="preserve">Sr of the lower Darling River </w:t>
      </w:r>
      <w:r w:rsidR="006F3182">
        <w:t xml:space="preserve">(i.e. </w:t>
      </w:r>
      <w:r w:rsidR="006F3182" w:rsidRPr="00F703BA">
        <w:t>~0.7075</w:t>
      </w:r>
      <w:r w:rsidR="006F3182">
        <w:t xml:space="preserve">) </w:t>
      </w:r>
      <w:r w:rsidRPr="002B1160">
        <w:t xml:space="preserve">and the </w:t>
      </w:r>
      <w:r w:rsidR="001D75C2">
        <w:t>blue</w:t>
      </w:r>
      <w:r w:rsidR="001D75C2" w:rsidRPr="002B1160">
        <w:t xml:space="preserve"> </w:t>
      </w:r>
      <w:r w:rsidRPr="002B1160">
        <w:t xml:space="preserve">dashed lines represent the range of water </w:t>
      </w:r>
      <w:r w:rsidRPr="002B1160">
        <w:rPr>
          <w:vertAlign w:val="superscript"/>
        </w:rPr>
        <w:t>87</w:t>
      </w:r>
      <w:r w:rsidRPr="002B1160">
        <w:t>Sr/</w:t>
      </w:r>
      <w:r w:rsidRPr="002B1160">
        <w:rPr>
          <w:vertAlign w:val="superscript"/>
        </w:rPr>
        <w:t>86</w:t>
      </w:r>
      <w:r w:rsidRPr="002B1160">
        <w:t xml:space="preserve">Sr in the lower River Murray (i.e. ~0.7080–0.7160). Red dashed lines represent the range of water </w:t>
      </w:r>
      <w:r w:rsidRPr="002B1160">
        <w:rPr>
          <w:vertAlign w:val="superscript"/>
        </w:rPr>
        <w:t>87</w:t>
      </w:r>
      <w:r w:rsidRPr="002B1160">
        <w:t>Sr/</w:t>
      </w:r>
      <w:r w:rsidRPr="002B1160">
        <w:rPr>
          <w:vertAlign w:val="superscript"/>
        </w:rPr>
        <w:t>86</w:t>
      </w:r>
      <w:r w:rsidRPr="002B1160">
        <w:t xml:space="preserve">Sr in the mid-Murray </w:t>
      </w:r>
      <w:r w:rsidR="00D20187" w:rsidRPr="002B1160">
        <w:t xml:space="preserve">River </w:t>
      </w:r>
      <w:r w:rsidRPr="002B1160">
        <w:t>(Lock 11–Torrumbarry, ~0.7160–0.7190).</w:t>
      </w:r>
    </w:p>
    <w:p w14:paraId="7B10818E" w14:textId="77777777" w:rsidR="009B76EA" w:rsidRDefault="009B76EA" w:rsidP="00371F83"/>
    <w:p w14:paraId="713D2C4F" w14:textId="00E02781" w:rsidR="00371F83" w:rsidRPr="00CB3294" w:rsidRDefault="00371F83" w:rsidP="00371F83">
      <w:r w:rsidRPr="00CB3294">
        <w:t xml:space="preserve">Of the age 6+ golden perch (spawned 2009/10), </w:t>
      </w:r>
      <w:r>
        <w:t>70</w:t>
      </w:r>
      <w:r w:rsidRPr="00CB3294">
        <w:t>% (</w:t>
      </w:r>
      <w:r w:rsidRPr="00B52FFE">
        <w:rPr>
          <w:i/>
        </w:rPr>
        <w:t>n</w:t>
      </w:r>
      <w:r w:rsidR="00B52FFE">
        <w:t xml:space="preserve"> </w:t>
      </w:r>
      <w:r w:rsidRPr="00CB3294">
        <w:t>=</w:t>
      </w:r>
      <w:r w:rsidR="00B52FFE">
        <w:t xml:space="preserve"> </w:t>
      </w:r>
      <w:r>
        <w:t>7</w:t>
      </w:r>
      <w:r w:rsidRPr="00CB3294">
        <w:t xml:space="preserve">) exhibited otolith core </w:t>
      </w:r>
      <w:r w:rsidRPr="00CB3294">
        <w:rPr>
          <w:vertAlign w:val="superscript"/>
        </w:rPr>
        <w:t>87</w:t>
      </w:r>
      <w:r w:rsidRPr="00CB3294">
        <w:t>Sr/</w:t>
      </w:r>
      <w:r w:rsidRPr="00CB3294">
        <w:rPr>
          <w:vertAlign w:val="superscript"/>
        </w:rPr>
        <w:t>86</w:t>
      </w:r>
      <w:r w:rsidRPr="00CB3294">
        <w:t xml:space="preserve">Sr </w:t>
      </w:r>
      <w:r>
        <w:t>(Table H</w:t>
      </w:r>
      <w:r w:rsidR="00487A0B">
        <w:t>6</w:t>
      </w:r>
      <w:r>
        <w:t xml:space="preserve">) </w:t>
      </w:r>
      <w:r w:rsidRPr="00CB3294">
        <w:t xml:space="preserve">comparable to the distinct Darling River water </w:t>
      </w:r>
      <w:r w:rsidRPr="00CB3294">
        <w:rPr>
          <w:vertAlign w:val="superscript"/>
        </w:rPr>
        <w:t>87</w:t>
      </w:r>
      <w:r w:rsidRPr="00CB3294">
        <w:t>Sr/</w:t>
      </w:r>
      <w:r w:rsidRPr="00CB3294">
        <w:rPr>
          <w:vertAlign w:val="superscript"/>
        </w:rPr>
        <w:t>86</w:t>
      </w:r>
      <w:r w:rsidRPr="00CB3294">
        <w:t>Sr of ~0.7075</w:t>
      </w:r>
      <w:r w:rsidR="006F3182">
        <w:t xml:space="preserve"> (Figure H12)</w:t>
      </w:r>
      <w:r w:rsidRPr="00CB3294">
        <w:t xml:space="preserve">, indicating these fish were spawned in the Darling River. The remaining </w:t>
      </w:r>
      <w:r>
        <w:t>three</w:t>
      </w:r>
      <w:r w:rsidRPr="00CB3294">
        <w:t xml:space="preserve"> age 6+ fish exhibit otolith core </w:t>
      </w:r>
      <w:r w:rsidRPr="00CB3294">
        <w:rPr>
          <w:vertAlign w:val="superscript"/>
        </w:rPr>
        <w:t>87</w:t>
      </w:r>
      <w:r w:rsidRPr="00CB3294">
        <w:t>Sr/</w:t>
      </w:r>
      <w:r w:rsidRPr="00CB3294">
        <w:rPr>
          <w:vertAlign w:val="superscript"/>
        </w:rPr>
        <w:t>86</w:t>
      </w:r>
      <w:r w:rsidRPr="00CB3294">
        <w:t xml:space="preserve">Sr slightly greater than the Darling River, but generally lower than most Murray </w:t>
      </w:r>
      <w:r w:rsidR="00D20187" w:rsidRPr="00CB3294">
        <w:t xml:space="preserve">River </w:t>
      </w:r>
      <w:r>
        <w:t xml:space="preserve">water </w:t>
      </w:r>
      <w:r w:rsidRPr="002178FD">
        <w:rPr>
          <w:vertAlign w:val="superscript"/>
        </w:rPr>
        <w:t>87</w:t>
      </w:r>
      <w:r w:rsidRPr="002178FD">
        <w:t>Sr/</w:t>
      </w:r>
      <w:r w:rsidRPr="002178FD">
        <w:rPr>
          <w:vertAlign w:val="superscript"/>
        </w:rPr>
        <w:t>86</w:t>
      </w:r>
      <w:r w:rsidRPr="002178FD">
        <w:t xml:space="preserve">Sr </w:t>
      </w:r>
      <w:r w:rsidRPr="00CB3294">
        <w:t>values</w:t>
      </w:r>
      <w:r>
        <w:t xml:space="preserve"> (Fig</w:t>
      </w:r>
      <w:r w:rsidR="006F3182">
        <w:t>ure</w:t>
      </w:r>
      <w:r>
        <w:t xml:space="preserve"> </w:t>
      </w:r>
      <w:r w:rsidR="006F3182">
        <w:t>H12</w:t>
      </w:r>
      <w:r>
        <w:t>)</w:t>
      </w:r>
      <w:r w:rsidRPr="00CB3294">
        <w:t xml:space="preserve">, suggesting these fish may have been spawned in the Murray </w:t>
      </w:r>
      <w:r w:rsidR="00D20187" w:rsidRPr="00CB3294">
        <w:t xml:space="preserve">River </w:t>
      </w:r>
      <w:r w:rsidRPr="00CB3294">
        <w:t xml:space="preserve">close to the Darling </w:t>
      </w:r>
      <w:r>
        <w:t>confluence</w:t>
      </w:r>
      <w:r w:rsidRPr="00CB3294">
        <w:t xml:space="preserve">. Transects of otolith </w:t>
      </w:r>
      <w:r w:rsidRPr="00CB3294">
        <w:rPr>
          <w:vertAlign w:val="superscript"/>
        </w:rPr>
        <w:t>87</w:t>
      </w:r>
      <w:r w:rsidRPr="00CB3294">
        <w:t>Sr/</w:t>
      </w:r>
      <w:r w:rsidRPr="00CB3294">
        <w:rPr>
          <w:vertAlign w:val="superscript"/>
        </w:rPr>
        <w:t>86</w:t>
      </w:r>
      <w:r w:rsidRPr="00CB3294">
        <w:t xml:space="preserve">Sr, indicate that all age 6+ spawned in the Darling River transitioned into the lower River Murray as age 0+ </w:t>
      </w:r>
      <w:r w:rsidR="000F58A5">
        <w:t xml:space="preserve">(Figure H15b) </w:t>
      </w:r>
      <w:r w:rsidRPr="00CB3294">
        <w:t xml:space="preserve">or 1+ </w:t>
      </w:r>
      <w:r w:rsidR="000F58A5">
        <w:t xml:space="preserve">(Figure H15c) </w:t>
      </w:r>
      <w:r w:rsidRPr="00CB3294">
        <w:t xml:space="preserve">(approximately </w:t>
      </w:r>
      <w:r w:rsidR="00D14767">
        <w:t>320</w:t>
      </w:r>
      <w:r w:rsidRPr="00CB3294">
        <w:t xml:space="preserve"> µm of otolith growth) and remained in this regi</w:t>
      </w:r>
      <w:r w:rsidR="006F3182">
        <w:t>on until capture in 2016 (Figure H15</w:t>
      </w:r>
      <w:r w:rsidRPr="00CB3294">
        <w:t xml:space="preserve">). </w:t>
      </w:r>
    </w:p>
    <w:p w14:paraId="7B1BDF53" w14:textId="2F4363D2" w:rsidR="00371F83" w:rsidRDefault="00E17D42" w:rsidP="00371F83">
      <w:r w:rsidRPr="00E17D42">
        <w:rPr>
          <w:noProof/>
          <w:lang w:eastAsia="en-AU"/>
        </w:rPr>
        <w:lastRenderedPageBreak/>
        <w:drawing>
          <wp:inline distT="0" distB="0" distL="0" distR="0" wp14:anchorId="1526FD49" wp14:editId="54E9FAB2">
            <wp:extent cx="5667375" cy="4153882"/>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9" cstate="email">
                      <a:extLst>
                        <a:ext uri="{28A0092B-C50C-407E-A947-70E740481C1C}">
                          <a14:useLocalDpi xmlns:a14="http://schemas.microsoft.com/office/drawing/2010/main"/>
                        </a:ext>
                      </a:extLst>
                    </a:blip>
                    <a:srcRect t="6654" r="1006"/>
                    <a:stretch/>
                  </pic:blipFill>
                  <pic:spPr bwMode="auto">
                    <a:xfrm>
                      <a:off x="0" y="0"/>
                      <a:ext cx="5678852" cy="4162294"/>
                    </a:xfrm>
                    <a:prstGeom prst="rect">
                      <a:avLst/>
                    </a:prstGeom>
                    <a:noFill/>
                    <a:ln>
                      <a:noFill/>
                    </a:ln>
                    <a:extLst>
                      <a:ext uri="{53640926-AAD7-44D8-BBD7-CCE9431645EC}">
                        <a14:shadowObscured xmlns:a14="http://schemas.microsoft.com/office/drawing/2010/main"/>
                      </a:ext>
                    </a:extLst>
                  </pic:spPr>
                </pic:pic>
              </a:graphicData>
            </a:graphic>
          </wp:inline>
        </w:drawing>
      </w:r>
      <w:r w:rsidRPr="00E17D42">
        <w:t xml:space="preserve"> </w:t>
      </w:r>
    </w:p>
    <w:p w14:paraId="77536A96" w14:textId="5A47D096" w:rsidR="00371F83" w:rsidRDefault="00371F83" w:rsidP="00B46038">
      <w:pPr>
        <w:pStyle w:val="Captions"/>
      </w:pPr>
      <w:r w:rsidRPr="004127D8">
        <w:t xml:space="preserve">Figure </w:t>
      </w:r>
      <w:r>
        <w:t>H15</w:t>
      </w:r>
      <w:r w:rsidRPr="004127D8">
        <w:t xml:space="preserve">. </w:t>
      </w:r>
      <w:r>
        <w:t>I</w:t>
      </w:r>
      <w:r w:rsidRPr="004127D8">
        <w:t>ndividual life</w:t>
      </w:r>
      <w:r w:rsidR="00CA1E4D">
        <w:t xml:space="preserve"> </w:t>
      </w:r>
      <w:r w:rsidRPr="004127D8">
        <w:t>history profile</w:t>
      </w:r>
      <w:r>
        <w:t>s</w:t>
      </w:r>
      <w:r w:rsidRPr="004127D8">
        <w:t xml:space="preserve"> based on transect analysis of </w:t>
      </w:r>
      <w:r w:rsidRPr="004127D8">
        <w:rPr>
          <w:vertAlign w:val="superscript"/>
        </w:rPr>
        <w:t>87</w:t>
      </w:r>
      <w:r w:rsidRPr="004127D8">
        <w:t>Sr/</w:t>
      </w:r>
      <w:r w:rsidRPr="004127D8">
        <w:rPr>
          <w:vertAlign w:val="superscript"/>
        </w:rPr>
        <w:t>86</w:t>
      </w:r>
      <w:r w:rsidRPr="004127D8">
        <w:t>Sr from the core to edge of otolith</w:t>
      </w:r>
      <w:r>
        <w:t>s</w:t>
      </w:r>
      <w:r w:rsidRPr="004127D8">
        <w:t xml:space="preserve"> from </w:t>
      </w:r>
      <w:r>
        <w:t>two</w:t>
      </w:r>
      <w:r w:rsidRPr="004127D8">
        <w:t xml:space="preserve"> age </w:t>
      </w:r>
      <w:r>
        <w:t>6</w:t>
      </w:r>
      <w:r w:rsidRPr="004127D8">
        <w:t>+ golden perch collected</w:t>
      </w:r>
      <w:r w:rsidR="00C25621" w:rsidRPr="00C25621">
        <w:t xml:space="preserve"> </w:t>
      </w:r>
      <w:r w:rsidR="00C25621">
        <w:t>from (a) Cadell, (b) Caurnamont and (c) Murtho Forest</w:t>
      </w:r>
      <w:r w:rsidRPr="004127D8">
        <w:t xml:space="preserve"> in the lower River Murray. </w:t>
      </w:r>
      <w:r w:rsidR="001D75C2">
        <w:t>Green</w:t>
      </w:r>
      <w:r w:rsidR="001D75C2" w:rsidRPr="004127D8">
        <w:t xml:space="preserve"> </w:t>
      </w:r>
      <w:r w:rsidRPr="004127D8">
        <w:t xml:space="preserve">dashed line indicates the temporally stable water </w:t>
      </w:r>
      <w:r w:rsidRPr="004127D8">
        <w:rPr>
          <w:vertAlign w:val="superscript"/>
        </w:rPr>
        <w:t>87</w:t>
      </w:r>
      <w:r w:rsidRPr="004127D8">
        <w:t>Sr/</w:t>
      </w:r>
      <w:r w:rsidRPr="004127D8">
        <w:rPr>
          <w:vertAlign w:val="superscript"/>
        </w:rPr>
        <w:t>86</w:t>
      </w:r>
      <w:r w:rsidRPr="004127D8">
        <w:t xml:space="preserve">Sr of the lower Darling River </w:t>
      </w:r>
      <w:r w:rsidR="006F3182">
        <w:t xml:space="preserve">(i.e. </w:t>
      </w:r>
      <w:r w:rsidR="006F3182" w:rsidRPr="00F703BA">
        <w:t>~0.7075</w:t>
      </w:r>
      <w:r w:rsidR="006F3182">
        <w:t xml:space="preserve">) </w:t>
      </w:r>
      <w:r w:rsidRPr="004127D8">
        <w:t xml:space="preserve">and the </w:t>
      </w:r>
      <w:r w:rsidR="001D75C2">
        <w:t>blue</w:t>
      </w:r>
      <w:r w:rsidR="001D75C2" w:rsidRPr="004127D8">
        <w:t xml:space="preserve"> </w:t>
      </w:r>
      <w:r w:rsidRPr="004127D8">
        <w:t xml:space="preserve">dashed lines represent the range of water </w:t>
      </w:r>
      <w:r w:rsidRPr="004127D8">
        <w:rPr>
          <w:vertAlign w:val="superscript"/>
        </w:rPr>
        <w:t>87</w:t>
      </w:r>
      <w:r w:rsidRPr="004127D8">
        <w:t>Sr/</w:t>
      </w:r>
      <w:r w:rsidRPr="004127D8">
        <w:rPr>
          <w:vertAlign w:val="superscript"/>
        </w:rPr>
        <w:t>86</w:t>
      </w:r>
      <w:r w:rsidRPr="004127D8">
        <w:t xml:space="preserve">Sr in the lower River Murray (i.e. ~0.7080–0.7160). Red dashed lines represent the range of water </w:t>
      </w:r>
      <w:r w:rsidRPr="004127D8">
        <w:rPr>
          <w:vertAlign w:val="superscript"/>
        </w:rPr>
        <w:t>87</w:t>
      </w:r>
      <w:r w:rsidRPr="004127D8">
        <w:t>Sr/</w:t>
      </w:r>
      <w:r w:rsidRPr="004127D8">
        <w:rPr>
          <w:vertAlign w:val="superscript"/>
        </w:rPr>
        <w:t>86</w:t>
      </w:r>
      <w:r w:rsidRPr="004127D8">
        <w:t xml:space="preserve">Sr in the mid-Murray </w:t>
      </w:r>
      <w:r w:rsidR="00D20187" w:rsidRPr="004127D8">
        <w:t xml:space="preserve">River </w:t>
      </w:r>
      <w:r w:rsidRPr="004127D8">
        <w:t>(Lock 11–Torrumbarry, ~0.7160–0.7190).</w:t>
      </w:r>
    </w:p>
    <w:p w14:paraId="43470FCF" w14:textId="77777777" w:rsidR="009B76EA" w:rsidRDefault="009B76EA" w:rsidP="00FA1F5B"/>
    <w:p w14:paraId="3C936B21" w14:textId="625A3914" w:rsidR="00FA1F5B" w:rsidRDefault="00FA1F5B" w:rsidP="00FA1F5B">
      <w:r>
        <w:t xml:space="preserve">Age 19+ golden perch </w:t>
      </w:r>
      <w:r w:rsidRPr="00FC5F5D">
        <w:t>(spawned in 1996/97)</w:t>
      </w:r>
      <w:r>
        <w:t xml:space="preserve"> comprised 14% of the sampled population in the gorge geomorphic region of the lower Murray River</w:t>
      </w:r>
      <w:r w:rsidR="000F58A5">
        <w:t xml:space="preserve"> (Figure H10)</w:t>
      </w:r>
      <w:r>
        <w:t xml:space="preserve">. </w:t>
      </w:r>
      <w:r w:rsidRPr="005841E1">
        <w:t xml:space="preserve">Five age 19+ </w:t>
      </w:r>
      <w:r>
        <w:t xml:space="preserve">golden perch were analysed for otolith </w:t>
      </w:r>
      <w:r w:rsidRPr="00AE3143">
        <w:rPr>
          <w:vertAlign w:val="superscript"/>
        </w:rPr>
        <w:t>87</w:t>
      </w:r>
      <w:r w:rsidRPr="00AE3143">
        <w:t>Sr/</w:t>
      </w:r>
      <w:r w:rsidRPr="00AE3143">
        <w:rPr>
          <w:vertAlign w:val="superscript"/>
        </w:rPr>
        <w:t>86</w:t>
      </w:r>
      <w:r w:rsidRPr="00AE3143">
        <w:t>Sr</w:t>
      </w:r>
      <w:r>
        <w:t xml:space="preserve"> and all</w:t>
      </w:r>
      <w:r w:rsidRPr="005841E1">
        <w:t xml:space="preserve"> exhibited </w:t>
      </w:r>
      <w:r>
        <w:t xml:space="preserve">similar </w:t>
      </w:r>
      <w:r w:rsidRPr="005841E1">
        <w:t xml:space="preserve">otolith core </w:t>
      </w:r>
      <w:r w:rsidRPr="008D1BCD">
        <w:rPr>
          <w:vertAlign w:val="superscript"/>
        </w:rPr>
        <w:t>87</w:t>
      </w:r>
      <w:r w:rsidRPr="008D1BCD">
        <w:t>Sr/</w:t>
      </w:r>
      <w:r w:rsidRPr="008D1BCD">
        <w:rPr>
          <w:vertAlign w:val="superscript"/>
        </w:rPr>
        <w:t>86</w:t>
      </w:r>
      <w:r w:rsidRPr="008D1BCD">
        <w:t>Sr</w:t>
      </w:r>
      <w:r>
        <w:t xml:space="preserve"> values (0.7130–0.7136, Table </w:t>
      </w:r>
      <w:r w:rsidR="007E5224">
        <w:t>H</w:t>
      </w:r>
      <w:r w:rsidR="00487A0B">
        <w:t>6</w:t>
      </w:r>
      <w:r>
        <w:t>), indicative of a lower River Murray spawning origin (</w:t>
      </w:r>
      <w:r w:rsidR="006F3182">
        <w:t>Figure H12</w:t>
      </w:r>
      <w:r>
        <w:t xml:space="preserve">). </w:t>
      </w:r>
      <w:r w:rsidRPr="00AE3143">
        <w:t xml:space="preserve">Transects of otolith </w:t>
      </w:r>
      <w:r w:rsidRPr="00AE3143">
        <w:rPr>
          <w:vertAlign w:val="superscript"/>
        </w:rPr>
        <w:t>87</w:t>
      </w:r>
      <w:r w:rsidRPr="00AE3143">
        <w:t>Sr/</w:t>
      </w:r>
      <w:r w:rsidRPr="00AE3143">
        <w:rPr>
          <w:vertAlign w:val="superscript"/>
        </w:rPr>
        <w:t>86</w:t>
      </w:r>
      <w:r w:rsidRPr="00AE3143">
        <w:t>Sr, indicate all five fish had spent their entire lives i</w:t>
      </w:r>
      <w:r w:rsidR="006F3182">
        <w:t>n the lower Murray River (</w:t>
      </w:r>
      <w:r w:rsidR="00667095">
        <w:t>Figure H16</w:t>
      </w:r>
      <w:r>
        <w:t xml:space="preserve">) with variability in  </w:t>
      </w:r>
      <w:r w:rsidRPr="00AE3143">
        <w:rPr>
          <w:vertAlign w:val="superscript"/>
        </w:rPr>
        <w:t>87</w:t>
      </w:r>
      <w:r w:rsidRPr="00AE3143">
        <w:t>Sr/</w:t>
      </w:r>
      <w:r w:rsidRPr="00AE3143">
        <w:rPr>
          <w:vertAlign w:val="superscript"/>
        </w:rPr>
        <w:t>86</w:t>
      </w:r>
      <w:r w:rsidRPr="00AE3143">
        <w:t>Sr</w:t>
      </w:r>
      <w:r>
        <w:t xml:space="preserve"> a result of fish moving within the lower Murray or reflecting temporal variability in water </w:t>
      </w:r>
      <w:r w:rsidRPr="00374DB4">
        <w:rPr>
          <w:vertAlign w:val="superscript"/>
        </w:rPr>
        <w:t>87</w:t>
      </w:r>
      <w:r w:rsidRPr="00374DB4">
        <w:t>Sr/</w:t>
      </w:r>
      <w:r w:rsidRPr="00374DB4">
        <w:rPr>
          <w:vertAlign w:val="superscript"/>
        </w:rPr>
        <w:t>86</w:t>
      </w:r>
      <w:r w:rsidRPr="00374DB4">
        <w:t>Sr</w:t>
      </w:r>
      <w:r w:rsidR="00667095">
        <w:t xml:space="preserve"> in this region.</w:t>
      </w:r>
    </w:p>
    <w:p w14:paraId="1C555B5B" w14:textId="2D126C59" w:rsidR="00FA1F5B" w:rsidRDefault="00E17D42" w:rsidP="00934963">
      <w:pPr>
        <w:jc w:val="center"/>
      </w:pPr>
      <w:r w:rsidRPr="00E17D42">
        <w:rPr>
          <w:noProof/>
          <w:lang w:eastAsia="en-AU"/>
        </w:rPr>
        <w:lastRenderedPageBreak/>
        <w:drawing>
          <wp:inline distT="0" distB="0" distL="0" distR="0" wp14:anchorId="755FABA6" wp14:editId="707EB4A3">
            <wp:extent cx="5743575" cy="2265844"/>
            <wp:effectExtent l="0" t="0" r="0" b="127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0" cstate="email">
                      <a:extLst>
                        <a:ext uri="{28A0092B-C50C-407E-A947-70E740481C1C}">
                          <a14:useLocalDpi xmlns:a14="http://schemas.microsoft.com/office/drawing/2010/main"/>
                        </a:ext>
                      </a:extLst>
                    </a:blip>
                    <a:srcRect t="12344" r="1212"/>
                    <a:stretch/>
                  </pic:blipFill>
                  <pic:spPr bwMode="auto">
                    <a:xfrm>
                      <a:off x="0" y="0"/>
                      <a:ext cx="5750602" cy="2268616"/>
                    </a:xfrm>
                    <a:prstGeom prst="rect">
                      <a:avLst/>
                    </a:prstGeom>
                    <a:noFill/>
                    <a:ln>
                      <a:noFill/>
                    </a:ln>
                    <a:extLst>
                      <a:ext uri="{53640926-AAD7-44D8-BBD7-CCE9431645EC}">
                        <a14:shadowObscured xmlns:a14="http://schemas.microsoft.com/office/drawing/2010/main"/>
                      </a:ext>
                    </a:extLst>
                  </pic:spPr>
                </pic:pic>
              </a:graphicData>
            </a:graphic>
          </wp:inline>
        </w:drawing>
      </w:r>
    </w:p>
    <w:p w14:paraId="119E7CD7" w14:textId="1019F711" w:rsidR="00FA1F5B" w:rsidRDefault="00FA1F5B" w:rsidP="00B46038">
      <w:pPr>
        <w:pStyle w:val="Captions"/>
      </w:pPr>
      <w:r>
        <w:t xml:space="preserve">Figure </w:t>
      </w:r>
      <w:r w:rsidR="007E5224">
        <w:t>H16</w:t>
      </w:r>
      <w:r>
        <w:t xml:space="preserve">. </w:t>
      </w:r>
      <w:r w:rsidRPr="00005E11">
        <w:t>An individual life</w:t>
      </w:r>
      <w:r w:rsidR="00CA1E4D">
        <w:t xml:space="preserve"> </w:t>
      </w:r>
      <w:r w:rsidRPr="00005E11">
        <w:t xml:space="preserve">history profile based on transect analysis of </w:t>
      </w:r>
      <w:r w:rsidRPr="00005E11">
        <w:rPr>
          <w:vertAlign w:val="superscript"/>
        </w:rPr>
        <w:t>87</w:t>
      </w:r>
      <w:r w:rsidRPr="00005E11">
        <w:t>Sr/</w:t>
      </w:r>
      <w:r w:rsidRPr="00005E11">
        <w:rPr>
          <w:vertAlign w:val="superscript"/>
        </w:rPr>
        <w:t>86</w:t>
      </w:r>
      <w:r w:rsidRPr="00005E11">
        <w:t xml:space="preserve">Sr from the core to edge of an otolith from an age </w:t>
      </w:r>
      <w:r>
        <w:t>19</w:t>
      </w:r>
      <w:r w:rsidRPr="00005E11">
        <w:t xml:space="preserve">+ </w:t>
      </w:r>
      <w:r>
        <w:t xml:space="preserve">golden </w:t>
      </w:r>
      <w:r w:rsidRPr="00005E11">
        <w:t>perch collected</w:t>
      </w:r>
      <w:r w:rsidR="00C25621" w:rsidRPr="00C25621">
        <w:t xml:space="preserve"> </w:t>
      </w:r>
      <w:r w:rsidR="00C25621">
        <w:t>from (a) Swan Reach and (b) Caurnamont</w:t>
      </w:r>
      <w:r w:rsidRPr="00005E11">
        <w:t xml:space="preserve"> in the </w:t>
      </w:r>
      <w:r>
        <w:t>gorge</w:t>
      </w:r>
      <w:r w:rsidRPr="00005E11">
        <w:t xml:space="preserve"> geomorphic region of the lower River Murray. </w:t>
      </w:r>
      <w:r w:rsidR="001D75C2">
        <w:t>Green</w:t>
      </w:r>
      <w:r w:rsidR="001D75C2" w:rsidRPr="00005E11">
        <w:t xml:space="preserve"> </w:t>
      </w:r>
      <w:r w:rsidRPr="00005E11">
        <w:t xml:space="preserve">dashed line indicates the temporally stable water </w:t>
      </w:r>
      <w:r w:rsidRPr="00005E11">
        <w:rPr>
          <w:vertAlign w:val="superscript"/>
        </w:rPr>
        <w:t>87</w:t>
      </w:r>
      <w:r w:rsidRPr="00005E11">
        <w:t>Sr/</w:t>
      </w:r>
      <w:r w:rsidRPr="00005E11">
        <w:rPr>
          <w:vertAlign w:val="superscript"/>
        </w:rPr>
        <w:t>86</w:t>
      </w:r>
      <w:r w:rsidRPr="00005E11">
        <w:t xml:space="preserve">Sr of the lower Darling River </w:t>
      </w:r>
      <w:r w:rsidR="006F3182">
        <w:t xml:space="preserve">(i.e. </w:t>
      </w:r>
      <w:r w:rsidR="006F3182" w:rsidRPr="00F703BA">
        <w:t>~0.7075</w:t>
      </w:r>
      <w:r w:rsidR="006F3182">
        <w:t xml:space="preserve">) </w:t>
      </w:r>
      <w:r w:rsidRPr="00005E11">
        <w:t xml:space="preserve">and the </w:t>
      </w:r>
      <w:r w:rsidR="001D75C2">
        <w:t>blue</w:t>
      </w:r>
      <w:r w:rsidR="001D75C2" w:rsidRPr="00005E11">
        <w:t xml:space="preserve"> </w:t>
      </w:r>
      <w:r w:rsidRPr="00005E11">
        <w:t xml:space="preserve">dashed lines represent the range of water </w:t>
      </w:r>
      <w:r w:rsidRPr="00005E11">
        <w:rPr>
          <w:vertAlign w:val="superscript"/>
        </w:rPr>
        <w:t>87</w:t>
      </w:r>
      <w:r w:rsidRPr="00005E11">
        <w:t>Sr/</w:t>
      </w:r>
      <w:r w:rsidRPr="00005E11">
        <w:rPr>
          <w:vertAlign w:val="superscript"/>
        </w:rPr>
        <w:t>86</w:t>
      </w:r>
      <w:r w:rsidRPr="00005E11">
        <w:t xml:space="preserve">Sr in the lower River Murray (i.e. ~0.7080–0.7160). Red dashed lines represent the range of water </w:t>
      </w:r>
      <w:r w:rsidRPr="00005E11">
        <w:rPr>
          <w:vertAlign w:val="superscript"/>
        </w:rPr>
        <w:t>87</w:t>
      </w:r>
      <w:r w:rsidRPr="00005E11">
        <w:t>Sr/</w:t>
      </w:r>
      <w:r w:rsidRPr="00005E11">
        <w:rPr>
          <w:vertAlign w:val="superscript"/>
        </w:rPr>
        <w:t>86</w:t>
      </w:r>
      <w:r w:rsidRPr="00005E11">
        <w:t xml:space="preserve">Sr in the mid-Murray </w:t>
      </w:r>
      <w:r w:rsidR="00D20187" w:rsidRPr="00005E11">
        <w:t xml:space="preserve">River </w:t>
      </w:r>
      <w:r w:rsidRPr="00005E11">
        <w:t>(Lock 11–Torrumbarry, ~0.7160–0.7190).</w:t>
      </w:r>
    </w:p>
    <w:p w14:paraId="65A0AB13" w14:textId="7CBB7984" w:rsidR="007E43D4" w:rsidRDefault="007E43D4" w:rsidP="00FA1F5B">
      <w:pPr>
        <w:rPr>
          <w:u w:val="single"/>
        </w:rPr>
      </w:pPr>
    </w:p>
    <w:p w14:paraId="01EA0E71" w14:textId="77777777" w:rsidR="00FA1F5B" w:rsidRPr="00F703BA" w:rsidRDefault="00FA1F5B" w:rsidP="00FA1F5B">
      <w:pPr>
        <w:rPr>
          <w:u w:val="single"/>
        </w:rPr>
      </w:pPr>
      <w:r>
        <w:rPr>
          <w:u w:val="single"/>
        </w:rPr>
        <w:t>Silver perch</w:t>
      </w:r>
    </w:p>
    <w:p w14:paraId="0B38AE57" w14:textId="3A4C991F" w:rsidR="00FA1F5B" w:rsidRDefault="00FA1F5B" w:rsidP="00FA1F5B">
      <w:r>
        <w:t xml:space="preserve">Like golden perch, distinct age cohorts in the sampled silver perch population exhibited a range of natal origins and migration histories. Two age 2+ silver perch (spawned in 2013/14) exhibited otolith core and transect </w:t>
      </w:r>
      <w:r w:rsidRPr="005E1F18">
        <w:rPr>
          <w:vertAlign w:val="superscript"/>
        </w:rPr>
        <w:t>87</w:t>
      </w:r>
      <w:r w:rsidRPr="005E1F18">
        <w:t>Sr/</w:t>
      </w:r>
      <w:r w:rsidRPr="005E1F18">
        <w:rPr>
          <w:vertAlign w:val="superscript"/>
        </w:rPr>
        <w:t>86</w:t>
      </w:r>
      <w:r w:rsidRPr="005E1F18">
        <w:t>Sr</w:t>
      </w:r>
      <w:r>
        <w:t xml:space="preserve"> indicative of a lower River Murray spawning origin and occupation of this region throughout their lives (Table </w:t>
      </w:r>
      <w:r w:rsidR="007E5224">
        <w:t>H</w:t>
      </w:r>
      <w:r w:rsidR="00487A0B">
        <w:t>7</w:t>
      </w:r>
      <w:r w:rsidR="00624546">
        <w:t>;</w:t>
      </w:r>
      <w:r>
        <w:t xml:space="preserve"> Figure</w:t>
      </w:r>
      <w:r w:rsidR="00624546">
        <w:t xml:space="preserve"> H17</w:t>
      </w:r>
      <w:r>
        <w:t>)</w:t>
      </w:r>
      <w:r w:rsidR="00667095">
        <w:t>.</w:t>
      </w:r>
    </w:p>
    <w:p w14:paraId="2822D37D" w14:textId="3F31B729" w:rsidR="000F2E0B" w:rsidRDefault="000F2E0B" w:rsidP="00B46038">
      <w:pPr>
        <w:pStyle w:val="Captions"/>
      </w:pPr>
    </w:p>
    <w:p w14:paraId="5130EA19" w14:textId="77777777" w:rsidR="0096486F" w:rsidRDefault="0096486F" w:rsidP="00B46038">
      <w:pPr>
        <w:pStyle w:val="Captions"/>
      </w:pPr>
    </w:p>
    <w:p w14:paraId="57F9EC87" w14:textId="77777777" w:rsidR="0096486F" w:rsidRDefault="0096486F">
      <w:pPr>
        <w:spacing w:before="0" w:after="200" w:line="276" w:lineRule="auto"/>
        <w:jc w:val="left"/>
        <w:rPr>
          <w:rFonts w:eastAsia="MS Mincho" w:cs="Arial"/>
          <w:b/>
          <w:bCs/>
          <w:color w:val="auto"/>
          <w:kern w:val="0"/>
          <w:sz w:val="20"/>
          <w:lang w:val="en-US"/>
        </w:rPr>
      </w:pPr>
      <w:r>
        <w:br w:type="page"/>
      </w:r>
    </w:p>
    <w:p w14:paraId="3FE9EFBC" w14:textId="4F280238" w:rsidR="00FA1F5B" w:rsidRPr="00707A77" w:rsidRDefault="00FA1F5B" w:rsidP="00B46038">
      <w:pPr>
        <w:pStyle w:val="Captions"/>
      </w:pPr>
      <w:r w:rsidRPr="00707A77">
        <w:lastRenderedPageBreak/>
        <w:t xml:space="preserve">Table </w:t>
      </w:r>
      <w:r w:rsidR="007E5224">
        <w:t>H</w:t>
      </w:r>
      <w:r w:rsidR="00487A0B">
        <w:t>7</w:t>
      </w:r>
      <w:r w:rsidRPr="00707A77">
        <w:t xml:space="preserve">. Capture location and region, length (mm), age (years) and spawn year, and otolith core </w:t>
      </w:r>
      <w:r w:rsidRPr="00707A77">
        <w:rPr>
          <w:vertAlign w:val="superscript"/>
        </w:rPr>
        <w:t>87</w:t>
      </w:r>
      <w:r w:rsidRPr="00707A77">
        <w:t>Sr/</w:t>
      </w:r>
      <w:r w:rsidRPr="00707A77">
        <w:rPr>
          <w:vertAlign w:val="superscript"/>
        </w:rPr>
        <w:t>86</w:t>
      </w:r>
      <w:r w:rsidRPr="00707A77">
        <w:t xml:space="preserve">Sr of </w:t>
      </w:r>
      <w:r>
        <w:t>8</w:t>
      </w:r>
      <w:r w:rsidRPr="00707A77">
        <w:t xml:space="preserve"> </w:t>
      </w:r>
      <w:r>
        <w:t>silver</w:t>
      </w:r>
      <w:r w:rsidRPr="00707A77">
        <w:t xml:space="preserve"> perch collected from the</w:t>
      </w:r>
      <w:r>
        <w:t xml:space="preserve"> floodplain geomorphic region of</w:t>
      </w:r>
      <w:r w:rsidRPr="00707A77">
        <w:t xml:space="preserve"> lower River Murray in April 2016.</w:t>
      </w:r>
      <w:r w:rsidR="00125268">
        <w:t xml:space="preserve"> L</w:t>
      </w:r>
      <w:r w:rsidR="00125268" w:rsidRPr="00125268">
        <w:t>ife</w:t>
      </w:r>
      <w:r w:rsidR="00CA1E4D">
        <w:t xml:space="preserve"> </w:t>
      </w:r>
      <w:r w:rsidR="00125268" w:rsidRPr="00125268">
        <w:t>history profiles</w:t>
      </w:r>
      <w:r w:rsidR="00125268">
        <w:t xml:space="preserve"> are shown for individuals marked with *.</w:t>
      </w:r>
    </w:p>
    <w:tbl>
      <w:tblPr>
        <w:tblStyle w:val="LightShading1"/>
        <w:tblW w:w="0" w:type="auto"/>
        <w:tblLayout w:type="fixed"/>
        <w:tblLook w:val="04A0" w:firstRow="1" w:lastRow="0" w:firstColumn="1" w:lastColumn="0" w:noHBand="0" w:noVBand="1"/>
      </w:tblPr>
      <w:tblGrid>
        <w:gridCol w:w="1526"/>
        <w:gridCol w:w="2410"/>
        <w:gridCol w:w="992"/>
        <w:gridCol w:w="1134"/>
        <w:gridCol w:w="1276"/>
        <w:gridCol w:w="1701"/>
      </w:tblGrid>
      <w:tr w:rsidR="00FA1F5B" w:rsidRPr="002E63ED" w14:paraId="5C23631E" w14:textId="77777777" w:rsidTr="003070F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0C9ECEFD" w14:textId="77777777" w:rsidR="00FA1F5B" w:rsidRPr="002E63ED" w:rsidRDefault="00FA1F5B" w:rsidP="003E344C">
            <w:pPr>
              <w:spacing w:line="240" w:lineRule="auto"/>
              <w:rPr>
                <w:sz w:val="19"/>
                <w:szCs w:val="19"/>
              </w:rPr>
            </w:pPr>
            <w:r w:rsidRPr="002E63ED">
              <w:rPr>
                <w:sz w:val="19"/>
                <w:szCs w:val="19"/>
              </w:rPr>
              <w:t>Region</w:t>
            </w:r>
          </w:p>
        </w:tc>
        <w:tc>
          <w:tcPr>
            <w:tcW w:w="2410" w:type="dxa"/>
            <w:shd w:val="clear" w:color="auto" w:fill="auto"/>
            <w:vAlign w:val="center"/>
          </w:tcPr>
          <w:p w14:paraId="437766DF" w14:textId="77777777" w:rsidR="00FA1F5B" w:rsidRPr="002E63ED" w:rsidRDefault="00FA1F5B" w:rsidP="003E344C">
            <w:pPr>
              <w:spacing w:line="240" w:lineRule="auto"/>
              <w:cnfStyle w:val="100000000000" w:firstRow="1" w:lastRow="0" w:firstColumn="0" w:lastColumn="0" w:oddVBand="0" w:evenVBand="0" w:oddHBand="0" w:evenHBand="0" w:firstRowFirstColumn="0" w:firstRowLastColumn="0" w:lastRowFirstColumn="0" w:lastRowLastColumn="0"/>
              <w:rPr>
                <w:sz w:val="19"/>
                <w:szCs w:val="19"/>
              </w:rPr>
            </w:pPr>
            <w:r w:rsidRPr="002E63ED">
              <w:rPr>
                <w:sz w:val="19"/>
                <w:szCs w:val="19"/>
              </w:rPr>
              <w:t>Capture location</w:t>
            </w:r>
          </w:p>
        </w:tc>
        <w:tc>
          <w:tcPr>
            <w:tcW w:w="992" w:type="dxa"/>
            <w:shd w:val="clear" w:color="auto" w:fill="auto"/>
            <w:vAlign w:val="center"/>
          </w:tcPr>
          <w:p w14:paraId="56B2643C" w14:textId="77777777" w:rsidR="00FA1F5B" w:rsidRPr="002E63ED" w:rsidRDefault="00FA1F5B" w:rsidP="003E344C">
            <w:pPr>
              <w:spacing w:line="240" w:lineRule="auto"/>
              <w:jc w:val="center"/>
              <w:cnfStyle w:val="100000000000" w:firstRow="1" w:lastRow="0" w:firstColumn="0" w:lastColumn="0" w:oddVBand="0" w:evenVBand="0" w:oddHBand="0" w:evenHBand="0" w:firstRowFirstColumn="0" w:firstRowLastColumn="0" w:lastRowFirstColumn="0" w:lastRowLastColumn="0"/>
              <w:rPr>
                <w:sz w:val="19"/>
                <w:szCs w:val="19"/>
              </w:rPr>
            </w:pPr>
            <w:r w:rsidRPr="002E63ED">
              <w:rPr>
                <w:sz w:val="19"/>
                <w:szCs w:val="19"/>
              </w:rPr>
              <w:t>Length (mm)</w:t>
            </w:r>
          </w:p>
        </w:tc>
        <w:tc>
          <w:tcPr>
            <w:tcW w:w="1134" w:type="dxa"/>
            <w:shd w:val="clear" w:color="auto" w:fill="auto"/>
            <w:vAlign w:val="center"/>
          </w:tcPr>
          <w:p w14:paraId="14BC28DE" w14:textId="77777777" w:rsidR="00FA1F5B" w:rsidRPr="002E63ED" w:rsidRDefault="00FA1F5B" w:rsidP="003E344C">
            <w:pPr>
              <w:spacing w:line="240" w:lineRule="auto"/>
              <w:jc w:val="center"/>
              <w:cnfStyle w:val="100000000000" w:firstRow="1" w:lastRow="0" w:firstColumn="0" w:lastColumn="0" w:oddVBand="0" w:evenVBand="0" w:oddHBand="0" w:evenHBand="0" w:firstRowFirstColumn="0" w:firstRowLastColumn="0" w:lastRowFirstColumn="0" w:lastRowLastColumn="0"/>
              <w:rPr>
                <w:sz w:val="19"/>
                <w:szCs w:val="19"/>
              </w:rPr>
            </w:pPr>
            <w:r w:rsidRPr="002E63ED">
              <w:rPr>
                <w:sz w:val="19"/>
                <w:szCs w:val="19"/>
              </w:rPr>
              <w:t>Age</w:t>
            </w:r>
          </w:p>
          <w:p w14:paraId="117882AD" w14:textId="77777777" w:rsidR="00FA1F5B" w:rsidRPr="002E63ED" w:rsidRDefault="00FA1F5B" w:rsidP="003E344C">
            <w:pPr>
              <w:spacing w:line="240" w:lineRule="auto"/>
              <w:jc w:val="center"/>
              <w:cnfStyle w:val="100000000000" w:firstRow="1" w:lastRow="0" w:firstColumn="0" w:lastColumn="0" w:oddVBand="0" w:evenVBand="0" w:oddHBand="0" w:evenHBand="0" w:firstRowFirstColumn="0" w:firstRowLastColumn="0" w:lastRowFirstColumn="0" w:lastRowLastColumn="0"/>
              <w:rPr>
                <w:sz w:val="19"/>
                <w:szCs w:val="19"/>
              </w:rPr>
            </w:pPr>
            <w:r w:rsidRPr="002E63ED">
              <w:rPr>
                <w:sz w:val="19"/>
                <w:szCs w:val="19"/>
              </w:rPr>
              <w:t>(years)</w:t>
            </w:r>
          </w:p>
        </w:tc>
        <w:tc>
          <w:tcPr>
            <w:tcW w:w="1276" w:type="dxa"/>
            <w:shd w:val="clear" w:color="auto" w:fill="auto"/>
            <w:vAlign w:val="center"/>
          </w:tcPr>
          <w:p w14:paraId="5739D8E6" w14:textId="77777777" w:rsidR="00FA1F5B" w:rsidRPr="002E63ED" w:rsidRDefault="00FA1F5B" w:rsidP="003E344C">
            <w:pPr>
              <w:spacing w:line="240" w:lineRule="auto"/>
              <w:jc w:val="center"/>
              <w:cnfStyle w:val="100000000000" w:firstRow="1" w:lastRow="0" w:firstColumn="0" w:lastColumn="0" w:oddVBand="0" w:evenVBand="0" w:oddHBand="0" w:evenHBand="0" w:firstRowFirstColumn="0" w:firstRowLastColumn="0" w:lastRowFirstColumn="0" w:lastRowLastColumn="0"/>
              <w:rPr>
                <w:sz w:val="19"/>
                <w:szCs w:val="19"/>
              </w:rPr>
            </w:pPr>
            <w:r w:rsidRPr="002E63ED">
              <w:rPr>
                <w:sz w:val="19"/>
                <w:szCs w:val="19"/>
              </w:rPr>
              <w:t>Spawn year</w:t>
            </w:r>
          </w:p>
        </w:tc>
        <w:tc>
          <w:tcPr>
            <w:tcW w:w="1701" w:type="dxa"/>
            <w:shd w:val="clear" w:color="auto" w:fill="auto"/>
            <w:vAlign w:val="center"/>
          </w:tcPr>
          <w:p w14:paraId="6142D648" w14:textId="77777777" w:rsidR="00FA1F5B" w:rsidRPr="002E63ED" w:rsidRDefault="00FA1F5B" w:rsidP="003E344C">
            <w:pPr>
              <w:spacing w:line="240" w:lineRule="auto"/>
              <w:jc w:val="center"/>
              <w:cnfStyle w:val="100000000000" w:firstRow="1" w:lastRow="0" w:firstColumn="0" w:lastColumn="0" w:oddVBand="0" w:evenVBand="0" w:oddHBand="0" w:evenHBand="0" w:firstRowFirstColumn="0" w:firstRowLastColumn="0" w:lastRowFirstColumn="0" w:lastRowLastColumn="0"/>
              <w:rPr>
                <w:sz w:val="19"/>
                <w:szCs w:val="19"/>
              </w:rPr>
            </w:pPr>
            <w:r w:rsidRPr="002E63ED">
              <w:rPr>
                <w:sz w:val="19"/>
                <w:szCs w:val="19"/>
              </w:rPr>
              <w:t xml:space="preserve">Core </w:t>
            </w:r>
            <w:r w:rsidRPr="002E63ED">
              <w:rPr>
                <w:sz w:val="19"/>
                <w:szCs w:val="19"/>
                <w:vertAlign w:val="superscript"/>
              </w:rPr>
              <w:t>87</w:t>
            </w:r>
            <w:r w:rsidRPr="002E63ED">
              <w:rPr>
                <w:sz w:val="19"/>
                <w:szCs w:val="19"/>
              </w:rPr>
              <w:t>Sr/</w:t>
            </w:r>
            <w:r w:rsidRPr="002E63ED">
              <w:rPr>
                <w:sz w:val="19"/>
                <w:szCs w:val="19"/>
                <w:vertAlign w:val="superscript"/>
              </w:rPr>
              <w:t>86</w:t>
            </w:r>
            <w:r w:rsidRPr="002E63ED">
              <w:rPr>
                <w:sz w:val="19"/>
                <w:szCs w:val="19"/>
              </w:rPr>
              <w:t>Sr</w:t>
            </w:r>
          </w:p>
        </w:tc>
      </w:tr>
      <w:tr w:rsidR="00FA1F5B" w:rsidRPr="002E63ED" w14:paraId="10800A2C" w14:textId="77777777" w:rsidTr="003070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549E635E" w14:textId="77777777" w:rsidR="00FA1F5B" w:rsidRPr="002E63ED" w:rsidRDefault="00FA1F5B" w:rsidP="003E344C">
            <w:pPr>
              <w:spacing w:line="240" w:lineRule="auto"/>
              <w:rPr>
                <w:b w:val="0"/>
                <w:sz w:val="19"/>
                <w:szCs w:val="19"/>
              </w:rPr>
            </w:pPr>
            <w:r w:rsidRPr="002E63ED">
              <w:rPr>
                <w:b w:val="0"/>
                <w:sz w:val="19"/>
                <w:szCs w:val="19"/>
              </w:rPr>
              <w:t>Floodplain</w:t>
            </w:r>
          </w:p>
        </w:tc>
        <w:tc>
          <w:tcPr>
            <w:tcW w:w="2410" w:type="dxa"/>
            <w:shd w:val="clear" w:color="auto" w:fill="auto"/>
          </w:tcPr>
          <w:p w14:paraId="5B56F573" w14:textId="77777777" w:rsidR="00FA1F5B" w:rsidRPr="002E63ED" w:rsidRDefault="00FA1F5B" w:rsidP="003E344C">
            <w:pPr>
              <w:spacing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Rilli Island</w:t>
            </w:r>
          </w:p>
        </w:tc>
        <w:tc>
          <w:tcPr>
            <w:tcW w:w="992" w:type="dxa"/>
            <w:shd w:val="clear" w:color="auto" w:fill="auto"/>
          </w:tcPr>
          <w:p w14:paraId="321310A0" w14:textId="77777777" w:rsidR="00FA1F5B" w:rsidRPr="002E63ED" w:rsidRDefault="00FA1F5B" w:rsidP="003E344C">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263</w:t>
            </w:r>
          </w:p>
        </w:tc>
        <w:tc>
          <w:tcPr>
            <w:tcW w:w="1134" w:type="dxa"/>
            <w:shd w:val="clear" w:color="auto" w:fill="auto"/>
          </w:tcPr>
          <w:p w14:paraId="2071876B" w14:textId="56642852" w:rsidR="00FA1F5B" w:rsidRPr="002E63ED" w:rsidRDefault="00FA1F5B" w:rsidP="003E344C">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2</w:t>
            </w:r>
            <w:r w:rsidR="00125268" w:rsidRPr="002E63ED">
              <w:rPr>
                <w:sz w:val="19"/>
                <w:szCs w:val="19"/>
              </w:rPr>
              <w:t>*</w:t>
            </w:r>
          </w:p>
        </w:tc>
        <w:tc>
          <w:tcPr>
            <w:tcW w:w="1276" w:type="dxa"/>
            <w:shd w:val="clear" w:color="auto" w:fill="auto"/>
          </w:tcPr>
          <w:p w14:paraId="3E64DDAD" w14:textId="77777777" w:rsidR="00FA1F5B" w:rsidRPr="002E63ED" w:rsidRDefault="00FA1F5B" w:rsidP="003E344C">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2013/14</w:t>
            </w:r>
          </w:p>
        </w:tc>
        <w:tc>
          <w:tcPr>
            <w:tcW w:w="1701" w:type="dxa"/>
            <w:shd w:val="clear" w:color="auto" w:fill="auto"/>
          </w:tcPr>
          <w:p w14:paraId="3E990C77" w14:textId="77777777" w:rsidR="00FA1F5B" w:rsidRPr="002E63ED" w:rsidRDefault="00FA1F5B" w:rsidP="003E344C">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0.710252</w:t>
            </w:r>
          </w:p>
        </w:tc>
      </w:tr>
      <w:tr w:rsidR="00FA1F5B" w:rsidRPr="002E63ED" w14:paraId="1FD75505" w14:textId="77777777" w:rsidTr="003070FD">
        <w:trPr>
          <w:trHeight w:val="397"/>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1B1304C4" w14:textId="77777777" w:rsidR="00FA1F5B" w:rsidRPr="002E63ED" w:rsidRDefault="00FA1F5B" w:rsidP="003E344C">
            <w:pPr>
              <w:spacing w:line="240" w:lineRule="auto"/>
              <w:rPr>
                <w:b w:val="0"/>
                <w:sz w:val="19"/>
                <w:szCs w:val="19"/>
              </w:rPr>
            </w:pPr>
            <w:r w:rsidRPr="002E63ED">
              <w:rPr>
                <w:b w:val="0"/>
                <w:sz w:val="19"/>
                <w:szCs w:val="19"/>
              </w:rPr>
              <w:t>Floodplain</w:t>
            </w:r>
          </w:p>
        </w:tc>
        <w:tc>
          <w:tcPr>
            <w:tcW w:w="2410" w:type="dxa"/>
            <w:shd w:val="clear" w:color="auto" w:fill="auto"/>
          </w:tcPr>
          <w:p w14:paraId="43AA9152" w14:textId="77777777" w:rsidR="00FA1F5B" w:rsidRPr="002E63ED" w:rsidRDefault="00FA1F5B" w:rsidP="003E344C">
            <w:pPr>
              <w:spacing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Plushes Bend</w:t>
            </w:r>
          </w:p>
        </w:tc>
        <w:tc>
          <w:tcPr>
            <w:tcW w:w="992" w:type="dxa"/>
            <w:shd w:val="clear" w:color="auto" w:fill="auto"/>
          </w:tcPr>
          <w:p w14:paraId="0195C086" w14:textId="77777777" w:rsidR="00FA1F5B" w:rsidRPr="002E63ED" w:rsidRDefault="00FA1F5B" w:rsidP="003E344C">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226</w:t>
            </w:r>
          </w:p>
        </w:tc>
        <w:tc>
          <w:tcPr>
            <w:tcW w:w="1134" w:type="dxa"/>
            <w:shd w:val="clear" w:color="auto" w:fill="auto"/>
          </w:tcPr>
          <w:p w14:paraId="69077DF7" w14:textId="5B6BAC3A" w:rsidR="00FA1F5B" w:rsidRPr="002E63ED" w:rsidRDefault="00FA1F5B" w:rsidP="003E344C">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2</w:t>
            </w:r>
            <w:r w:rsidR="00125268" w:rsidRPr="002E63ED">
              <w:rPr>
                <w:sz w:val="19"/>
                <w:szCs w:val="19"/>
              </w:rPr>
              <w:t>*</w:t>
            </w:r>
          </w:p>
        </w:tc>
        <w:tc>
          <w:tcPr>
            <w:tcW w:w="1276" w:type="dxa"/>
            <w:shd w:val="clear" w:color="auto" w:fill="auto"/>
          </w:tcPr>
          <w:p w14:paraId="5F7849CA" w14:textId="77777777" w:rsidR="00FA1F5B" w:rsidRPr="002E63ED" w:rsidRDefault="00FA1F5B" w:rsidP="003E344C">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2013/14</w:t>
            </w:r>
          </w:p>
        </w:tc>
        <w:tc>
          <w:tcPr>
            <w:tcW w:w="1701" w:type="dxa"/>
            <w:shd w:val="clear" w:color="auto" w:fill="auto"/>
          </w:tcPr>
          <w:p w14:paraId="24B3C69E" w14:textId="77777777" w:rsidR="00FA1F5B" w:rsidRPr="002E63ED" w:rsidRDefault="00FA1F5B" w:rsidP="003E344C">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0.710591</w:t>
            </w:r>
          </w:p>
        </w:tc>
      </w:tr>
      <w:tr w:rsidR="00FA1F5B" w:rsidRPr="002E63ED" w14:paraId="42F6297A" w14:textId="77777777" w:rsidTr="003070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22E56E72" w14:textId="77777777" w:rsidR="00FA1F5B" w:rsidRPr="002E63ED" w:rsidRDefault="00FA1F5B" w:rsidP="003E344C">
            <w:pPr>
              <w:spacing w:line="240" w:lineRule="auto"/>
              <w:rPr>
                <w:b w:val="0"/>
                <w:sz w:val="19"/>
                <w:szCs w:val="19"/>
              </w:rPr>
            </w:pPr>
            <w:r w:rsidRPr="002E63ED">
              <w:rPr>
                <w:b w:val="0"/>
                <w:sz w:val="19"/>
                <w:szCs w:val="19"/>
              </w:rPr>
              <w:t>Floodplain</w:t>
            </w:r>
          </w:p>
        </w:tc>
        <w:tc>
          <w:tcPr>
            <w:tcW w:w="2410" w:type="dxa"/>
            <w:shd w:val="clear" w:color="auto" w:fill="auto"/>
          </w:tcPr>
          <w:p w14:paraId="56CAC5C8" w14:textId="77777777" w:rsidR="00FA1F5B" w:rsidRPr="002E63ED" w:rsidRDefault="00FA1F5B" w:rsidP="003E344C">
            <w:pPr>
              <w:spacing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Rilli Island</w:t>
            </w:r>
          </w:p>
        </w:tc>
        <w:tc>
          <w:tcPr>
            <w:tcW w:w="992" w:type="dxa"/>
            <w:shd w:val="clear" w:color="auto" w:fill="auto"/>
          </w:tcPr>
          <w:p w14:paraId="3C12769A" w14:textId="77777777" w:rsidR="00FA1F5B" w:rsidRPr="002E63ED" w:rsidRDefault="00FA1F5B" w:rsidP="003E344C">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332</w:t>
            </w:r>
          </w:p>
        </w:tc>
        <w:tc>
          <w:tcPr>
            <w:tcW w:w="1134" w:type="dxa"/>
            <w:shd w:val="clear" w:color="auto" w:fill="auto"/>
          </w:tcPr>
          <w:p w14:paraId="2B5CCFD5" w14:textId="4CBB1020" w:rsidR="00FA1F5B" w:rsidRPr="002E63ED" w:rsidRDefault="00FA1F5B" w:rsidP="003E344C">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4</w:t>
            </w:r>
            <w:r w:rsidR="00125268" w:rsidRPr="002E63ED">
              <w:rPr>
                <w:sz w:val="19"/>
                <w:szCs w:val="19"/>
              </w:rPr>
              <w:t>*</w:t>
            </w:r>
          </w:p>
        </w:tc>
        <w:tc>
          <w:tcPr>
            <w:tcW w:w="1276" w:type="dxa"/>
            <w:shd w:val="clear" w:color="auto" w:fill="auto"/>
          </w:tcPr>
          <w:p w14:paraId="229DE8B6" w14:textId="77777777" w:rsidR="00FA1F5B" w:rsidRPr="002E63ED" w:rsidRDefault="00FA1F5B" w:rsidP="003E344C">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2011/12</w:t>
            </w:r>
          </w:p>
        </w:tc>
        <w:tc>
          <w:tcPr>
            <w:tcW w:w="1701" w:type="dxa"/>
            <w:shd w:val="clear" w:color="auto" w:fill="auto"/>
          </w:tcPr>
          <w:p w14:paraId="1EF548CA" w14:textId="77777777" w:rsidR="00FA1F5B" w:rsidRPr="002E63ED" w:rsidRDefault="00FA1F5B" w:rsidP="003E344C">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0.710633</w:t>
            </w:r>
          </w:p>
        </w:tc>
      </w:tr>
      <w:tr w:rsidR="00FA1F5B" w:rsidRPr="002E63ED" w14:paraId="31A1818E" w14:textId="77777777" w:rsidTr="003070FD">
        <w:trPr>
          <w:trHeight w:val="397"/>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78A1FAB8" w14:textId="77777777" w:rsidR="00FA1F5B" w:rsidRPr="002E63ED" w:rsidRDefault="00FA1F5B" w:rsidP="003E344C">
            <w:pPr>
              <w:spacing w:line="240" w:lineRule="auto"/>
              <w:rPr>
                <w:b w:val="0"/>
                <w:sz w:val="19"/>
                <w:szCs w:val="19"/>
              </w:rPr>
            </w:pPr>
            <w:r w:rsidRPr="002E63ED">
              <w:rPr>
                <w:b w:val="0"/>
                <w:sz w:val="19"/>
                <w:szCs w:val="19"/>
              </w:rPr>
              <w:t>Floodplain</w:t>
            </w:r>
          </w:p>
        </w:tc>
        <w:tc>
          <w:tcPr>
            <w:tcW w:w="2410" w:type="dxa"/>
            <w:shd w:val="clear" w:color="auto" w:fill="auto"/>
          </w:tcPr>
          <w:p w14:paraId="791C5708" w14:textId="77777777" w:rsidR="00FA1F5B" w:rsidRPr="002E63ED" w:rsidRDefault="00FA1F5B" w:rsidP="003E344C">
            <w:pPr>
              <w:spacing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Rilli Island</w:t>
            </w:r>
          </w:p>
        </w:tc>
        <w:tc>
          <w:tcPr>
            <w:tcW w:w="992" w:type="dxa"/>
            <w:shd w:val="clear" w:color="auto" w:fill="auto"/>
          </w:tcPr>
          <w:p w14:paraId="4F43C737" w14:textId="77777777" w:rsidR="00FA1F5B" w:rsidRPr="002E63ED" w:rsidRDefault="00FA1F5B" w:rsidP="003E344C">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283</w:t>
            </w:r>
          </w:p>
        </w:tc>
        <w:tc>
          <w:tcPr>
            <w:tcW w:w="1134" w:type="dxa"/>
            <w:shd w:val="clear" w:color="auto" w:fill="auto"/>
          </w:tcPr>
          <w:p w14:paraId="763E65D0" w14:textId="3F667A69" w:rsidR="00FA1F5B" w:rsidRPr="002E63ED" w:rsidRDefault="00FA1F5B" w:rsidP="003E344C">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4</w:t>
            </w:r>
            <w:r w:rsidR="00125268" w:rsidRPr="002E63ED">
              <w:rPr>
                <w:sz w:val="19"/>
                <w:szCs w:val="19"/>
              </w:rPr>
              <w:t>*</w:t>
            </w:r>
          </w:p>
        </w:tc>
        <w:tc>
          <w:tcPr>
            <w:tcW w:w="1276" w:type="dxa"/>
            <w:shd w:val="clear" w:color="auto" w:fill="auto"/>
          </w:tcPr>
          <w:p w14:paraId="52D4DEC9" w14:textId="77777777" w:rsidR="00FA1F5B" w:rsidRPr="002E63ED" w:rsidRDefault="00FA1F5B" w:rsidP="003E344C">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2011/12</w:t>
            </w:r>
          </w:p>
        </w:tc>
        <w:tc>
          <w:tcPr>
            <w:tcW w:w="1701" w:type="dxa"/>
            <w:shd w:val="clear" w:color="auto" w:fill="auto"/>
          </w:tcPr>
          <w:p w14:paraId="4B73B988" w14:textId="77777777" w:rsidR="00FA1F5B" w:rsidRPr="002E63ED" w:rsidRDefault="00FA1F5B" w:rsidP="003E344C">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0.707364</w:t>
            </w:r>
          </w:p>
        </w:tc>
      </w:tr>
      <w:tr w:rsidR="00FA1F5B" w:rsidRPr="002E63ED" w14:paraId="32C32D17" w14:textId="77777777" w:rsidTr="003070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1BF3F4B0" w14:textId="77777777" w:rsidR="00FA1F5B" w:rsidRPr="002E63ED" w:rsidRDefault="00FA1F5B" w:rsidP="003E344C">
            <w:pPr>
              <w:spacing w:line="240" w:lineRule="auto"/>
              <w:rPr>
                <w:b w:val="0"/>
                <w:sz w:val="19"/>
                <w:szCs w:val="19"/>
              </w:rPr>
            </w:pPr>
            <w:r w:rsidRPr="002E63ED">
              <w:rPr>
                <w:b w:val="0"/>
                <w:sz w:val="19"/>
                <w:szCs w:val="19"/>
              </w:rPr>
              <w:t>Floodplain</w:t>
            </w:r>
          </w:p>
        </w:tc>
        <w:tc>
          <w:tcPr>
            <w:tcW w:w="2410" w:type="dxa"/>
            <w:shd w:val="clear" w:color="auto" w:fill="auto"/>
          </w:tcPr>
          <w:p w14:paraId="78FEBE14" w14:textId="77777777" w:rsidR="00FA1F5B" w:rsidRPr="002E63ED" w:rsidRDefault="00FA1F5B" w:rsidP="003E344C">
            <w:pPr>
              <w:spacing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Plushes Bend</w:t>
            </w:r>
          </w:p>
        </w:tc>
        <w:tc>
          <w:tcPr>
            <w:tcW w:w="992" w:type="dxa"/>
            <w:shd w:val="clear" w:color="auto" w:fill="auto"/>
          </w:tcPr>
          <w:p w14:paraId="5FCF03AB" w14:textId="77777777" w:rsidR="00FA1F5B" w:rsidRPr="002E63ED" w:rsidRDefault="00FA1F5B" w:rsidP="003E344C">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333</w:t>
            </w:r>
          </w:p>
        </w:tc>
        <w:tc>
          <w:tcPr>
            <w:tcW w:w="1134" w:type="dxa"/>
            <w:shd w:val="clear" w:color="auto" w:fill="auto"/>
          </w:tcPr>
          <w:p w14:paraId="23CCA172" w14:textId="77777777" w:rsidR="00FA1F5B" w:rsidRPr="002E63ED" w:rsidRDefault="00FA1F5B" w:rsidP="003E344C">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4</w:t>
            </w:r>
          </w:p>
        </w:tc>
        <w:tc>
          <w:tcPr>
            <w:tcW w:w="1276" w:type="dxa"/>
            <w:shd w:val="clear" w:color="auto" w:fill="auto"/>
          </w:tcPr>
          <w:p w14:paraId="7C5A6295" w14:textId="77777777" w:rsidR="00FA1F5B" w:rsidRPr="002E63ED" w:rsidRDefault="00FA1F5B" w:rsidP="003E344C">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2011/12</w:t>
            </w:r>
          </w:p>
        </w:tc>
        <w:tc>
          <w:tcPr>
            <w:tcW w:w="1701" w:type="dxa"/>
            <w:shd w:val="clear" w:color="auto" w:fill="auto"/>
          </w:tcPr>
          <w:p w14:paraId="3284FBF8" w14:textId="77777777" w:rsidR="00FA1F5B" w:rsidRPr="002E63ED" w:rsidRDefault="00FA1F5B" w:rsidP="003E344C">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0.709051</w:t>
            </w:r>
          </w:p>
        </w:tc>
      </w:tr>
      <w:tr w:rsidR="00FA1F5B" w:rsidRPr="002E63ED" w14:paraId="221C3839" w14:textId="77777777" w:rsidTr="003070FD">
        <w:trPr>
          <w:trHeight w:val="397"/>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04A59696" w14:textId="77777777" w:rsidR="00FA1F5B" w:rsidRPr="002E63ED" w:rsidRDefault="00FA1F5B" w:rsidP="003E344C">
            <w:pPr>
              <w:spacing w:line="240" w:lineRule="auto"/>
              <w:rPr>
                <w:b w:val="0"/>
                <w:sz w:val="19"/>
                <w:szCs w:val="19"/>
              </w:rPr>
            </w:pPr>
            <w:r w:rsidRPr="002E63ED">
              <w:rPr>
                <w:b w:val="0"/>
                <w:sz w:val="19"/>
                <w:szCs w:val="19"/>
              </w:rPr>
              <w:t>Floodplain</w:t>
            </w:r>
          </w:p>
        </w:tc>
        <w:tc>
          <w:tcPr>
            <w:tcW w:w="2410" w:type="dxa"/>
            <w:shd w:val="clear" w:color="auto" w:fill="auto"/>
          </w:tcPr>
          <w:p w14:paraId="5F8EBA0E" w14:textId="77777777" w:rsidR="00FA1F5B" w:rsidRPr="002E63ED" w:rsidRDefault="00FA1F5B" w:rsidP="003E344C">
            <w:pPr>
              <w:spacing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Plushes Bend</w:t>
            </w:r>
          </w:p>
        </w:tc>
        <w:tc>
          <w:tcPr>
            <w:tcW w:w="992" w:type="dxa"/>
            <w:shd w:val="clear" w:color="auto" w:fill="auto"/>
          </w:tcPr>
          <w:p w14:paraId="01848275" w14:textId="77777777" w:rsidR="00FA1F5B" w:rsidRPr="002E63ED" w:rsidRDefault="00FA1F5B" w:rsidP="003E344C">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312</w:t>
            </w:r>
          </w:p>
        </w:tc>
        <w:tc>
          <w:tcPr>
            <w:tcW w:w="1134" w:type="dxa"/>
            <w:shd w:val="clear" w:color="auto" w:fill="auto"/>
          </w:tcPr>
          <w:p w14:paraId="538D6E09" w14:textId="77777777" w:rsidR="00FA1F5B" w:rsidRPr="002E63ED" w:rsidRDefault="00FA1F5B" w:rsidP="003E344C">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5</w:t>
            </w:r>
          </w:p>
        </w:tc>
        <w:tc>
          <w:tcPr>
            <w:tcW w:w="1276" w:type="dxa"/>
            <w:shd w:val="clear" w:color="auto" w:fill="auto"/>
          </w:tcPr>
          <w:p w14:paraId="73C33D90" w14:textId="77777777" w:rsidR="00FA1F5B" w:rsidRPr="002E63ED" w:rsidRDefault="00FA1F5B" w:rsidP="003E344C">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2010/11</w:t>
            </w:r>
          </w:p>
        </w:tc>
        <w:tc>
          <w:tcPr>
            <w:tcW w:w="1701" w:type="dxa"/>
            <w:shd w:val="clear" w:color="auto" w:fill="auto"/>
          </w:tcPr>
          <w:p w14:paraId="241DB101" w14:textId="77777777" w:rsidR="00FA1F5B" w:rsidRPr="002E63ED" w:rsidRDefault="00FA1F5B" w:rsidP="003E344C">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0.712255</w:t>
            </w:r>
          </w:p>
        </w:tc>
      </w:tr>
      <w:tr w:rsidR="00FA1F5B" w:rsidRPr="002E63ED" w14:paraId="36F06C34" w14:textId="77777777" w:rsidTr="003070F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2FA5B9C6" w14:textId="77777777" w:rsidR="00FA1F5B" w:rsidRPr="002E63ED" w:rsidRDefault="00FA1F5B" w:rsidP="003E344C">
            <w:pPr>
              <w:spacing w:line="240" w:lineRule="auto"/>
              <w:rPr>
                <w:b w:val="0"/>
                <w:sz w:val="19"/>
                <w:szCs w:val="19"/>
              </w:rPr>
            </w:pPr>
            <w:r w:rsidRPr="002E63ED">
              <w:rPr>
                <w:b w:val="0"/>
                <w:sz w:val="19"/>
                <w:szCs w:val="19"/>
              </w:rPr>
              <w:t>Floodplain</w:t>
            </w:r>
          </w:p>
        </w:tc>
        <w:tc>
          <w:tcPr>
            <w:tcW w:w="2410" w:type="dxa"/>
            <w:shd w:val="clear" w:color="auto" w:fill="auto"/>
          </w:tcPr>
          <w:p w14:paraId="03D4BD52" w14:textId="77777777" w:rsidR="00FA1F5B" w:rsidRPr="002E63ED" w:rsidRDefault="00FA1F5B" w:rsidP="003E344C">
            <w:pPr>
              <w:spacing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Rilli Island</w:t>
            </w:r>
          </w:p>
        </w:tc>
        <w:tc>
          <w:tcPr>
            <w:tcW w:w="992" w:type="dxa"/>
            <w:shd w:val="clear" w:color="auto" w:fill="auto"/>
          </w:tcPr>
          <w:p w14:paraId="136FA4D8" w14:textId="77777777" w:rsidR="00FA1F5B" w:rsidRPr="002E63ED" w:rsidRDefault="00FA1F5B" w:rsidP="003E344C">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362</w:t>
            </w:r>
          </w:p>
        </w:tc>
        <w:tc>
          <w:tcPr>
            <w:tcW w:w="1134" w:type="dxa"/>
            <w:shd w:val="clear" w:color="auto" w:fill="auto"/>
          </w:tcPr>
          <w:p w14:paraId="3D13B2D5" w14:textId="5972DF5E" w:rsidR="00FA1F5B" w:rsidRPr="002E63ED" w:rsidRDefault="00FA1F5B" w:rsidP="003E344C">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6</w:t>
            </w:r>
            <w:r w:rsidR="00125268" w:rsidRPr="002E63ED">
              <w:rPr>
                <w:sz w:val="19"/>
                <w:szCs w:val="19"/>
              </w:rPr>
              <w:t>*</w:t>
            </w:r>
          </w:p>
        </w:tc>
        <w:tc>
          <w:tcPr>
            <w:tcW w:w="1276" w:type="dxa"/>
            <w:shd w:val="clear" w:color="auto" w:fill="auto"/>
          </w:tcPr>
          <w:p w14:paraId="37C07058" w14:textId="77777777" w:rsidR="00FA1F5B" w:rsidRPr="002E63ED" w:rsidRDefault="00FA1F5B" w:rsidP="003E344C">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2009/10</w:t>
            </w:r>
          </w:p>
        </w:tc>
        <w:tc>
          <w:tcPr>
            <w:tcW w:w="1701" w:type="dxa"/>
            <w:shd w:val="clear" w:color="auto" w:fill="auto"/>
          </w:tcPr>
          <w:p w14:paraId="6CA2A713" w14:textId="77777777" w:rsidR="00FA1F5B" w:rsidRPr="002E63ED" w:rsidRDefault="00FA1F5B" w:rsidP="003E344C">
            <w:pPr>
              <w:spacing w:line="240" w:lineRule="auto"/>
              <w:jc w:val="center"/>
              <w:cnfStyle w:val="000000100000" w:firstRow="0" w:lastRow="0" w:firstColumn="0" w:lastColumn="0" w:oddVBand="0" w:evenVBand="0" w:oddHBand="1" w:evenHBand="0" w:firstRowFirstColumn="0" w:firstRowLastColumn="0" w:lastRowFirstColumn="0" w:lastRowLastColumn="0"/>
              <w:rPr>
                <w:sz w:val="19"/>
                <w:szCs w:val="19"/>
              </w:rPr>
            </w:pPr>
            <w:r w:rsidRPr="002E63ED">
              <w:rPr>
                <w:sz w:val="19"/>
                <w:szCs w:val="19"/>
              </w:rPr>
              <w:t>0.716889</w:t>
            </w:r>
          </w:p>
        </w:tc>
      </w:tr>
      <w:tr w:rsidR="00FA1F5B" w:rsidRPr="002E63ED" w14:paraId="6C66DE26" w14:textId="77777777" w:rsidTr="003070FD">
        <w:trPr>
          <w:trHeight w:val="397"/>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tcPr>
          <w:p w14:paraId="4073DABC" w14:textId="77777777" w:rsidR="00FA1F5B" w:rsidRPr="002E63ED" w:rsidRDefault="00FA1F5B" w:rsidP="003E344C">
            <w:pPr>
              <w:spacing w:line="240" w:lineRule="auto"/>
              <w:rPr>
                <w:b w:val="0"/>
                <w:sz w:val="19"/>
                <w:szCs w:val="19"/>
              </w:rPr>
            </w:pPr>
            <w:r w:rsidRPr="002E63ED">
              <w:rPr>
                <w:b w:val="0"/>
                <w:sz w:val="19"/>
                <w:szCs w:val="19"/>
              </w:rPr>
              <w:t>Floodplain</w:t>
            </w:r>
          </w:p>
        </w:tc>
        <w:tc>
          <w:tcPr>
            <w:tcW w:w="2410" w:type="dxa"/>
            <w:shd w:val="clear" w:color="auto" w:fill="auto"/>
          </w:tcPr>
          <w:p w14:paraId="379B41F4" w14:textId="77777777" w:rsidR="00FA1F5B" w:rsidRPr="002E63ED" w:rsidRDefault="00FA1F5B" w:rsidP="003E344C">
            <w:pPr>
              <w:spacing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Plushes Bend</w:t>
            </w:r>
          </w:p>
        </w:tc>
        <w:tc>
          <w:tcPr>
            <w:tcW w:w="992" w:type="dxa"/>
            <w:shd w:val="clear" w:color="auto" w:fill="auto"/>
          </w:tcPr>
          <w:p w14:paraId="5A3DF772" w14:textId="77777777" w:rsidR="00FA1F5B" w:rsidRPr="002E63ED" w:rsidRDefault="00FA1F5B" w:rsidP="003E344C">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337</w:t>
            </w:r>
          </w:p>
        </w:tc>
        <w:tc>
          <w:tcPr>
            <w:tcW w:w="1134" w:type="dxa"/>
            <w:shd w:val="clear" w:color="auto" w:fill="auto"/>
          </w:tcPr>
          <w:p w14:paraId="164AA709" w14:textId="26EFEF18" w:rsidR="00FA1F5B" w:rsidRPr="002E63ED" w:rsidRDefault="00FA1F5B" w:rsidP="003E344C">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6</w:t>
            </w:r>
            <w:r w:rsidR="00125268" w:rsidRPr="002E63ED">
              <w:rPr>
                <w:sz w:val="19"/>
                <w:szCs w:val="19"/>
              </w:rPr>
              <w:t>*</w:t>
            </w:r>
          </w:p>
        </w:tc>
        <w:tc>
          <w:tcPr>
            <w:tcW w:w="1276" w:type="dxa"/>
            <w:shd w:val="clear" w:color="auto" w:fill="auto"/>
          </w:tcPr>
          <w:p w14:paraId="48F6B6D9" w14:textId="77777777" w:rsidR="00FA1F5B" w:rsidRPr="002E63ED" w:rsidRDefault="00FA1F5B" w:rsidP="003E344C">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2009/10</w:t>
            </w:r>
          </w:p>
        </w:tc>
        <w:tc>
          <w:tcPr>
            <w:tcW w:w="1701" w:type="dxa"/>
            <w:shd w:val="clear" w:color="auto" w:fill="auto"/>
          </w:tcPr>
          <w:p w14:paraId="3BD16D9C" w14:textId="77777777" w:rsidR="00FA1F5B" w:rsidRPr="002E63ED" w:rsidRDefault="00FA1F5B" w:rsidP="003E344C">
            <w:pPr>
              <w:spacing w:line="240" w:lineRule="auto"/>
              <w:jc w:val="center"/>
              <w:cnfStyle w:val="000000000000" w:firstRow="0" w:lastRow="0" w:firstColumn="0" w:lastColumn="0" w:oddVBand="0" w:evenVBand="0" w:oddHBand="0" w:evenHBand="0" w:firstRowFirstColumn="0" w:firstRowLastColumn="0" w:lastRowFirstColumn="0" w:lastRowLastColumn="0"/>
              <w:rPr>
                <w:sz w:val="19"/>
                <w:szCs w:val="19"/>
              </w:rPr>
            </w:pPr>
            <w:r w:rsidRPr="002E63ED">
              <w:rPr>
                <w:sz w:val="19"/>
                <w:szCs w:val="19"/>
              </w:rPr>
              <w:t>0.716644</w:t>
            </w:r>
          </w:p>
        </w:tc>
      </w:tr>
    </w:tbl>
    <w:p w14:paraId="75C62908" w14:textId="77777777" w:rsidR="00174F34" w:rsidRDefault="00174F34" w:rsidP="00FA1F5B"/>
    <w:p w14:paraId="6AA515FF" w14:textId="5B896CC9" w:rsidR="00FA1F5B" w:rsidRDefault="00E17D42" w:rsidP="00FA1F5B">
      <w:r w:rsidRPr="00E17D42">
        <w:rPr>
          <w:noProof/>
          <w:lang w:eastAsia="en-AU"/>
        </w:rPr>
        <w:drawing>
          <wp:inline distT="0" distB="0" distL="0" distR="0" wp14:anchorId="60E09410" wp14:editId="6191FCE3">
            <wp:extent cx="5704873" cy="22479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1" cstate="email">
                      <a:extLst>
                        <a:ext uri="{28A0092B-C50C-407E-A947-70E740481C1C}">
                          <a14:useLocalDpi xmlns:a14="http://schemas.microsoft.com/office/drawing/2010/main"/>
                        </a:ext>
                      </a:extLst>
                    </a:blip>
                    <a:srcRect t="12393" r="1538"/>
                    <a:stretch/>
                  </pic:blipFill>
                  <pic:spPr bwMode="auto">
                    <a:xfrm>
                      <a:off x="0" y="0"/>
                      <a:ext cx="5707011" cy="2248742"/>
                    </a:xfrm>
                    <a:prstGeom prst="rect">
                      <a:avLst/>
                    </a:prstGeom>
                    <a:noFill/>
                    <a:ln>
                      <a:noFill/>
                    </a:ln>
                    <a:extLst>
                      <a:ext uri="{53640926-AAD7-44D8-BBD7-CCE9431645EC}">
                        <a14:shadowObscured xmlns:a14="http://schemas.microsoft.com/office/drawing/2010/main"/>
                      </a:ext>
                    </a:extLst>
                  </pic:spPr>
                </pic:pic>
              </a:graphicData>
            </a:graphic>
          </wp:inline>
        </w:drawing>
      </w:r>
    </w:p>
    <w:p w14:paraId="5A49B5F8" w14:textId="4CE9FD47" w:rsidR="00FA1F5B" w:rsidRPr="00A6292F" w:rsidRDefault="00FA1F5B" w:rsidP="00B46038">
      <w:pPr>
        <w:pStyle w:val="Captions"/>
      </w:pPr>
      <w:r w:rsidRPr="00A6292F">
        <w:t xml:space="preserve">Figure </w:t>
      </w:r>
      <w:r w:rsidR="007E5224">
        <w:t>H17</w:t>
      </w:r>
      <w:r w:rsidRPr="00A6292F">
        <w:t>. Individual life</w:t>
      </w:r>
      <w:r w:rsidR="00CA1E4D">
        <w:t xml:space="preserve"> </w:t>
      </w:r>
      <w:r w:rsidRPr="00A6292F">
        <w:t xml:space="preserve">history profiles based on transect analysis of </w:t>
      </w:r>
      <w:r w:rsidRPr="00A6292F">
        <w:rPr>
          <w:vertAlign w:val="superscript"/>
        </w:rPr>
        <w:t>87</w:t>
      </w:r>
      <w:r w:rsidRPr="00A6292F">
        <w:t>Sr/</w:t>
      </w:r>
      <w:r w:rsidRPr="00A6292F">
        <w:rPr>
          <w:vertAlign w:val="superscript"/>
        </w:rPr>
        <w:t>86</w:t>
      </w:r>
      <w:r w:rsidRPr="00A6292F">
        <w:t xml:space="preserve">Sr from the core to edge of otoliths from two age </w:t>
      </w:r>
      <w:r>
        <w:t>2</w:t>
      </w:r>
      <w:r w:rsidRPr="00A6292F">
        <w:t>+ silver perch collected</w:t>
      </w:r>
      <w:r w:rsidR="00C77523" w:rsidRPr="00C77523">
        <w:t xml:space="preserve"> </w:t>
      </w:r>
      <w:r w:rsidR="00C77523">
        <w:t>from (a) Rilli Island and (b) Plushes Bend</w:t>
      </w:r>
      <w:r w:rsidRPr="00A6292F">
        <w:t xml:space="preserve"> in the floodplain geomorphic region of the lower River Murray. </w:t>
      </w:r>
      <w:r w:rsidR="001D75C2">
        <w:t>Green</w:t>
      </w:r>
      <w:r w:rsidR="001D75C2" w:rsidRPr="00A6292F">
        <w:t xml:space="preserve"> </w:t>
      </w:r>
      <w:r w:rsidRPr="00A6292F">
        <w:t>dashed line indicates the temporally stable</w:t>
      </w:r>
      <w:r>
        <w:t xml:space="preserve"> water</w:t>
      </w:r>
      <w:r w:rsidRPr="00A6292F">
        <w:t xml:space="preserve"> </w:t>
      </w:r>
      <w:r w:rsidRPr="00A6292F">
        <w:rPr>
          <w:vertAlign w:val="superscript"/>
        </w:rPr>
        <w:t>87</w:t>
      </w:r>
      <w:r w:rsidRPr="00A6292F">
        <w:t>Sr/</w:t>
      </w:r>
      <w:r w:rsidRPr="00A6292F">
        <w:rPr>
          <w:vertAlign w:val="superscript"/>
        </w:rPr>
        <w:t>86</w:t>
      </w:r>
      <w:r w:rsidRPr="00A6292F">
        <w:t>Sr of the lower Darling River</w:t>
      </w:r>
      <w:r w:rsidR="006F3182">
        <w:t xml:space="preserve"> (i.e. </w:t>
      </w:r>
      <w:r w:rsidR="006F3182" w:rsidRPr="00F703BA">
        <w:t>~0.7075</w:t>
      </w:r>
      <w:r w:rsidR="006F3182">
        <w:t>)</w:t>
      </w:r>
      <w:r w:rsidRPr="00A6292F">
        <w:t xml:space="preserve"> and the </w:t>
      </w:r>
      <w:r w:rsidR="001D75C2">
        <w:t>blue</w:t>
      </w:r>
      <w:r w:rsidR="001D75C2" w:rsidRPr="00A6292F">
        <w:t xml:space="preserve"> </w:t>
      </w:r>
      <w:r w:rsidRPr="00A6292F">
        <w:t xml:space="preserve">dashed lines represent the range of water </w:t>
      </w:r>
      <w:r w:rsidRPr="00A6292F">
        <w:rPr>
          <w:vertAlign w:val="superscript"/>
        </w:rPr>
        <w:t>87</w:t>
      </w:r>
      <w:r w:rsidRPr="00A6292F">
        <w:t>Sr/</w:t>
      </w:r>
      <w:r w:rsidRPr="00A6292F">
        <w:rPr>
          <w:vertAlign w:val="superscript"/>
        </w:rPr>
        <w:t>86</w:t>
      </w:r>
      <w:r w:rsidRPr="00A6292F">
        <w:t>Sr in the lower River Murray (i.e. ~0.7080–0.7</w:t>
      </w:r>
      <w:r>
        <w:t>160</w:t>
      </w:r>
      <w:r w:rsidRPr="00A6292F">
        <w:t>).</w:t>
      </w:r>
      <w:r>
        <w:t xml:space="preserve"> Red dashed lines represent the range of </w:t>
      </w:r>
      <w:r w:rsidRPr="00A6292F">
        <w:t xml:space="preserve">water </w:t>
      </w:r>
      <w:r w:rsidRPr="00A6292F">
        <w:rPr>
          <w:vertAlign w:val="superscript"/>
        </w:rPr>
        <w:t>87</w:t>
      </w:r>
      <w:r w:rsidRPr="00A6292F">
        <w:t>Sr/</w:t>
      </w:r>
      <w:r w:rsidRPr="00A6292F">
        <w:rPr>
          <w:vertAlign w:val="superscript"/>
        </w:rPr>
        <w:t>86</w:t>
      </w:r>
      <w:r w:rsidRPr="00A6292F">
        <w:t xml:space="preserve">Sr in the mid-Murray </w:t>
      </w:r>
      <w:r w:rsidR="00867B05" w:rsidRPr="00A6292F">
        <w:t xml:space="preserve">River </w:t>
      </w:r>
      <w:r w:rsidRPr="00A6292F">
        <w:t>(Lock 11–Torrumbarry, ~0.7160–0.7190)</w:t>
      </w:r>
      <w:r>
        <w:t>.</w:t>
      </w:r>
    </w:p>
    <w:p w14:paraId="0CD1C549" w14:textId="77777777" w:rsidR="00662185" w:rsidRDefault="00662185" w:rsidP="00FA1F5B"/>
    <w:p w14:paraId="615912B3" w14:textId="77777777" w:rsidR="00662185" w:rsidRDefault="00662185">
      <w:pPr>
        <w:spacing w:before="0" w:after="200" w:line="276" w:lineRule="auto"/>
        <w:jc w:val="left"/>
      </w:pPr>
      <w:r>
        <w:br w:type="page"/>
      </w:r>
    </w:p>
    <w:p w14:paraId="71B5CF25" w14:textId="006DDD01" w:rsidR="00FA1F5B" w:rsidRDefault="00FA1F5B" w:rsidP="00FA1F5B">
      <w:r>
        <w:lastRenderedPageBreak/>
        <w:t xml:space="preserve">In contrast, three age 4+ silver perch (spawned 2011/12) exhibit a range of core </w:t>
      </w:r>
      <w:r w:rsidRPr="005E1F18">
        <w:rPr>
          <w:vertAlign w:val="superscript"/>
        </w:rPr>
        <w:t>87</w:t>
      </w:r>
      <w:r w:rsidRPr="005E1F18">
        <w:t>Sr/</w:t>
      </w:r>
      <w:r w:rsidRPr="005E1F18">
        <w:rPr>
          <w:vertAlign w:val="superscript"/>
        </w:rPr>
        <w:t>86</w:t>
      </w:r>
      <w:r w:rsidRPr="005E1F18">
        <w:t>Sr</w:t>
      </w:r>
      <w:r w:rsidR="00DB7C9B">
        <w:t xml:space="preserve"> (Table H</w:t>
      </w:r>
      <w:r w:rsidR="00487A0B">
        <w:t>7</w:t>
      </w:r>
      <w:r w:rsidR="00DB7C9B">
        <w:t>)</w:t>
      </w:r>
      <w:r>
        <w:t xml:space="preserve">, </w:t>
      </w:r>
      <w:r w:rsidRPr="005E1F18">
        <w:t>indicative</w:t>
      </w:r>
      <w:r>
        <w:t xml:space="preserve"> of spawning origins in the Darling River and lower River Murray (</w:t>
      </w:r>
      <w:r w:rsidR="00624546">
        <w:t>F</w:t>
      </w:r>
      <w:r w:rsidR="00DB7C9B">
        <w:t>igure H12</w:t>
      </w:r>
      <w:r>
        <w:t xml:space="preserve">). Transects of </w:t>
      </w:r>
      <w:r w:rsidRPr="008D5B33">
        <w:t xml:space="preserve">otolith </w:t>
      </w:r>
      <w:r w:rsidRPr="008D5B33">
        <w:rPr>
          <w:vertAlign w:val="superscript"/>
        </w:rPr>
        <w:t>87</w:t>
      </w:r>
      <w:r w:rsidRPr="008D5B33">
        <w:t>Sr/</w:t>
      </w:r>
      <w:r w:rsidRPr="008D5B33">
        <w:rPr>
          <w:vertAlign w:val="superscript"/>
        </w:rPr>
        <w:t>86</w:t>
      </w:r>
      <w:r w:rsidRPr="008D5B33">
        <w:t xml:space="preserve">Sr </w:t>
      </w:r>
      <w:r>
        <w:t>indicate that age 4+ silver perch spawned in the lower Murray remained in this region</w:t>
      </w:r>
      <w:r w:rsidR="00666A4D">
        <w:t xml:space="preserve"> (Figure H18a)</w:t>
      </w:r>
      <w:r>
        <w:t>, whilst the fish spawned in the Darling River transitioned in</w:t>
      </w:r>
      <w:r w:rsidR="00DB7C9B">
        <w:t xml:space="preserve">to the lower Murray at age </w:t>
      </w:r>
      <w:r w:rsidR="00E35600">
        <w:t>0</w:t>
      </w:r>
      <w:r w:rsidR="00DB7C9B">
        <w:t>+</w:t>
      </w:r>
      <w:r>
        <w:t xml:space="preserve"> (</w:t>
      </w:r>
      <w:r w:rsidR="00666A4D">
        <w:t>Figure </w:t>
      </w:r>
      <w:r w:rsidR="00DB7C9B">
        <w:t>H18</w:t>
      </w:r>
      <w:r w:rsidR="00666A4D">
        <w:t>b</w:t>
      </w:r>
      <w:r>
        <w:t xml:space="preserve">). </w:t>
      </w:r>
    </w:p>
    <w:p w14:paraId="24CE896A" w14:textId="11C5A302" w:rsidR="00FA1F5B" w:rsidRDefault="00E17D42" w:rsidP="00FA1F5B">
      <w:r w:rsidRPr="00E17D42">
        <w:rPr>
          <w:noProof/>
          <w:lang w:eastAsia="en-AU"/>
        </w:rPr>
        <w:drawing>
          <wp:inline distT="0" distB="0" distL="0" distR="0" wp14:anchorId="2B54AA53" wp14:editId="4C170191">
            <wp:extent cx="5729247" cy="2292985"/>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2" cstate="email">
                      <a:extLst>
                        <a:ext uri="{28A0092B-C50C-407E-A947-70E740481C1C}">
                          <a14:useLocalDpi xmlns:a14="http://schemas.microsoft.com/office/drawing/2010/main"/>
                        </a:ext>
                      </a:extLst>
                    </a:blip>
                    <a:srcRect t="12189" r="1206"/>
                    <a:stretch/>
                  </pic:blipFill>
                  <pic:spPr bwMode="auto">
                    <a:xfrm>
                      <a:off x="0" y="0"/>
                      <a:ext cx="5732455" cy="2294269"/>
                    </a:xfrm>
                    <a:prstGeom prst="rect">
                      <a:avLst/>
                    </a:prstGeom>
                    <a:noFill/>
                    <a:ln>
                      <a:noFill/>
                    </a:ln>
                    <a:extLst>
                      <a:ext uri="{53640926-AAD7-44D8-BBD7-CCE9431645EC}">
                        <a14:shadowObscured xmlns:a14="http://schemas.microsoft.com/office/drawing/2010/main"/>
                      </a:ext>
                    </a:extLst>
                  </pic:spPr>
                </pic:pic>
              </a:graphicData>
            </a:graphic>
          </wp:inline>
        </w:drawing>
      </w:r>
    </w:p>
    <w:p w14:paraId="227A664D" w14:textId="47A66BF4" w:rsidR="00FA1F5B" w:rsidRDefault="00FA1F5B" w:rsidP="00B46038">
      <w:pPr>
        <w:pStyle w:val="Captions"/>
      </w:pPr>
      <w:r>
        <w:t xml:space="preserve">Figure </w:t>
      </w:r>
      <w:r w:rsidR="007E5224">
        <w:t>H18</w:t>
      </w:r>
      <w:r>
        <w:t xml:space="preserve">. </w:t>
      </w:r>
      <w:r w:rsidRPr="000E236F">
        <w:t>Individual life</w:t>
      </w:r>
      <w:r w:rsidR="00CA1E4D">
        <w:t xml:space="preserve"> </w:t>
      </w:r>
      <w:r w:rsidRPr="000E236F">
        <w:t xml:space="preserve">history profiles based on </w:t>
      </w:r>
      <w:r>
        <w:t xml:space="preserve">transect </w:t>
      </w:r>
      <w:r w:rsidRPr="000E236F">
        <w:t>analysis of</w:t>
      </w:r>
      <w:r>
        <w:t xml:space="preserve"> </w:t>
      </w:r>
      <w:r w:rsidRPr="000E236F">
        <w:rPr>
          <w:vertAlign w:val="superscript"/>
        </w:rPr>
        <w:t>87</w:t>
      </w:r>
      <w:r w:rsidRPr="000E236F">
        <w:t>Sr/</w:t>
      </w:r>
      <w:r w:rsidRPr="000E236F">
        <w:rPr>
          <w:vertAlign w:val="superscript"/>
        </w:rPr>
        <w:t>86</w:t>
      </w:r>
      <w:r w:rsidRPr="000E236F">
        <w:t xml:space="preserve">Sr from the core to edge of otoliths from </w:t>
      </w:r>
      <w:r>
        <w:t xml:space="preserve">two </w:t>
      </w:r>
      <w:r w:rsidRPr="000E236F">
        <w:t xml:space="preserve">age 4+ </w:t>
      </w:r>
      <w:r>
        <w:t>silver</w:t>
      </w:r>
      <w:r w:rsidRPr="000E236F">
        <w:t xml:space="preserve"> perch collected</w:t>
      </w:r>
      <w:r w:rsidR="00B71AA7" w:rsidRPr="00B71AA7">
        <w:t xml:space="preserve"> </w:t>
      </w:r>
      <w:r w:rsidR="00B71AA7">
        <w:t>from Rilli Island</w:t>
      </w:r>
      <w:r w:rsidRPr="000E236F">
        <w:t xml:space="preserve"> in </w:t>
      </w:r>
      <w:r>
        <w:t>the floodplain geomorphic region of the</w:t>
      </w:r>
      <w:r w:rsidRPr="000E236F">
        <w:t xml:space="preserve"> lower River Murray. </w:t>
      </w:r>
      <w:r w:rsidR="001D75C2">
        <w:t>Green</w:t>
      </w:r>
      <w:r w:rsidR="001D75C2" w:rsidRPr="00005E11">
        <w:t xml:space="preserve"> </w:t>
      </w:r>
      <w:r w:rsidRPr="00005E11">
        <w:t xml:space="preserve">dashed line indicates the temporally stable water </w:t>
      </w:r>
      <w:r w:rsidRPr="00005E11">
        <w:rPr>
          <w:vertAlign w:val="superscript"/>
        </w:rPr>
        <w:t>87</w:t>
      </w:r>
      <w:r w:rsidRPr="00005E11">
        <w:t>Sr/</w:t>
      </w:r>
      <w:r w:rsidRPr="00005E11">
        <w:rPr>
          <w:vertAlign w:val="superscript"/>
        </w:rPr>
        <w:t>86</w:t>
      </w:r>
      <w:r w:rsidRPr="00005E11">
        <w:t xml:space="preserve">Sr of the lower Darling River </w:t>
      </w:r>
      <w:r w:rsidR="006F3182">
        <w:t xml:space="preserve">(i.e. </w:t>
      </w:r>
      <w:r w:rsidR="006F3182" w:rsidRPr="00F703BA">
        <w:t>~0.7075</w:t>
      </w:r>
      <w:r w:rsidR="006F3182">
        <w:t xml:space="preserve">) </w:t>
      </w:r>
      <w:r w:rsidRPr="00005E11">
        <w:t xml:space="preserve">and the </w:t>
      </w:r>
      <w:r w:rsidR="001D75C2">
        <w:t>blue</w:t>
      </w:r>
      <w:r w:rsidR="001D75C2" w:rsidRPr="00005E11">
        <w:t xml:space="preserve"> </w:t>
      </w:r>
      <w:r w:rsidRPr="00005E11">
        <w:t xml:space="preserve">dashed lines represent the range of water </w:t>
      </w:r>
      <w:r w:rsidRPr="00005E11">
        <w:rPr>
          <w:vertAlign w:val="superscript"/>
        </w:rPr>
        <w:t>87</w:t>
      </w:r>
      <w:r w:rsidRPr="00005E11">
        <w:t>Sr/</w:t>
      </w:r>
      <w:r w:rsidRPr="00005E11">
        <w:rPr>
          <w:vertAlign w:val="superscript"/>
        </w:rPr>
        <w:t>86</w:t>
      </w:r>
      <w:r w:rsidRPr="00005E11">
        <w:t xml:space="preserve">Sr in the lower River Murray (i.e. ~0.7080–0.7160). Red dashed lines represent the range of water </w:t>
      </w:r>
      <w:r w:rsidRPr="00005E11">
        <w:rPr>
          <w:vertAlign w:val="superscript"/>
        </w:rPr>
        <w:t>87</w:t>
      </w:r>
      <w:r w:rsidRPr="00005E11">
        <w:t>Sr/</w:t>
      </w:r>
      <w:r w:rsidRPr="00005E11">
        <w:rPr>
          <w:vertAlign w:val="superscript"/>
        </w:rPr>
        <w:t>86</w:t>
      </w:r>
      <w:r w:rsidRPr="00005E11">
        <w:t xml:space="preserve">Sr in the mid-Murray </w:t>
      </w:r>
      <w:r w:rsidR="00867B05" w:rsidRPr="00005E11">
        <w:t xml:space="preserve">River </w:t>
      </w:r>
      <w:r w:rsidRPr="00005E11">
        <w:t>(Lock 11–Torrumbarry, ~0.7160–0.7190).</w:t>
      </w:r>
    </w:p>
    <w:p w14:paraId="3F8F1201" w14:textId="77777777" w:rsidR="001E58B9" w:rsidRDefault="001E58B9" w:rsidP="00FA1F5B"/>
    <w:p w14:paraId="169E7E3A" w14:textId="11C427F0" w:rsidR="00FA1F5B" w:rsidRDefault="00FA1F5B" w:rsidP="00FA1F5B">
      <w:r>
        <w:t>Two age 6+ silver perch (spawned 2009/10) were</w:t>
      </w:r>
      <w:r w:rsidRPr="003A199A">
        <w:t xml:space="preserve"> analysed for otolith </w:t>
      </w:r>
      <w:r w:rsidRPr="003A199A">
        <w:rPr>
          <w:vertAlign w:val="superscript"/>
        </w:rPr>
        <w:t>87</w:t>
      </w:r>
      <w:r w:rsidRPr="003A199A">
        <w:t>Sr/</w:t>
      </w:r>
      <w:r w:rsidRPr="003A199A">
        <w:rPr>
          <w:vertAlign w:val="superscript"/>
        </w:rPr>
        <w:t>86</w:t>
      </w:r>
      <w:r w:rsidRPr="003A199A">
        <w:t xml:space="preserve">Sr and </w:t>
      </w:r>
      <w:r>
        <w:t>both</w:t>
      </w:r>
      <w:r w:rsidRPr="003A199A">
        <w:t xml:space="preserve"> exhibited otolith core </w:t>
      </w:r>
      <w:r w:rsidRPr="003A199A">
        <w:rPr>
          <w:vertAlign w:val="superscript"/>
        </w:rPr>
        <w:t>87</w:t>
      </w:r>
      <w:r w:rsidRPr="003A199A">
        <w:t>Sr/</w:t>
      </w:r>
      <w:r w:rsidRPr="003A199A">
        <w:rPr>
          <w:vertAlign w:val="superscript"/>
        </w:rPr>
        <w:t>86</w:t>
      </w:r>
      <w:r w:rsidRPr="003A199A">
        <w:t>Sr (Table</w:t>
      </w:r>
      <w:r>
        <w:t xml:space="preserve"> </w:t>
      </w:r>
      <w:r w:rsidR="007E5224">
        <w:t>H</w:t>
      </w:r>
      <w:r w:rsidR="00487A0B">
        <w:t>7</w:t>
      </w:r>
      <w:r w:rsidRPr="003A199A">
        <w:t xml:space="preserve">) indicative of a </w:t>
      </w:r>
      <w:r>
        <w:t xml:space="preserve">mid-Murray </w:t>
      </w:r>
      <w:r w:rsidR="00867B05">
        <w:t xml:space="preserve">River </w:t>
      </w:r>
      <w:r>
        <w:t xml:space="preserve">spawning origin (upstream of the Darling River confluence and downstream of Torrumbarry) (Figure </w:t>
      </w:r>
      <w:r w:rsidR="00ED6E42">
        <w:t>H12</w:t>
      </w:r>
      <w:r>
        <w:t xml:space="preserve">). Transects of </w:t>
      </w:r>
      <w:r w:rsidRPr="008D5B33">
        <w:t xml:space="preserve">otolith </w:t>
      </w:r>
      <w:r w:rsidRPr="008D5B33">
        <w:rPr>
          <w:vertAlign w:val="superscript"/>
        </w:rPr>
        <w:t>87</w:t>
      </w:r>
      <w:r w:rsidRPr="008D5B33">
        <w:t>Sr/</w:t>
      </w:r>
      <w:r w:rsidRPr="008D5B33">
        <w:rPr>
          <w:vertAlign w:val="superscript"/>
        </w:rPr>
        <w:t>86</w:t>
      </w:r>
      <w:r w:rsidRPr="008D5B33">
        <w:t xml:space="preserve">Sr </w:t>
      </w:r>
      <w:r>
        <w:t>indicate that both these fish transitioned into</w:t>
      </w:r>
      <w:r w:rsidR="00E35600">
        <w:t xml:space="preserve"> the lower River Murray as age 0</w:t>
      </w:r>
      <w:r>
        <w:t>+</w:t>
      </w:r>
      <w:r w:rsidR="00E35600">
        <w:t>, but just prior to their first birthday</w:t>
      </w:r>
      <w:r>
        <w:t xml:space="preserve"> (Figure </w:t>
      </w:r>
      <w:r w:rsidR="00ED6E42">
        <w:t>H19</w:t>
      </w:r>
      <w:r>
        <w:t>).</w:t>
      </w:r>
    </w:p>
    <w:p w14:paraId="595D3123" w14:textId="4F552567" w:rsidR="00FA1F5B" w:rsidRDefault="00E17D42" w:rsidP="00FA1F5B">
      <w:r w:rsidRPr="00E17D42">
        <w:lastRenderedPageBreak/>
        <w:t xml:space="preserve"> </w:t>
      </w:r>
      <w:r w:rsidRPr="00E17D42">
        <w:rPr>
          <w:noProof/>
          <w:lang w:eastAsia="en-AU"/>
        </w:rPr>
        <w:drawing>
          <wp:inline distT="0" distB="0" distL="0" distR="0" wp14:anchorId="373FE5E1" wp14:editId="030C12F9">
            <wp:extent cx="5658485" cy="2262114"/>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3" cstate="email">
                      <a:extLst>
                        <a:ext uri="{28A0092B-C50C-407E-A947-70E740481C1C}">
                          <a14:useLocalDpi xmlns:a14="http://schemas.microsoft.com/office/drawing/2010/main"/>
                        </a:ext>
                      </a:extLst>
                    </a:blip>
                    <a:srcRect l="-1" t="11177" r="1197"/>
                    <a:stretch/>
                  </pic:blipFill>
                  <pic:spPr bwMode="auto">
                    <a:xfrm>
                      <a:off x="0" y="0"/>
                      <a:ext cx="5659161" cy="2262384"/>
                    </a:xfrm>
                    <a:prstGeom prst="rect">
                      <a:avLst/>
                    </a:prstGeom>
                    <a:noFill/>
                    <a:ln>
                      <a:noFill/>
                    </a:ln>
                    <a:extLst>
                      <a:ext uri="{53640926-AAD7-44D8-BBD7-CCE9431645EC}">
                        <a14:shadowObscured xmlns:a14="http://schemas.microsoft.com/office/drawing/2010/main"/>
                      </a:ext>
                    </a:extLst>
                  </pic:spPr>
                </pic:pic>
              </a:graphicData>
            </a:graphic>
          </wp:inline>
        </w:drawing>
      </w:r>
    </w:p>
    <w:p w14:paraId="2B0CB72D" w14:textId="56883D57" w:rsidR="00FA1F5B" w:rsidRPr="005841E1" w:rsidRDefault="00FA1F5B" w:rsidP="00B46038">
      <w:pPr>
        <w:pStyle w:val="Captions"/>
      </w:pPr>
      <w:r>
        <w:t xml:space="preserve">Figure </w:t>
      </w:r>
      <w:r w:rsidR="007E5224">
        <w:t>H19</w:t>
      </w:r>
      <w:r>
        <w:t>. An individual life</w:t>
      </w:r>
      <w:r w:rsidR="00CA1E4D">
        <w:t xml:space="preserve"> </w:t>
      </w:r>
      <w:r>
        <w:t>history profile</w:t>
      </w:r>
      <w:r w:rsidRPr="00216B98">
        <w:t xml:space="preserve"> based on </w:t>
      </w:r>
      <w:r>
        <w:t xml:space="preserve">transect </w:t>
      </w:r>
      <w:r w:rsidRPr="00216B98">
        <w:t xml:space="preserve">analysis of </w:t>
      </w:r>
      <w:r w:rsidRPr="00216B98">
        <w:rPr>
          <w:vertAlign w:val="superscript"/>
        </w:rPr>
        <w:t>87</w:t>
      </w:r>
      <w:r w:rsidRPr="00216B98">
        <w:t>Sr/</w:t>
      </w:r>
      <w:r w:rsidRPr="00216B98">
        <w:rPr>
          <w:vertAlign w:val="superscript"/>
        </w:rPr>
        <w:t>86</w:t>
      </w:r>
      <w:r w:rsidRPr="00216B98">
        <w:t xml:space="preserve">Sr from the core to edge of </w:t>
      </w:r>
      <w:r>
        <w:t xml:space="preserve">an </w:t>
      </w:r>
      <w:r w:rsidRPr="00216B98">
        <w:t xml:space="preserve">otolith from </w:t>
      </w:r>
      <w:r>
        <w:t xml:space="preserve">an </w:t>
      </w:r>
      <w:r w:rsidRPr="00216B98">
        <w:t xml:space="preserve">age </w:t>
      </w:r>
      <w:r>
        <w:t>6</w:t>
      </w:r>
      <w:r w:rsidRPr="00216B98">
        <w:t xml:space="preserve">+ </w:t>
      </w:r>
      <w:r w:rsidRPr="00005E11">
        <w:t>silver perch collected</w:t>
      </w:r>
      <w:r w:rsidR="00B71AA7" w:rsidRPr="00B71AA7">
        <w:t xml:space="preserve"> </w:t>
      </w:r>
      <w:r w:rsidR="00B71AA7">
        <w:t>from (a) Rilli Island and (b) Plushes Bend</w:t>
      </w:r>
      <w:r w:rsidRPr="00005E11">
        <w:t xml:space="preserve"> in the floodplain geomorphic region of the lower River Murray. </w:t>
      </w:r>
      <w:r w:rsidR="001D75C2">
        <w:t>Green</w:t>
      </w:r>
      <w:r w:rsidR="001D75C2" w:rsidRPr="00005E11">
        <w:t xml:space="preserve"> </w:t>
      </w:r>
      <w:r w:rsidRPr="00005E11">
        <w:t xml:space="preserve">dashed line indicates the temporally stable water </w:t>
      </w:r>
      <w:r w:rsidRPr="00005E11">
        <w:rPr>
          <w:vertAlign w:val="superscript"/>
        </w:rPr>
        <w:t>87</w:t>
      </w:r>
      <w:r w:rsidRPr="00005E11">
        <w:t>Sr/</w:t>
      </w:r>
      <w:r w:rsidRPr="00005E11">
        <w:rPr>
          <w:vertAlign w:val="superscript"/>
        </w:rPr>
        <w:t>86</w:t>
      </w:r>
      <w:r w:rsidRPr="00005E11">
        <w:t xml:space="preserve">Sr of the lower Darling River </w:t>
      </w:r>
      <w:r w:rsidR="006F3182">
        <w:t xml:space="preserve">(i.e. </w:t>
      </w:r>
      <w:r w:rsidR="006F3182" w:rsidRPr="00F703BA">
        <w:t>~0.7075</w:t>
      </w:r>
      <w:r w:rsidR="006F3182">
        <w:t xml:space="preserve">) </w:t>
      </w:r>
      <w:r w:rsidRPr="00005E11">
        <w:t xml:space="preserve">and the </w:t>
      </w:r>
      <w:r w:rsidR="001D75C2">
        <w:t>blue</w:t>
      </w:r>
      <w:r w:rsidR="001D75C2" w:rsidRPr="00005E11">
        <w:t xml:space="preserve"> </w:t>
      </w:r>
      <w:r w:rsidRPr="00005E11">
        <w:t xml:space="preserve">dashed lines represent the range of water </w:t>
      </w:r>
      <w:r w:rsidRPr="00005E11">
        <w:rPr>
          <w:vertAlign w:val="superscript"/>
        </w:rPr>
        <w:t>87</w:t>
      </w:r>
      <w:r w:rsidRPr="00005E11">
        <w:t>Sr/</w:t>
      </w:r>
      <w:r w:rsidRPr="00005E11">
        <w:rPr>
          <w:vertAlign w:val="superscript"/>
        </w:rPr>
        <w:t>86</w:t>
      </w:r>
      <w:r w:rsidRPr="00005E11">
        <w:t xml:space="preserve">Sr in the lower River Murray (i.e. ~0.7080–0.7160). Red dashed lines represent the range of water </w:t>
      </w:r>
      <w:r w:rsidRPr="00005E11">
        <w:rPr>
          <w:vertAlign w:val="superscript"/>
        </w:rPr>
        <w:t>87</w:t>
      </w:r>
      <w:r w:rsidRPr="00005E11">
        <w:t>Sr/</w:t>
      </w:r>
      <w:r w:rsidRPr="00005E11">
        <w:rPr>
          <w:vertAlign w:val="superscript"/>
        </w:rPr>
        <w:t>86</w:t>
      </w:r>
      <w:r w:rsidRPr="00005E11">
        <w:t xml:space="preserve">Sr in the mid-Murray </w:t>
      </w:r>
      <w:r w:rsidR="00867B05" w:rsidRPr="00005E11">
        <w:t xml:space="preserve">River </w:t>
      </w:r>
      <w:r w:rsidRPr="00005E11">
        <w:t>(Lock 11–Torrumbarry, ~0.7160–0.7190).</w:t>
      </w:r>
    </w:p>
    <w:p w14:paraId="3C875FFD" w14:textId="77777777" w:rsidR="00662185" w:rsidRDefault="00662185" w:rsidP="00AA0B8F">
      <w:pPr>
        <w:spacing w:before="0" w:after="200" w:line="276" w:lineRule="auto"/>
        <w:rPr>
          <w:b/>
          <w:color w:val="1F497D" w:themeColor="text2"/>
          <w:sz w:val="26"/>
          <w:szCs w:val="26"/>
        </w:rPr>
      </w:pPr>
    </w:p>
    <w:p w14:paraId="0E61EDA5" w14:textId="77777777" w:rsidR="00AA0B8F" w:rsidRPr="00B61C7B" w:rsidRDefault="00AA0B8F" w:rsidP="00AA0B8F">
      <w:pPr>
        <w:spacing w:before="0" w:after="200" w:line="276" w:lineRule="auto"/>
        <w:rPr>
          <w:b/>
          <w:color w:val="1F497D" w:themeColor="text2"/>
          <w:sz w:val="26"/>
          <w:szCs w:val="26"/>
        </w:rPr>
      </w:pPr>
      <w:r w:rsidRPr="00B61C7B">
        <w:rPr>
          <w:b/>
          <w:color w:val="1F497D" w:themeColor="text2"/>
          <w:sz w:val="26"/>
          <w:szCs w:val="26"/>
        </w:rPr>
        <w:t>Discussion and evaluation</w:t>
      </w:r>
    </w:p>
    <w:p w14:paraId="1F36CBD7" w14:textId="6A3EAAEB" w:rsidR="00A02935" w:rsidRDefault="005C70B3" w:rsidP="005C70B3">
      <w:pPr>
        <w:rPr>
          <w:bCs/>
          <w:highlight w:val="yellow"/>
        </w:rPr>
      </w:pPr>
      <w:r w:rsidRPr="00A02935">
        <w:rPr>
          <w:bCs/>
        </w:rPr>
        <w:t>In 2015</w:t>
      </w:r>
      <w:r w:rsidRPr="00A02935">
        <w:rPr>
          <w:rFonts w:cstheme="minorHAnsi"/>
          <w:bCs/>
        </w:rPr>
        <w:t>/</w:t>
      </w:r>
      <w:r w:rsidRPr="00A02935">
        <w:rPr>
          <w:bCs/>
        </w:rPr>
        <w:t>16, flow in the LMR Selected Area was maintained at a reasonably stable</w:t>
      </w:r>
      <w:r w:rsidRPr="00A02935">
        <w:t xml:space="preserve"> </w:t>
      </w:r>
      <w:r w:rsidR="00A02935" w:rsidRPr="00A02935">
        <w:rPr>
          <w:bCs/>
        </w:rPr>
        <w:t xml:space="preserve">9,600–11,700 </w:t>
      </w:r>
      <w:r w:rsidRPr="00A02935">
        <w:rPr>
          <w:bCs/>
        </w:rPr>
        <w:t>ML day</w:t>
      </w:r>
      <w:r w:rsidRPr="00A02935">
        <w:rPr>
          <w:bCs/>
          <w:vertAlign w:val="superscript"/>
        </w:rPr>
        <w:t>-1</w:t>
      </w:r>
      <w:r w:rsidRPr="00A02935">
        <w:rPr>
          <w:bCs/>
        </w:rPr>
        <w:t xml:space="preserve"> in </w:t>
      </w:r>
      <w:r w:rsidR="00A02935" w:rsidRPr="00A02935">
        <w:rPr>
          <w:bCs/>
        </w:rPr>
        <w:t>mid-September</w:t>
      </w:r>
      <w:r w:rsidRPr="00A02935">
        <w:rPr>
          <w:bCs/>
        </w:rPr>
        <w:t xml:space="preserve"> and </w:t>
      </w:r>
      <w:r w:rsidR="00A02935" w:rsidRPr="00A02935">
        <w:rPr>
          <w:bCs/>
        </w:rPr>
        <w:t>late October 2015</w:t>
      </w:r>
      <w:r w:rsidRPr="00A02935">
        <w:rPr>
          <w:bCs/>
        </w:rPr>
        <w:t xml:space="preserve"> before </w:t>
      </w:r>
      <w:r w:rsidR="00A02935" w:rsidRPr="00A02935">
        <w:rPr>
          <w:bCs/>
        </w:rPr>
        <w:t>steadily decreasing to 5,600 ML day</w:t>
      </w:r>
      <w:r w:rsidR="00A02935" w:rsidRPr="00A02935">
        <w:rPr>
          <w:bCs/>
          <w:vertAlign w:val="superscript"/>
        </w:rPr>
        <w:t>-1</w:t>
      </w:r>
      <w:r w:rsidR="00A02935" w:rsidRPr="00A02935">
        <w:rPr>
          <w:bCs/>
        </w:rPr>
        <w:t xml:space="preserve"> by late November 2015 and then </w:t>
      </w:r>
      <w:r w:rsidR="00662185" w:rsidRPr="00A02935">
        <w:rPr>
          <w:bCs/>
        </w:rPr>
        <w:t>gradually increas</w:t>
      </w:r>
      <w:r w:rsidR="00662185">
        <w:rPr>
          <w:bCs/>
        </w:rPr>
        <w:t>ing</w:t>
      </w:r>
      <w:r w:rsidR="00662185" w:rsidRPr="00A02935">
        <w:rPr>
          <w:bCs/>
        </w:rPr>
        <w:t xml:space="preserve"> </w:t>
      </w:r>
      <w:r w:rsidR="00A02935" w:rsidRPr="00A02935">
        <w:rPr>
          <w:bCs/>
        </w:rPr>
        <w:t>to 10,000 ML day</w:t>
      </w:r>
      <w:r w:rsidR="00A02935" w:rsidRPr="00A02935">
        <w:rPr>
          <w:bCs/>
          <w:vertAlign w:val="superscript"/>
        </w:rPr>
        <w:t>-1</w:t>
      </w:r>
      <w:r w:rsidR="00A02935" w:rsidRPr="00A02935">
        <w:rPr>
          <w:bCs/>
        </w:rPr>
        <w:t xml:space="preserve"> in early February 2016</w:t>
      </w:r>
      <w:r w:rsidRPr="00A02935">
        <w:rPr>
          <w:bCs/>
        </w:rPr>
        <w:t xml:space="preserve">. Through this period, Commonwealth environmental water compromised a maximum of </w:t>
      </w:r>
      <w:r w:rsidR="00A02935" w:rsidRPr="00A02935">
        <w:rPr>
          <w:bCs/>
        </w:rPr>
        <w:t>~5,900 ML day</w:t>
      </w:r>
      <w:r w:rsidR="00A02935" w:rsidRPr="00A02935">
        <w:rPr>
          <w:bCs/>
          <w:vertAlign w:val="superscript"/>
        </w:rPr>
        <w:t>-1</w:t>
      </w:r>
      <w:r w:rsidR="00A02935" w:rsidRPr="00A02935">
        <w:rPr>
          <w:bCs/>
        </w:rPr>
        <w:t xml:space="preserve"> on 21 September and ~6,700 ML day</w:t>
      </w:r>
      <w:r w:rsidR="00A02935" w:rsidRPr="00A02935">
        <w:rPr>
          <w:bCs/>
          <w:vertAlign w:val="superscript"/>
        </w:rPr>
        <w:t>-1</w:t>
      </w:r>
      <w:r w:rsidR="00A02935" w:rsidRPr="00A02935">
        <w:rPr>
          <w:bCs/>
        </w:rPr>
        <w:t xml:space="preserve"> on 2</w:t>
      </w:r>
      <w:r w:rsidR="003E546D">
        <w:rPr>
          <w:bCs/>
        </w:rPr>
        <w:t>8</w:t>
      </w:r>
      <w:r w:rsidR="00A02935" w:rsidRPr="00A02935">
        <w:rPr>
          <w:bCs/>
        </w:rPr>
        <w:t xml:space="preserve"> October 2015</w:t>
      </w:r>
      <w:r w:rsidRPr="00A02935">
        <w:rPr>
          <w:bCs/>
        </w:rPr>
        <w:t>.</w:t>
      </w:r>
    </w:p>
    <w:p w14:paraId="5C2F35E7" w14:textId="56070D86" w:rsidR="005C70B3" w:rsidRPr="00285A61" w:rsidRDefault="005C70B3" w:rsidP="005C70B3">
      <w:pPr>
        <w:rPr>
          <w:bCs/>
          <w:highlight w:val="yellow"/>
        </w:rPr>
      </w:pPr>
      <w:r w:rsidRPr="00F20C62">
        <w:rPr>
          <w:bCs/>
        </w:rPr>
        <w:t>Sampling for golden perch</w:t>
      </w:r>
      <w:r w:rsidR="00273CC6">
        <w:rPr>
          <w:bCs/>
        </w:rPr>
        <w:t xml:space="preserve"> and silver perch</w:t>
      </w:r>
      <w:r w:rsidRPr="00F20C62">
        <w:rPr>
          <w:bCs/>
        </w:rPr>
        <w:t xml:space="preserve"> eggs and larvae from early October 2015 to end January 2016 revealed low num</w:t>
      </w:r>
      <w:r w:rsidR="00273CC6">
        <w:rPr>
          <w:bCs/>
        </w:rPr>
        <w:t xml:space="preserve">bers of golden perch </w:t>
      </w:r>
      <w:r w:rsidRPr="00F20C62">
        <w:rPr>
          <w:bCs/>
        </w:rPr>
        <w:t>(</w:t>
      </w:r>
      <w:r w:rsidRPr="00F20C62">
        <w:rPr>
          <w:bCs/>
          <w:i/>
        </w:rPr>
        <w:t>n</w:t>
      </w:r>
      <w:r w:rsidRPr="00F20C62">
        <w:rPr>
          <w:bCs/>
        </w:rPr>
        <w:t xml:space="preserve"> = 2) and silver perch larvae (n = 1)</w:t>
      </w:r>
      <w:r w:rsidR="0075437E">
        <w:rPr>
          <w:bCs/>
        </w:rPr>
        <w:t xml:space="preserve"> in the LMR S</w:t>
      </w:r>
      <w:r w:rsidRPr="00F20C62">
        <w:rPr>
          <w:bCs/>
        </w:rPr>
        <w:t>elected area from mid-October to early December 2015.  The age of these larvae (2</w:t>
      </w:r>
      <w:r w:rsidRPr="00F20C62">
        <w:rPr>
          <w:rFonts w:cstheme="minorHAnsi"/>
          <w:bCs/>
        </w:rPr>
        <w:t>–</w:t>
      </w:r>
      <w:r w:rsidRPr="00F20C62">
        <w:rPr>
          <w:bCs/>
        </w:rPr>
        <w:t xml:space="preserve">19 days) and/or otolith </w:t>
      </w:r>
      <w:r w:rsidRPr="00F20C62">
        <w:rPr>
          <w:bCs/>
          <w:vertAlign w:val="superscript"/>
        </w:rPr>
        <w:t>87</w:t>
      </w:r>
      <w:r w:rsidRPr="00F20C62">
        <w:rPr>
          <w:bCs/>
        </w:rPr>
        <w:t>Sr/</w:t>
      </w:r>
      <w:r w:rsidRPr="00F20C62">
        <w:rPr>
          <w:bCs/>
          <w:vertAlign w:val="superscript"/>
        </w:rPr>
        <w:t>86</w:t>
      </w:r>
      <w:r w:rsidRPr="00F20C62">
        <w:rPr>
          <w:bCs/>
        </w:rPr>
        <w:t xml:space="preserve">Sr indicate these fish were spawned </w:t>
      </w:r>
      <w:r w:rsidRPr="0075437E">
        <w:rPr>
          <w:bCs/>
        </w:rPr>
        <w:t>from 15 October</w:t>
      </w:r>
      <w:r w:rsidRPr="0075437E">
        <w:rPr>
          <w:rFonts w:cstheme="minorHAnsi"/>
          <w:bCs/>
        </w:rPr>
        <w:t>–</w:t>
      </w:r>
      <w:r w:rsidRPr="0075437E">
        <w:rPr>
          <w:bCs/>
        </w:rPr>
        <w:t xml:space="preserve">13 November in the LMR Selected Area, </w:t>
      </w:r>
      <w:r w:rsidR="009F6005">
        <w:rPr>
          <w:bCs/>
        </w:rPr>
        <w:t>below</w:t>
      </w:r>
      <w:r w:rsidRPr="0075437E">
        <w:rPr>
          <w:bCs/>
        </w:rPr>
        <w:t xml:space="preserve"> Lock 1. Consequently there was a low level of go</w:t>
      </w:r>
      <w:r w:rsidR="0075437E" w:rsidRPr="0075437E">
        <w:rPr>
          <w:bCs/>
        </w:rPr>
        <w:t>lden perch and silver perch spawning in the LMR Selected A</w:t>
      </w:r>
      <w:r w:rsidRPr="0075437E">
        <w:rPr>
          <w:bCs/>
        </w:rPr>
        <w:t xml:space="preserve">rea in conjunction with the delivery of </w:t>
      </w:r>
      <w:r w:rsidRPr="0075437E">
        <w:t>Commonwealth environmental water</w:t>
      </w:r>
      <w:r w:rsidRPr="0075437E">
        <w:rPr>
          <w:bCs/>
        </w:rPr>
        <w:t xml:space="preserve"> in </w:t>
      </w:r>
      <w:r w:rsidR="0075437E" w:rsidRPr="0075437E">
        <w:rPr>
          <w:bCs/>
        </w:rPr>
        <w:t>October–November 2015</w:t>
      </w:r>
      <w:r w:rsidRPr="0075437E">
        <w:rPr>
          <w:bCs/>
        </w:rPr>
        <w:t>.</w:t>
      </w:r>
    </w:p>
    <w:p w14:paraId="62A47B73" w14:textId="68892F1D" w:rsidR="00662185" w:rsidRDefault="00662185" w:rsidP="00662185">
      <w:pPr>
        <w:rPr>
          <w:bCs/>
        </w:rPr>
      </w:pPr>
      <w:r w:rsidRPr="00CC7881">
        <w:rPr>
          <w:bCs/>
        </w:rPr>
        <w:t xml:space="preserve">In 2016, </w:t>
      </w:r>
      <w:r>
        <w:rPr>
          <w:bCs/>
        </w:rPr>
        <w:t xml:space="preserve">the </w:t>
      </w:r>
      <w:r w:rsidRPr="00CC7881">
        <w:rPr>
          <w:bCs/>
        </w:rPr>
        <w:t xml:space="preserve">golden perch population in the floodplain and gorge geomorphic zones of the </w:t>
      </w:r>
      <w:r w:rsidR="00D908BA">
        <w:rPr>
          <w:bCs/>
        </w:rPr>
        <w:t>LMR</w:t>
      </w:r>
      <w:r w:rsidRPr="00CC7881">
        <w:rPr>
          <w:bCs/>
        </w:rPr>
        <w:t xml:space="preserve"> w</w:t>
      </w:r>
      <w:r>
        <w:rPr>
          <w:bCs/>
        </w:rPr>
        <w:t>as</w:t>
      </w:r>
      <w:r w:rsidRPr="00CC7881">
        <w:rPr>
          <w:bCs/>
        </w:rPr>
        <w:t xml:space="preserve"> dominated by age 6+ and 5+ fish, representing 80% and 60% of the </w:t>
      </w:r>
      <w:r w:rsidRPr="00CC7881">
        <w:rPr>
          <w:bCs/>
        </w:rPr>
        <w:lastRenderedPageBreak/>
        <w:t xml:space="preserve">sampled </w:t>
      </w:r>
      <w:r>
        <w:rPr>
          <w:bCs/>
        </w:rPr>
        <w:t>fish</w:t>
      </w:r>
      <w:r w:rsidRPr="00CC7881">
        <w:rPr>
          <w:bCs/>
        </w:rPr>
        <w:t>, respectively. In the gorge geomorphic zone, the remainder of the population was comprised of generally older fish (i.e. age 19+, 14%, and 15+, 5%). No age 0+ or 1+ golden perch were collected in either region</w:t>
      </w:r>
      <w:r>
        <w:rPr>
          <w:bCs/>
        </w:rPr>
        <w:t xml:space="preserve"> </w:t>
      </w:r>
      <w:r w:rsidRPr="0029489A">
        <w:rPr>
          <w:bCs/>
        </w:rPr>
        <w:t>indicating negligible recruitment from spawning in 2014</w:t>
      </w:r>
      <w:r w:rsidR="00246D9C">
        <w:rPr>
          <w:bCs/>
        </w:rPr>
        <w:t>/15</w:t>
      </w:r>
      <w:r w:rsidRPr="0029489A">
        <w:rPr>
          <w:bCs/>
        </w:rPr>
        <w:t xml:space="preserve"> and 2015</w:t>
      </w:r>
      <w:r w:rsidR="00246D9C">
        <w:rPr>
          <w:bCs/>
        </w:rPr>
        <w:t>/16</w:t>
      </w:r>
      <w:r w:rsidRPr="0029489A">
        <w:rPr>
          <w:bCs/>
        </w:rPr>
        <w:t>.</w:t>
      </w:r>
      <w:r w:rsidR="00D908BA">
        <w:rPr>
          <w:bCs/>
        </w:rPr>
        <w:t xml:space="preserve"> </w:t>
      </w:r>
      <w:r w:rsidRPr="00CA4D15">
        <w:rPr>
          <w:bCs/>
        </w:rPr>
        <w:t>Overall, these data demonstrate episodic recruitment of golden perch during the period of t</w:t>
      </w:r>
      <w:r w:rsidR="0055023A">
        <w:rPr>
          <w:bCs/>
        </w:rPr>
        <w:t>he Millennium drought (2001–2010</w:t>
      </w:r>
      <w:r w:rsidRPr="00CA4D15">
        <w:rPr>
          <w:bCs/>
        </w:rPr>
        <w:t xml:space="preserve">), but more consistent recruitment from 2010 to 2013.  </w:t>
      </w:r>
    </w:p>
    <w:p w14:paraId="5B20CB95" w14:textId="1850880C" w:rsidR="00662185" w:rsidRPr="00285A61" w:rsidRDefault="00662185" w:rsidP="00662185">
      <w:pPr>
        <w:rPr>
          <w:bCs/>
          <w:highlight w:val="yellow"/>
        </w:rPr>
      </w:pPr>
      <w:r>
        <w:rPr>
          <w:bCs/>
        </w:rPr>
        <w:t xml:space="preserve">In 2016, the sampled silver perch population in the </w:t>
      </w:r>
      <w:r w:rsidR="00D908BA">
        <w:rPr>
          <w:bCs/>
        </w:rPr>
        <w:t>LMR</w:t>
      </w:r>
      <w:r>
        <w:rPr>
          <w:bCs/>
        </w:rPr>
        <w:t xml:space="preserve"> was comprised of age 2+–6+ fish spawned </w:t>
      </w:r>
      <w:r w:rsidRPr="00B2657D">
        <w:rPr>
          <w:bCs/>
        </w:rPr>
        <w:t>from 2010–2014 in association with in-channel and overbank increases in flow in the lower River Murray</w:t>
      </w:r>
      <w:r>
        <w:rPr>
          <w:bCs/>
        </w:rPr>
        <w:t>, mid</w:t>
      </w:r>
      <w:r w:rsidR="00246D9C">
        <w:rPr>
          <w:bCs/>
        </w:rPr>
        <w:t>-</w:t>
      </w:r>
      <w:r>
        <w:rPr>
          <w:bCs/>
        </w:rPr>
        <w:t>Murray</w:t>
      </w:r>
      <w:r w:rsidR="00246D9C">
        <w:rPr>
          <w:bCs/>
        </w:rPr>
        <w:t xml:space="preserve"> River</w:t>
      </w:r>
      <w:r w:rsidRPr="00B2657D">
        <w:rPr>
          <w:bCs/>
        </w:rPr>
        <w:t xml:space="preserve"> and the Darling River</w:t>
      </w:r>
      <w:r>
        <w:rPr>
          <w:bCs/>
        </w:rPr>
        <w:t xml:space="preserve">. </w:t>
      </w:r>
      <w:r w:rsidRPr="00B2657D">
        <w:rPr>
          <w:bCs/>
        </w:rPr>
        <w:t xml:space="preserve">No age 0+ or 1+ </w:t>
      </w:r>
      <w:r>
        <w:rPr>
          <w:bCs/>
        </w:rPr>
        <w:t>silver</w:t>
      </w:r>
      <w:r w:rsidRPr="00B2657D">
        <w:rPr>
          <w:bCs/>
        </w:rPr>
        <w:t xml:space="preserve"> perch were collected</w:t>
      </w:r>
      <w:r w:rsidRPr="0029489A">
        <w:rPr>
          <w:bCs/>
        </w:rPr>
        <w:t xml:space="preserve"> </w:t>
      </w:r>
      <w:r w:rsidRPr="00544C18">
        <w:rPr>
          <w:bCs/>
        </w:rPr>
        <w:t>indicat</w:t>
      </w:r>
      <w:r>
        <w:rPr>
          <w:bCs/>
        </w:rPr>
        <w:t>ing</w:t>
      </w:r>
      <w:r w:rsidRPr="00544C18">
        <w:rPr>
          <w:bCs/>
        </w:rPr>
        <w:t xml:space="preserve"> negligible recruitment from spawning in 2014</w:t>
      </w:r>
      <w:r w:rsidR="00246D9C">
        <w:rPr>
          <w:bCs/>
        </w:rPr>
        <w:t>/15</w:t>
      </w:r>
      <w:r w:rsidRPr="00544C18">
        <w:rPr>
          <w:bCs/>
        </w:rPr>
        <w:t xml:space="preserve"> and 2015</w:t>
      </w:r>
      <w:r w:rsidR="00246D9C">
        <w:rPr>
          <w:bCs/>
        </w:rPr>
        <w:t>/16</w:t>
      </w:r>
      <w:r>
        <w:rPr>
          <w:bCs/>
        </w:rPr>
        <w:t>.</w:t>
      </w:r>
    </w:p>
    <w:p w14:paraId="142F070C" w14:textId="768E9FF5" w:rsidR="00662185" w:rsidRDefault="00662185" w:rsidP="00662185">
      <w:pPr>
        <w:rPr>
          <w:bCs/>
        </w:rPr>
      </w:pPr>
      <w:r w:rsidRPr="00CA4D15">
        <w:rPr>
          <w:bCs/>
        </w:rPr>
        <w:t xml:space="preserve">Consecutive year-classes </w:t>
      </w:r>
      <w:r>
        <w:rPr>
          <w:bCs/>
        </w:rPr>
        <w:t xml:space="preserve">of golden perch </w:t>
      </w:r>
      <w:r w:rsidRPr="00CA4D15">
        <w:rPr>
          <w:bCs/>
        </w:rPr>
        <w:t xml:space="preserve">(i.e. age 2+–6+) </w:t>
      </w:r>
      <w:r w:rsidR="009B76EA">
        <w:rPr>
          <w:bCs/>
        </w:rPr>
        <w:t>and silver perch (i.e. age </w:t>
      </w:r>
      <w:r>
        <w:rPr>
          <w:bCs/>
        </w:rPr>
        <w:t xml:space="preserve">4+–6+) </w:t>
      </w:r>
      <w:r w:rsidRPr="00CA4D15">
        <w:rPr>
          <w:bCs/>
        </w:rPr>
        <w:t>from 2010–201</w:t>
      </w:r>
      <w:r>
        <w:rPr>
          <w:bCs/>
        </w:rPr>
        <w:t xml:space="preserve">4, </w:t>
      </w:r>
      <w:r w:rsidRPr="00CA4D15">
        <w:rPr>
          <w:bCs/>
        </w:rPr>
        <w:t>were spawned in association with in-channel and overbank increases in flow in the lower River Murray and the Darling River</w:t>
      </w:r>
      <w:r>
        <w:rPr>
          <w:bCs/>
        </w:rPr>
        <w:t xml:space="preserve"> and, uniquely for silver perch, in the mid</w:t>
      </w:r>
      <w:r w:rsidR="00867B05">
        <w:rPr>
          <w:bCs/>
        </w:rPr>
        <w:t>-</w:t>
      </w:r>
      <w:r>
        <w:rPr>
          <w:bCs/>
        </w:rPr>
        <w:t xml:space="preserve">Murray </w:t>
      </w:r>
      <w:r w:rsidR="00867B05">
        <w:rPr>
          <w:bCs/>
        </w:rPr>
        <w:t xml:space="preserve">River </w:t>
      </w:r>
      <w:r>
        <w:rPr>
          <w:bCs/>
        </w:rPr>
        <w:t>(age 6+ cohort)</w:t>
      </w:r>
      <w:r w:rsidRPr="00CA4D15">
        <w:rPr>
          <w:bCs/>
        </w:rPr>
        <w:t xml:space="preserve">. The addition of these year classes improved the resilience of golden perch </w:t>
      </w:r>
      <w:r>
        <w:rPr>
          <w:bCs/>
        </w:rPr>
        <w:t xml:space="preserve">and silver perch </w:t>
      </w:r>
      <w:r w:rsidRPr="00CA4D15">
        <w:rPr>
          <w:bCs/>
        </w:rPr>
        <w:t>populations in the lower River Murray and reinforces the premise that water management, or unregulated flows, that promote flow variability (in-channel and overbank) above regulated entitlement flows, may stimulate golden perch spawning in the lower River Murray and Darling River</w:t>
      </w:r>
      <w:r>
        <w:rPr>
          <w:bCs/>
        </w:rPr>
        <w:t>, and silver perc</w:t>
      </w:r>
      <w:r w:rsidR="00D908BA">
        <w:rPr>
          <w:bCs/>
        </w:rPr>
        <w:t>h spawning in the lower and mid-</w:t>
      </w:r>
      <w:r>
        <w:rPr>
          <w:bCs/>
        </w:rPr>
        <w:t>Murray River, and Darling River,</w:t>
      </w:r>
      <w:r w:rsidRPr="00CA4D15">
        <w:rPr>
          <w:bCs/>
        </w:rPr>
        <w:t xml:space="preserve"> and subsequently promote golden perch </w:t>
      </w:r>
      <w:r>
        <w:rPr>
          <w:bCs/>
        </w:rPr>
        <w:t xml:space="preserve">and silver perch </w:t>
      </w:r>
      <w:r w:rsidRPr="00CA4D15">
        <w:rPr>
          <w:bCs/>
        </w:rPr>
        <w:t>recruitment in the LMR Selected Area.</w:t>
      </w:r>
    </w:p>
    <w:p w14:paraId="6B2E0AC2" w14:textId="48B851D4" w:rsidR="00662185" w:rsidRPr="00285A61" w:rsidRDefault="00662185" w:rsidP="00662185">
      <w:pPr>
        <w:rPr>
          <w:bCs/>
          <w:highlight w:val="yellow"/>
        </w:rPr>
      </w:pPr>
    </w:p>
    <w:p w14:paraId="4041FF5E" w14:textId="77777777" w:rsidR="00662185" w:rsidRPr="00662185" w:rsidRDefault="00662185" w:rsidP="00662185">
      <w:pPr>
        <w:spacing w:before="0" w:after="200" w:line="276" w:lineRule="auto"/>
        <w:rPr>
          <w:b/>
          <w:color w:val="1F497D" w:themeColor="text2"/>
          <w:sz w:val="26"/>
          <w:szCs w:val="26"/>
        </w:rPr>
      </w:pPr>
      <w:r w:rsidRPr="00662185">
        <w:rPr>
          <w:b/>
          <w:color w:val="1F497D" w:themeColor="text2"/>
          <w:sz w:val="26"/>
          <w:szCs w:val="26"/>
        </w:rPr>
        <w:t>Conclusions</w:t>
      </w:r>
    </w:p>
    <w:p w14:paraId="5CC2BDD9" w14:textId="39766AE9" w:rsidR="00E35600" w:rsidRPr="00C36CB2" w:rsidRDefault="00E35600" w:rsidP="00E35600">
      <w:pPr>
        <w:rPr>
          <w:bCs/>
        </w:rPr>
      </w:pPr>
      <w:r w:rsidRPr="00C36CB2">
        <w:rPr>
          <w:bCs/>
        </w:rPr>
        <w:t xml:space="preserve">These findings support and expand contemporary conceptual models of the flow-related ecology of golden perch and silver perch in the River Murray. In the </w:t>
      </w:r>
      <w:r w:rsidR="00305A68">
        <w:rPr>
          <w:bCs/>
        </w:rPr>
        <w:t>LMR</w:t>
      </w:r>
      <w:r w:rsidRPr="00C36CB2">
        <w:rPr>
          <w:bCs/>
        </w:rPr>
        <w:t xml:space="preserve">, golden perch recruitment is promoted by spawning associated with spring–summer increases in flow (in-channel and overbank) in the lower River </w:t>
      </w:r>
      <w:r w:rsidR="00305A68">
        <w:rPr>
          <w:bCs/>
        </w:rPr>
        <w:t>Murray and lower Darling River.</w:t>
      </w:r>
      <w:r w:rsidRPr="00C36CB2">
        <w:rPr>
          <w:bCs/>
        </w:rPr>
        <w:t xml:space="preserve"> Likewise, silver perch recruitment in the </w:t>
      </w:r>
      <w:r w:rsidR="00305A68">
        <w:rPr>
          <w:bCs/>
        </w:rPr>
        <w:t>LMR</w:t>
      </w:r>
      <w:r w:rsidRPr="00C36CB2">
        <w:rPr>
          <w:bCs/>
        </w:rPr>
        <w:t xml:space="preserve"> is promoted by spawning associated with spring–summer increases in flow in the lower River Murray and D</w:t>
      </w:r>
      <w:r w:rsidR="00305A68">
        <w:rPr>
          <w:bCs/>
        </w:rPr>
        <w:t>arling River, but also the mid-M</w:t>
      </w:r>
      <w:r w:rsidRPr="00C36CB2">
        <w:rPr>
          <w:bCs/>
        </w:rPr>
        <w:t>urray River</w:t>
      </w:r>
      <w:r w:rsidR="00305A68">
        <w:rPr>
          <w:bCs/>
        </w:rPr>
        <w:t>.</w:t>
      </w:r>
      <w:r w:rsidRPr="00C36CB2">
        <w:rPr>
          <w:bCs/>
        </w:rPr>
        <w:t xml:space="preserve"> The absence of these hydrological characteristics in the </w:t>
      </w:r>
      <w:r w:rsidR="00305A68">
        <w:rPr>
          <w:bCs/>
        </w:rPr>
        <w:t>LMR</w:t>
      </w:r>
      <w:r w:rsidRPr="00C36CB2">
        <w:rPr>
          <w:bCs/>
        </w:rPr>
        <w:t xml:space="preserve"> and lower Darling River in 2015/16 led to limited spawning and negligible </w:t>
      </w:r>
      <w:r w:rsidRPr="00C36CB2">
        <w:rPr>
          <w:bCs/>
        </w:rPr>
        <w:lastRenderedPageBreak/>
        <w:t>recruitment of golden perch and silver perch to age 0+ in the LMR Selected Area.  Hence the delivery of Commonwealth environmental water did not support the CEWO objective of contributing to increased spawning and/or recruitment of flow-dependent fish species in the LMR Selected Area.</w:t>
      </w:r>
    </w:p>
    <w:p w14:paraId="6E24F285" w14:textId="162C82B3" w:rsidR="00D7222B" w:rsidRDefault="00E35600" w:rsidP="00E35600">
      <w:pPr>
        <w:rPr>
          <w:bCs/>
        </w:rPr>
      </w:pPr>
      <w:r w:rsidRPr="00C36CB2">
        <w:rPr>
          <w:bCs/>
        </w:rPr>
        <w:t>In spring–early summer 2015/16, flow between the mid</w:t>
      </w:r>
      <w:r w:rsidR="00305A68">
        <w:rPr>
          <w:bCs/>
        </w:rPr>
        <w:t>-</w:t>
      </w:r>
      <w:r w:rsidRPr="00C36CB2">
        <w:rPr>
          <w:bCs/>
        </w:rPr>
        <w:t xml:space="preserve"> and lower River Murray was fragmented and homogenised through the operation of Lake Victoria.  In the </w:t>
      </w:r>
      <w:r w:rsidR="00305A68">
        <w:rPr>
          <w:bCs/>
        </w:rPr>
        <w:t>LMR,</w:t>
      </w:r>
      <w:r w:rsidRPr="00C36CB2">
        <w:rPr>
          <w:bCs/>
        </w:rPr>
        <w:t xml:space="preserve"> this moderated distinct spring pulses in flow (present in the mid-Murray River) that may stimulate golden perch and silver perch spawning and promote recruitment. Indeed, age 0+ silver perch were collected in the mid-Murray River (where these pulses were intact) in autumn 2016 (SARDI unpubl</w:t>
      </w:r>
      <w:r w:rsidR="00305A68">
        <w:rPr>
          <w:bCs/>
        </w:rPr>
        <w:t>ished data).</w:t>
      </w:r>
      <w:r w:rsidRPr="00C36CB2">
        <w:rPr>
          <w:bCs/>
        </w:rPr>
        <w:t xml:space="preserve"> Consequently, in the LMR Selected Area, achieving positive outcomes for native fishes through the delivery of Commonwealth environmental water may require the longitudinal maintenance of flow characteristics (e.g. magnitude and shape of the hydrograph) present in the mid-Murray River. </w:t>
      </w:r>
      <w:r w:rsidR="00D7222B">
        <w:rPr>
          <w:bCs/>
        </w:rPr>
        <w:br w:type="page"/>
      </w:r>
    </w:p>
    <w:p w14:paraId="028E1B10" w14:textId="77777777" w:rsidR="002F09E2" w:rsidRDefault="002F09E2" w:rsidP="00880D34">
      <w:pPr>
        <w:pStyle w:val="Heading1"/>
        <w:numPr>
          <w:ilvl w:val="0"/>
          <w:numId w:val="0"/>
        </w:numPr>
        <w:ind w:left="851" w:hanging="851"/>
        <w:sectPr w:rsidR="002F09E2" w:rsidSect="00F020E5">
          <w:pgSz w:w="11900" w:h="16840" w:code="9"/>
          <w:pgMar w:top="1440" w:right="1440" w:bottom="1440" w:left="1440" w:header="709" w:footer="709" w:gutter="0"/>
          <w:cols w:space="708"/>
          <w:docGrid w:linePitch="360"/>
        </w:sectPr>
      </w:pPr>
    </w:p>
    <w:p w14:paraId="1A78DB25" w14:textId="1DDE2DE9" w:rsidR="00D7222B" w:rsidRDefault="00D7222B" w:rsidP="00880D34">
      <w:pPr>
        <w:pStyle w:val="Heading1"/>
        <w:numPr>
          <w:ilvl w:val="0"/>
          <w:numId w:val="0"/>
        </w:numPr>
        <w:ind w:left="851" w:hanging="851"/>
      </w:pPr>
      <w:bookmarkStart w:id="206" w:name="_Toc474147080"/>
      <w:r w:rsidRPr="00DF1502">
        <w:lastRenderedPageBreak/>
        <w:t xml:space="preserve">Appendix </w:t>
      </w:r>
      <w:r w:rsidR="000C7E02">
        <w:t>I</w:t>
      </w:r>
      <w:r w:rsidRPr="00DF1502">
        <w:t xml:space="preserve">: </w:t>
      </w:r>
      <w:r w:rsidR="003F669E">
        <w:t>DEWNR short-term evaluation questions</w:t>
      </w:r>
      <w:bookmarkEnd w:id="206"/>
    </w:p>
    <w:p w14:paraId="297BD39D" w14:textId="2FB3EB72" w:rsidR="00D7222B" w:rsidRDefault="00D7222B" w:rsidP="00B46038">
      <w:pPr>
        <w:pStyle w:val="Captions"/>
      </w:pPr>
      <w:r w:rsidRPr="00D7222B">
        <w:t>T</w:t>
      </w:r>
      <w:r>
        <w:t>able I1.</w:t>
      </w:r>
      <w:r w:rsidRPr="00D7222B">
        <w:t xml:space="preserve"> </w:t>
      </w:r>
      <w:r w:rsidR="003F669E">
        <w:t>DEWNR</w:t>
      </w:r>
      <w:r w:rsidRPr="00D7222B">
        <w:t xml:space="preserve"> short-term (o</w:t>
      </w:r>
      <w:r w:rsidR="00B34559">
        <w:t>ne-year) evaluation questions for CEWO LTIM</w:t>
      </w:r>
      <w:r w:rsidRPr="00D7222B">
        <w:t xml:space="preserve"> Category 1 and 3 indicators. Evaluation questions are </w:t>
      </w:r>
      <w:r w:rsidR="00A930CE">
        <w:t xml:space="preserve">based on ecological targets from the Long-Term </w:t>
      </w:r>
      <w:r w:rsidR="005060F3">
        <w:t xml:space="preserve">Environmental </w:t>
      </w:r>
      <w:r w:rsidR="00A930CE">
        <w:t>Watering Plan (LTWP) for the South Australian Murray</w:t>
      </w:r>
      <w:r w:rsidR="00867B05" w:rsidRPr="00867B05">
        <w:t xml:space="preserve"> </w:t>
      </w:r>
      <w:r w:rsidR="00867B05">
        <w:t>River</w:t>
      </w:r>
      <w:r w:rsidRPr="00D7222B">
        <w:t>.</w:t>
      </w:r>
      <w:r w:rsidR="00F76FD2">
        <w:t xml:space="preserve"> </w:t>
      </w:r>
      <w:r w:rsidR="00F76FD2" w:rsidRPr="00F76FD2">
        <w:t>DEWNR evaluation questions serve as ‘additional’ questions as there may be some CEWO questions that are also relevant to DEWNR’s targets from the LTWP.</w:t>
      </w:r>
      <w:r w:rsidR="00A54CFB">
        <w:t xml:space="preserve"> CEW = C</w:t>
      </w:r>
      <w:r w:rsidR="00817E54">
        <w:t>ommonwealth environmental water, WPR = weir pool raising.</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3237"/>
        <w:gridCol w:w="9243"/>
      </w:tblGrid>
      <w:tr w:rsidR="00D7222B" w:rsidRPr="00F76FD2" w14:paraId="00E0E89A" w14:textId="77777777" w:rsidTr="00081C17">
        <w:trPr>
          <w:cantSplit/>
          <w:tblHeader/>
        </w:trPr>
        <w:tc>
          <w:tcPr>
            <w:tcW w:w="1549" w:type="dxa"/>
            <w:tcBorders>
              <w:bottom w:val="single" w:sz="4" w:space="0" w:color="auto"/>
            </w:tcBorders>
            <w:shd w:val="clear" w:color="auto" w:fill="BFBFBF" w:themeFill="background1" w:themeFillShade="BF"/>
          </w:tcPr>
          <w:p w14:paraId="0E71F838" w14:textId="77777777" w:rsidR="00D7222B" w:rsidRPr="00F76FD2" w:rsidRDefault="00D7222B" w:rsidP="00040D91">
            <w:pPr>
              <w:pStyle w:val="TableHeading"/>
              <w:jc w:val="left"/>
              <w:rPr>
                <w:sz w:val="19"/>
                <w:szCs w:val="19"/>
              </w:rPr>
            </w:pPr>
            <w:r w:rsidRPr="00F76FD2">
              <w:rPr>
                <w:sz w:val="19"/>
                <w:szCs w:val="19"/>
              </w:rPr>
              <w:t>Indicator</w:t>
            </w:r>
          </w:p>
        </w:tc>
        <w:tc>
          <w:tcPr>
            <w:tcW w:w="3237" w:type="dxa"/>
            <w:tcBorders>
              <w:bottom w:val="single" w:sz="4" w:space="0" w:color="auto"/>
            </w:tcBorders>
            <w:shd w:val="clear" w:color="auto" w:fill="BFBFBF" w:themeFill="background1" w:themeFillShade="BF"/>
          </w:tcPr>
          <w:p w14:paraId="454C2913" w14:textId="50BDCBB8" w:rsidR="00D7222B" w:rsidRPr="00F76FD2" w:rsidRDefault="00A930CE" w:rsidP="00040D91">
            <w:pPr>
              <w:pStyle w:val="TableHeading"/>
              <w:jc w:val="left"/>
              <w:rPr>
                <w:sz w:val="19"/>
                <w:szCs w:val="19"/>
              </w:rPr>
            </w:pPr>
            <w:r w:rsidRPr="00F76FD2">
              <w:rPr>
                <w:sz w:val="19"/>
                <w:szCs w:val="19"/>
              </w:rPr>
              <w:t>O</w:t>
            </w:r>
            <w:r w:rsidR="00D7222B" w:rsidRPr="00F76FD2">
              <w:rPr>
                <w:sz w:val="19"/>
                <w:szCs w:val="19"/>
              </w:rPr>
              <w:t>ne-year evaluation question</w:t>
            </w:r>
            <w:r w:rsidR="00382F0A" w:rsidRPr="00F76FD2">
              <w:rPr>
                <w:sz w:val="19"/>
                <w:szCs w:val="19"/>
              </w:rPr>
              <w:t>(</w:t>
            </w:r>
            <w:r w:rsidR="00D7222B" w:rsidRPr="00F76FD2">
              <w:rPr>
                <w:sz w:val="19"/>
                <w:szCs w:val="19"/>
              </w:rPr>
              <w:t>s</w:t>
            </w:r>
            <w:r w:rsidR="00382F0A" w:rsidRPr="00F76FD2">
              <w:rPr>
                <w:sz w:val="19"/>
                <w:szCs w:val="19"/>
              </w:rPr>
              <w:t>)</w:t>
            </w:r>
          </w:p>
        </w:tc>
        <w:tc>
          <w:tcPr>
            <w:tcW w:w="9243" w:type="dxa"/>
            <w:tcBorders>
              <w:bottom w:val="single" w:sz="4" w:space="0" w:color="auto"/>
            </w:tcBorders>
            <w:shd w:val="clear" w:color="auto" w:fill="BFBFBF" w:themeFill="background1" w:themeFillShade="BF"/>
          </w:tcPr>
          <w:p w14:paraId="15D0A89A" w14:textId="630F3798" w:rsidR="00D7222B" w:rsidRPr="00F76FD2" w:rsidRDefault="00382F0A" w:rsidP="00040D91">
            <w:pPr>
              <w:pStyle w:val="TableHeading"/>
              <w:jc w:val="left"/>
              <w:rPr>
                <w:sz w:val="19"/>
                <w:szCs w:val="19"/>
              </w:rPr>
            </w:pPr>
            <w:r w:rsidRPr="00F76FD2">
              <w:rPr>
                <w:sz w:val="19"/>
                <w:szCs w:val="19"/>
              </w:rPr>
              <w:t>Answers to one-year evaluation question(s)</w:t>
            </w:r>
          </w:p>
        </w:tc>
      </w:tr>
      <w:tr w:rsidR="00705693" w:rsidRPr="00F76FD2" w14:paraId="43A49211" w14:textId="77777777" w:rsidTr="00305A68">
        <w:trPr>
          <w:cantSplit/>
        </w:trPr>
        <w:tc>
          <w:tcPr>
            <w:tcW w:w="1549" w:type="dxa"/>
            <w:tcBorders>
              <w:top w:val="single" w:sz="4" w:space="0" w:color="auto"/>
              <w:left w:val="single" w:sz="4" w:space="0" w:color="auto"/>
              <w:bottom w:val="nil"/>
              <w:right w:val="single" w:sz="4" w:space="0" w:color="auto"/>
            </w:tcBorders>
          </w:tcPr>
          <w:p w14:paraId="4F480874" w14:textId="36C63809" w:rsidR="00705693" w:rsidRPr="00F76FD2" w:rsidRDefault="00705693" w:rsidP="00705693">
            <w:pPr>
              <w:rPr>
                <w:sz w:val="19"/>
                <w:szCs w:val="19"/>
              </w:rPr>
            </w:pPr>
            <w:r>
              <w:rPr>
                <w:sz w:val="19"/>
                <w:szCs w:val="19"/>
              </w:rPr>
              <w:t>Category 1. Stream M</w:t>
            </w:r>
            <w:r w:rsidRPr="00F76FD2">
              <w:rPr>
                <w:sz w:val="19"/>
                <w:szCs w:val="19"/>
              </w:rPr>
              <w:t>etabolism</w:t>
            </w:r>
          </w:p>
        </w:tc>
        <w:tc>
          <w:tcPr>
            <w:tcW w:w="3237" w:type="dxa"/>
            <w:tcBorders>
              <w:top w:val="single" w:sz="4" w:space="0" w:color="auto"/>
              <w:left w:val="single" w:sz="4" w:space="0" w:color="auto"/>
              <w:bottom w:val="nil"/>
              <w:right w:val="single" w:sz="4" w:space="0" w:color="auto"/>
            </w:tcBorders>
          </w:tcPr>
          <w:p w14:paraId="19791FF0" w14:textId="45A6FD7C" w:rsidR="00705693" w:rsidRPr="00F76FD2" w:rsidRDefault="00705693" w:rsidP="00705693">
            <w:pPr>
              <w:rPr>
                <w:sz w:val="19"/>
                <w:szCs w:val="19"/>
              </w:rPr>
            </w:pPr>
            <w:r w:rsidRPr="00F76FD2">
              <w:rPr>
                <w:sz w:val="19"/>
                <w:szCs w:val="19"/>
              </w:rPr>
              <w:t>What did CEW contribute to temporarily shifting open water productivity towards heterotrophy?</w:t>
            </w:r>
          </w:p>
        </w:tc>
        <w:tc>
          <w:tcPr>
            <w:tcW w:w="9243" w:type="dxa"/>
            <w:tcBorders>
              <w:top w:val="single" w:sz="4" w:space="0" w:color="auto"/>
              <w:left w:val="single" w:sz="4" w:space="0" w:color="auto"/>
              <w:bottom w:val="nil"/>
              <w:right w:val="single" w:sz="4" w:space="0" w:color="auto"/>
            </w:tcBorders>
            <w:vAlign w:val="center"/>
          </w:tcPr>
          <w:p w14:paraId="56CAF84D" w14:textId="783D972B" w:rsidR="00705693" w:rsidRPr="00705693" w:rsidRDefault="00705693" w:rsidP="00705693">
            <w:pPr>
              <w:rPr>
                <w:sz w:val="19"/>
                <w:szCs w:val="19"/>
              </w:rPr>
            </w:pPr>
            <w:r w:rsidRPr="00705693">
              <w:rPr>
                <w:rFonts w:cs="Arial"/>
                <w:sz w:val="19"/>
                <w:szCs w:val="19"/>
                <w:lang w:eastAsia="en-GB"/>
              </w:rPr>
              <w:t xml:space="preserve">CEW supported the water level manipulations in Weir Pool 5 and contributed to increased water levels in the Chowilla Creek </w:t>
            </w:r>
            <w:r>
              <w:rPr>
                <w:rFonts w:cs="Arial"/>
                <w:sz w:val="19"/>
                <w:szCs w:val="19"/>
                <w:lang w:eastAsia="en-GB"/>
              </w:rPr>
              <w:t>A</w:t>
            </w:r>
            <w:r w:rsidRPr="00705693">
              <w:rPr>
                <w:rFonts w:cs="Arial"/>
                <w:sz w:val="19"/>
                <w:szCs w:val="19"/>
                <w:lang w:eastAsia="en-GB"/>
              </w:rPr>
              <w:t xml:space="preserve">nabranch. Increased water levels led to increased rates of ecosystem respiration (ER) and increased heterotrophy. However, </w:t>
            </w:r>
            <w:r>
              <w:rPr>
                <w:rFonts w:cs="Arial"/>
                <w:sz w:val="19"/>
                <w:szCs w:val="19"/>
                <w:lang w:eastAsia="en-GB"/>
              </w:rPr>
              <w:t>i</w:t>
            </w:r>
            <w:r w:rsidRPr="00705693">
              <w:rPr>
                <w:rFonts w:cs="Arial"/>
                <w:sz w:val="19"/>
                <w:szCs w:val="19"/>
                <w:lang w:eastAsia="en-GB"/>
              </w:rPr>
              <w:t>ntegrated responses at the weir pool site gave an ecosystem net production (ENP) close to zero, suggesting that the periods of enhanced respiration were related to increased autotrophic production.  These periods were considered to have enhanced energy supplies for food webs.</w:t>
            </w:r>
          </w:p>
        </w:tc>
      </w:tr>
      <w:tr w:rsidR="00705693" w:rsidRPr="00F76FD2" w14:paraId="1A07F01B" w14:textId="77777777" w:rsidTr="00305A68">
        <w:trPr>
          <w:cantSplit/>
        </w:trPr>
        <w:tc>
          <w:tcPr>
            <w:tcW w:w="1549" w:type="dxa"/>
            <w:tcBorders>
              <w:top w:val="nil"/>
              <w:left w:val="single" w:sz="4" w:space="0" w:color="auto"/>
              <w:bottom w:val="nil"/>
              <w:right w:val="single" w:sz="4" w:space="0" w:color="auto"/>
            </w:tcBorders>
          </w:tcPr>
          <w:p w14:paraId="1B8465D4" w14:textId="77777777" w:rsidR="00705693" w:rsidRPr="00F76FD2" w:rsidRDefault="00705693" w:rsidP="00705693">
            <w:pPr>
              <w:rPr>
                <w:sz w:val="19"/>
                <w:szCs w:val="19"/>
              </w:rPr>
            </w:pPr>
          </w:p>
        </w:tc>
        <w:tc>
          <w:tcPr>
            <w:tcW w:w="3237" w:type="dxa"/>
            <w:tcBorders>
              <w:top w:val="nil"/>
              <w:left w:val="single" w:sz="4" w:space="0" w:color="auto"/>
              <w:bottom w:val="nil"/>
              <w:right w:val="single" w:sz="4" w:space="0" w:color="auto"/>
            </w:tcBorders>
          </w:tcPr>
          <w:p w14:paraId="41432CB7" w14:textId="54CDDEAD" w:rsidR="00705693" w:rsidRPr="00F76FD2" w:rsidRDefault="00705693" w:rsidP="00705693">
            <w:pPr>
              <w:rPr>
                <w:sz w:val="19"/>
                <w:szCs w:val="19"/>
              </w:rPr>
            </w:pPr>
            <w:r w:rsidRPr="00F76FD2">
              <w:rPr>
                <w:sz w:val="19"/>
                <w:szCs w:val="19"/>
              </w:rPr>
              <w:t>What did CEW contribute to increased nutrients and DOC levels?</w:t>
            </w:r>
          </w:p>
        </w:tc>
        <w:tc>
          <w:tcPr>
            <w:tcW w:w="9243" w:type="dxa"/>
            <w:tcBorders>
              <w:top w:val="nil"/>
              <w:left w:val="single" w:sz="4" w:space="0" w:color="auto"/>
              <w:bottom w:val="nil"/>
              <w:right w:val="single" w:sz="4" w:space="0" w:color="auto"/>
            </w:tcBorders>
            <w:vAlign w:val="center"/>
          </w:tcPr>
          <w:p w14:paraId="491732E2" w14:textId="5BA8858B" w:rsidR="00705693" w:rsidRPr="00705693" w:rsidRDefault="00705693" w:rsidP="00705693">
            <w:pPr>
              <w:rPr>
                <w:sz w:val="19"/>
                <w:szCs w:val="19"/>
              </w:rPr>
            </w:pPr>
            <w:r w:rsidRPr="00705693">
              <w:rPr>
                <w:rFonts w:cs="Arial"/>
                <w:sz w:val="19"/>
                <w:szCs w:val="19"/>
                <w:lang w:eastAsia="en-GB"/>
              </w:rPr>
              <w:t xml:space="preserve">The data suggested that CEW contributed little to increased nutrients or DOC concentrations. Turbidity consistently declined over the monitoring period, improving the sunlight available to phytoplankton and increasing metabolic activity, but it is yet to be determined whether the turbidity reductions were a result of different supply sources for the CEW. </w:t>
            </w:r>
          </w:p>
        </w:tc>
      </w:tr>
      <w:tr w:rsidR="00705693" w:rsidRPr="00F76FD2" w14:paraId="400ABC31" w14:textId="77777777" w:rsidTr="00305A68">
        <w:trPr>
          <w:cantSplit/>
        </w:trPr>
        <w:tc>
          <w:tcPr>
            <w:tcW w:w="1549" w:type="dxa"/>
            <w:tcBorders>
              <w:top w:val="nil"/>
              <w:left w:val="single" w:sz="4" w:space="0" w:color="auto"/>
              <w:bottom w:val="single" w:sz="4" w:space="0" w:color="auto"/>
              <w:right w:val="single" w:sz="4" w:space="0" w:color="auto"/>
            </w:tcBorders>
          </w:tcPr>
          <w:p w14:paraId="3D92F3C8" w14:textId="77777777" w:rsidR="00705693" w:rsidRPr="00F76FD2" w:rsidRDefault="00705693" w:rsidP="00705693">
            <w:pPr>
              <w:rPr>
                <w:sz w:val="19"/>
                <w:szCs w:val="19"/>
              </w:rPr>
            </w:pPr>
          </w:p>
        </w:tc>
        <w:tc>
          <w:tcPr>
            <w:tcW w:w="3237" w:type="dxa"/>
            <w:tcBorders>
              <w:top w:val="nil"/>
              <w:left w:val="single" w:sz="4" w:space="0" w:color="auto"/>
              <w:bottom w:val="single" w:sz="4" w:space="0" w:color="auto"/>
              <w:right w:val="single" w:sz="4" w:space="0" w:color="auto"/>
            </w:tcBorders>
          </w:tcPr>
          <w:p w14:paraId="499F0D6E" w14:textId="34C3424E" w:rsidR="00705693" w:rsidRPr="00F76FD2" w:rsidRDefault="00705693" w:rsidP="00705693">
            <w:pPr>
              <w:rPr>
                <w:sz w:val="19"/>
                <w:szCs w:val="19"/>
              </w:rPr>
            </w:pPr>
            <w:r w:rsidRPr="00F76FD2">
              <w:rPr>
                <w:sz w:val="19"/>
                <w:szCs w:val="19"/>
              </w:rPr>
              <w:t>What did CEW contribute to maintaining dissolved oxygen levels above 50% saturation throughout the water column at all times?</w:t>
            </w:r>
          </w:p>
        </w:tc>
        <w:tc>
          <w:tcPr>
            <w:tcW w:w="9243" w:type="dxa"/>
            <w:tcBorders>
              <w:top w:val="nil"/>
              <w:left w:val="single" w:sz="4" w:space="0" w:color="auto"/>
              <w:bottom w:val="single" w:sz="4" w:space="0" w:color="auto"/>
              <w:right w:val="single" w:sz="4" w:space="0" w:color="auto"/>
            </w:tcBorders>
            <w:vAlign w:val="center"/>
          </w:tcPr>
          <w:p w14:paraId="75D323A1" w14:textId="12A9CEC1" w:rsidR="00705693" w:rsidRPr="00705693" w:rsidRDefault="00705693" w:rsidP="00705693">
            <w:pPr>
              <w:rPr>
                <w:sz w:val="19"/>
                <w:szCs w:val="19"/>
              </w:rPr>
            </w:pPr>
            <w:r w:rsidRPr="00705693">
              <w:rPr>
                <w:rFonts w:cs="Arial"/>
                <w:sz w:val="19"/>
                <w:szCs w:val="19"/>
                <w:lang w:eastAsia="en-GB"/>
              </w:rPr>
              <w:t xml:space="preserve">Dissolved oxygen levels were always above 50% at the two sampling sites over the monitoring period. This suggests that the </w:t>
            </w:r>
            <w:r w:rsidR="00B272E2">
              <w:rPr>
                <w:rFonts w:cs="Arial"/>
                <w:sz w:val="19"/>
                <w:szCs w:val="19"/>
                <w:lang w:eastAsia="en-GB"/>
              </w:rPr>
              <w:t xml:space="preserve">quality of the environmental water contributing to the </w:t>
            </w:r>
            <w:r w:rsidRPr="00705693">
              <w:rPr>
                <w:rFonts w:cs="Arial"/>
                <w:sz w:val="19"/>
                <w:szCs w:val="19"/>
                <w:lang w:eastAsia="en-GB"/>
              </w:rPr>
              <w:t xml:space="preserve">flow </w:t>
            </w:r>
            <w:r w:rsidR="00B272E2">
              <w:rPr>
                <w:rFonts w:cs="Arial"/>
                <w:sz w:val="19"/>
                <w:szCs w:val="19"/>
                <w:lang w:eastAsia="en-GB"/>
              </w:rPr>
              <w:t>was</w:t>
            </w:r>
            <w:r w:rsidRPr="00705693">
              <w:rPr>
                <w:rFonts w:cs="Arial"/>
                <w:sz w:val="19"/>
                <w:szCs w:val="19"/>
                <w:lang w:eastAsia="en-GB"/>
              </w:rPr>
              <w:t xml:space="preserve"> adequate to </w:t>
            </w:r>
            <w:r w:rsidR="00B272E2">
              <w:rPr>
                <w:rFonts w:cs="Arial"/>
                <w:sz w:val="19"/>
                <w:szCs w:val="19"/>
                <w:lang w:eastAsia="en-GB"/>
              </w:rPr>
              <w:t>avoid</w:t>
            </w:r>
            <w:r w:rsidR="00B272E2" w:rsidRPr="00705693">
              <w:rPr>
                <w:rFonts w:cs="Arial"/>
                <w:sz w:val="19"/>
                <w:szCs w:val="19"/>
                <w:lang w:eastAsia="en-GB"/>
              </w:rPr>
              <w:t xml:space="preserve"> </w:t>
            </w:r>
            <w:r w:rsidRPr="00705693">
              <w:rPr>
                <w:rFonts w:cs="Arial"/>
                <w:sz w:val="19"/>
                <w:szCs w:val="19"/>
                <w:lang w:eastAsia="en-GB"/>
              </w:rPr>
              <w:t xml:space="preserve">any </w:t>
            </w:r>
            <w:r w:rsidR="00B272E2">
              <w:rPr>
                <w:rFonts w:cs="Arial"/>
                <w:sz w:val="19"/>
                <w:szCs w:val="19"/>
                <w:lang w:eastAsia="en-GB"/>
              </w:rPr>
              <w:t xml:space="preserve">major </w:t>
            </w:r>
            <w:r w:rsidRPr="00705693">
              <w:rPr>
                <w:rFonts w:cs="Arial"/>
                <w:sz w:val="19"/>
                <w:szCs w:val="19"/>
                <w:lang w:eastAsia="en-GB"/>
              </w:rPr>
              <w:t xml:space="preserve">deoxygenation processes. </w:t>
            </w:r>
          </w:p>
        </w:tc>
      </w:tr>
      <w:tr w:rsidR="00705693" w:rsidRPr="00F76FD2" w14:paraId="37878A02" w14:textId="77777777" w:rsidTr="00456061">
        <w:trPr>
          <w:cantSplit/>
        </w:trPr>
        <w:tc>
          <w:tcPr>
            <w:tcW w:w="1549" w:type="dxa"/>
            <w:tcBorders>
              <w:top w:val="single" w:sz="4" w:space="0" w:color="auto"/>
              <w:left w:val="single" w:sz="4" w:space="0" w:color="auto"/>
              <w:bottom w:val="nil"/>
              <w:right w:val="single" w:sz="4" w:space="0" w:color="auto"/>
            </w:tcBorders>
          </w:tcPr>
          <w:p w14:paraId="4CB9A8F5" w14:textId="4A12647F" w:rsidR="00705693" w:rsidRPr="00F76FD2" w:rsidRDefault="00705693" w:rsidP="00705693">
            <w:pPr>
              <w:rPr>
                <w:sz w:val="19"/>
                <w:szCs w:val="19"/>
              </w:rPr>
            </w:pPr>
            <w:r w:rsidRPr="00F76FD2">
              <w:rPr>
                <w:sz w:val="19"/>
                <w:szCs w:val="19"/>
              </w:rPr>
              <w:lastRenderedPageBreak/>
              <w:t>Category 1. Fish (channel)</w:t>
            </w:r>
          </w:p>
        </w:tc>
        <w:tc>
          <w:tcPr>
            <w:tcW w:w="3237" w:type="dxa"/>
            <w:tcBorders>
              <w:top w:val="single" w:sz="4" w:space="0" w:color="auto"/>
              <w:left w:val="single" w:sz="4" w:space="0" w:color="auto"/>
              <w:bottom w:val="nil"/>
              <w:right w:val="single" w:sz="4" w:space="0" w:color="auto"/>
            </w:tcBorders>
          </w:tcPr>
          <w:p w14:paraId="09938A16" w14:textId="468221C6" w:rsidR="00705693" w:rsidRPr="00F76FD2" w:rsidRDefault="00705693" w:rsidP="00705693">
            <w:pPr>
              <w:rPr>
                <w:sz w:val="19"/>
                <w:szCs w:val="19"/>
              </w:rPr>
            </w:pPr>
            <w:r w:rsidRPr="00F76FD2">
              <w:rPr>
                <w:sz w:val="19"/>
                <w:szCs w:val="19"/>
              </w:rPr>
              <w:t>Did the length-frequency distribution for Murray cod in the Gorge zone reflect recent recruits, sub-adults and adults?</w:t>
            </w:r>
          </w:p>
        </w:tc>
        <w:tc>
          <w:tcPr>
            <w:tcW w:w="9243" w:type="dxa"/>
            <w:tcBorders>
              <w:top w:val="single" w:sz="4" w:space="0" w:color="auto"/>
              <w:left w:val="single" w:sz="4" w:space="0" w:color="auto"/>
              <w:bottom w:val="nil"/>
              <w:right w:val="single" w:sz="4" w:space="0" w:color="auto"/>
            </w:tcBorders>
          </w:tcPr>
          <w:p w14:paraId="7C25219D" w14:textId="1EA80472" w:rsidR="00705693" w:rsidRPr="00F76FD2" w:rsidRDefault="00705693" w:rsidP="00705693">
            <w:pPr>
              <w:rPr>
                <w:sz w:val="19"/>
                <w:szCs w:val="19"/>
              </w:rPr>
            </w:pPr>
            <w:r w:rsidRPr="00F76FD2">
              <w:rPr>
                <w:sz w:val="19"/>
                <w:szCs w:val="19"/>
              </w:rPr>
              <w:t>Yes. During autumn 2016, recent recruits (i.e. &lt;300 mm TL, 88%) sub-adults (i.e. 300–600 mm TL, 6%) and adults (&gt;600 mm TL, 6%) were sampled in the Gorge zone of the LMR Selected Area.</w:t>
            </w:r>
          </w:p>
        </w:tc>
      </w:tr>
      <w:tr w:rsidR="00705693" w:rsidRPr="00F76FD2" w14:paraId="66122322" w14:textId="77777777" w:rsidTr="00456061">
        <w:trPr>
          <w:cantSplit/>
        </w:trPr>
        <w:tc>
          <w:tcPr>
            <w:tcW w:w="1549" w:type="dxa"/>
            <w:tcBorders>
              <w:top w:val="nil"/>
              <w:left w:val="single" w:sz="4" w:space="0" w:color="auto"/>
              <w:bottom w:val="nil"/>
              <w:right w:val="single" w:sz="4" w:space="0" w:color="auto"/>
            </w:tcBorders>
          </w:tcPr>
          <w:p w14:paraId="366A3B46" w14:textId="77777777" w:rsidR="00705693" w:rsidRPr="00F76FD2" w:rsidRDefault="00705693" w:rsidP="00705693">
            <w:pPr>
              <w:rPr>
                <w:sz w:val="19"/>
                <w:szCs w:val="19"/>
              </w:rPr>
            </w:pPr>
          </w:p>
        </w:tc>
        <w:tc>
          <w:tcPr>
            <w:tcW w:w="3237" w:type="dxa"/>
            <w:tcBorders>
              <w:top w:val="nil"/>
              <w:left w:val="single" w:sz="4" w:space="0" w:color="auto"/>
              <w:bottom w:val="nil"/>
              <w:right w:val="single" w:sz="4" w:space="0" w:color="auto"/>
            </w:tcBorders>
          </w:tcPr>
          <w:p w14:paraId="2470B257" w14:textId="538B33C5" w:rsidR="00705693" w:rsidRPr="00F76FD2" w:rsidRDefault="00705693" w:rsidP="00705693">
            <w:pPr>
              <w:rPr>
                <w:sz w:val="19"/>
                <w:szCs w:val="19"/>
              </w:rPr>
            </w:pPr>
            <w:r w:rsidRPr="00F76FD2">
              <w:rPr>
                <w:sz w:val="19"/>
                <w:szCs w:val="19"/>
              </w:rPr>
              <w:t>Did a YOY cohort represent &gt;50% of the Murray cod population from the Gorge zone?</w:t>
            </w:r>
          </w:p>
        </w:tc>
        <w:tc>
          <w:tcPr>
            <w:tcW w:w="9243" w:type="dxa"/>
            <w:tcBorders>
              <w:top w:val="nil"/>
              <w:left w:val="single" w:sz="4" w:space="0" w:color="auto"/>
              <w:bottom w:val="nil"/>
              <w:right w:val="single" w:sz="4" w:space="0" w:color="auto"/>
            </w:tcBorders>
          </w:tcPr>
          <w:p w14:paraId="12767924" w14:textId="2DCAF951" w:rsidR="00705693" w:rsidRPr="00F76FD2" w:rsidRDefault="00305A68" w:rsidP="00705693">
            <w:pPr>
              <w:rPr>
                <w:sz w:val="19"/>
                <w:szCs w:val="19"/>
              </w:rPr>
            </w:pPr>
            <w:r w:rsidRPr="00F76FD2">
              <w:rPr>
                <w:sz w:val="19"/>
                <w:szCs w:val="19"/>
              </w:rPr>
              <w:t xml:space="preserve">Yes. During autumn 2016, </w:t>
            </w:r>
            <w:r>
              <w:rPr>
                <w:sz w:val="19"/>
                <w:szCs w:val="19"/>
              </w:rPr>
              <w:t xml:space="preserve">a </w:t>
            </w:r>
            <w:r w:rsidRPr="00F76FD2">
              <w:rPr>
                <w:sz w:val="19"/>
                <w:szCs w:val="19"/>
              </w:rPr>
              <w:t xml:space="preserve">YOY cohort (i.e. &lt;150 mm TL) </w:t>
            </w:r>
            <w:r>
              <w:rPr>
                <w:sz w:val="19"/>
                <w:szCs w:val="19"/>
              </w:rPr>
              <w:t>of</w:t>
            </w:r>
            <w:r w:rsidRPr="00F76FD2">
              <w:rPr>
                <w:sz w:val="19"/>
                <w:szCs w:val="19"/>
              </w:rPr>
              <w:t xml:space="preserve"> Murray cod represented 62.5% of the population in the Gorge zone of the LMR Selected Area.</w:t>
            </w:r>
          </w:p>
        </w:tc>
      </w:tr>
      <w:tr w:rsidR="00705693" w:rsidRPr="00F76FD2" w14:paraId="3085EFAC" w14:textId="77777777" w:rsidTr="0096486F">
        <w:trPr>
          <w:cantSplit/>
        </w:trPr>
        <w:tc>
          <w:tcPr>
            <w:tcW w:w="1549" w:type="dxa"/>
            <w:tcBorders>
              <w:top w:val="nil"/>
              <w:left w:val="single" w:sz="4" w:space="0" w:color="auto"/>
              <w:bottom w:val="nil"/>
              <w:right w:val="single" w:sz="4" w:space="0" w:color="auto"/>
            </w:tcBorders>
          </w:tcPr>
          <w:p w14:paraId="7637CBE5" w14:textId="77777777" w:rsidR="00705693" w:rsidRPr="00F76FD2" w:rsidRDefault="00705693" w:rsidP="00705693">
            <w:pPr>
              <w:rPr>
                <w:sz w:val="19"/>
                <w:szCs w:val="19"/>
              </w:rPr>
            </w:pPr>
          </w:p>
        </w:tc>
        <w:tc>
          <w:tcPr>
            <w:tcW w:w="3237" w:type="dxa"/>
            <w:tcBorders>
              <w:top w:val="nil"/>
              <w:left w:val="single" w:sz="4" w:space="0" w:color="auto"/>
              <w:bottom w:val="nil"/>
              <w:right w:val="single" w:sz="4" w:space="0" w:color="auto"/>
            </w:tcBorders>
          </w:tcPr>
          <w:p w14:paraId="55960E98" w14:textId="77A59DC8" w:rsidR="00705693" w:rsidRPr="00F76FD2" w:rsidRDefault="00705693" w:rsidP="00705693">
            <w:pPr>
              <w:rPr>
                <w:sz w:val="19"/>
                <w:szCs w:val="19"/>
              </w:rPr>
            </w:pPr>
            <w:r w:rsidRPr="00F76FD2">
              <w:rPr>
                <w:sz w:val="19"/>
                <w:szCs w:val="19"/>
              </w:rPr>
              <w:t>Did the length-frequency distribution for bony herring, Murray rainbowfish and carp gudgeon, include size classes representing YOY in the Gorge zone?</w:t>
            </w:r>
          </w:p>
        </w:tc>
        <w:tc>
          <w:tcPr>
            <w:tcW w:w="9243" w:type="dxa"/>
            <w:tcBorders>
              <w:top w:val="nil"/>
              <w:left w:val="single" w:sz="4" w:space="0" w:color="auto"/>
              <w:bottom w:val="nil"/>
              <w:right w:val="single" w:sz="4" w:space="0" w:color="auto"/>
            </w:tcBorders>
          </w:tcPr>
          <w:p w14:paraId="78BAC78A" w14:textId="7BF6ECD2" w:rsidR="00705693" w:rsidRPr="00F76FD2" w:rsidRDefault="00705693" w:rsidP="00705693">
            <w:pPr>
              <w:rPr>
                <w:sz w:val="19"/>
                <w:szCs w:val="19"/>
              </w:rPr>
            </w:pPr>
            <w:r w:rsidRPr="00F76FD2">
              <w:rPr>
                <w:sz w:val="19"/>
                <w:szCs w:val="19"/>
              </w:rPr>
              <w:t>Yes. During autumn 2016, length-frequency distributions indicated YOY were present for bony herring, Murray rainbowfish and carp gudgeon.</w:t>
            </w:r>
          </w:p>
        </w:tc>
      </w:tr>
      <w:tr w:rsidR="00705693" w:rsidRPr="00F76FD2" w14:paraId="446ED8E4" w14:textId="77777777" w:rsidTr="0096486F">
        <w:trPr>
          <w:cantSplit/>
        </w:trPr>
        <w:tc>
          <w:tcPr>
            <w:tcW w:w="1549" w:type="dxa"/>
            <w:tcBorders>
              <w:top w:val="nil"/>
              <w:left w:val="single" w:sz="4" w:space="0" w:color="auto"/>
              <w:bottom w:val="single" w:sz="4" w:space="0" w:color="auto"/>
              <w:right w:val="single" w:sz="4" w:space="0" w:color="auto"/>
            </w:tcBorders>
          </w:tcPr>
          <w:p w14:paraId="3A5291CA" w14:textId="77777777" w:rsidR="00705693" w:rsidRPr="00F76FD2" w:rsidRDefault="00705693" w:rsidP="00705693">
            <w:pPr>
              <w:rPr>
                <w:sz w:val="19"/>
                <w:szCs w:val="19"/>
              </w:rPr>
            </w:pPr>
          </w:p>
        </w:tc>
        <w:tc>
          <w:tcPr>
            <w:tcW w:w="3237" w:type="dxa"/>
            <w:tcBorders>
              <w:top w:val="nil"/>
              <w:left w:val="single" w:sz="4" w:space="0" w:color="auto"/>
              <w:bottom w:val="single" w:sz="4" w:space="0" w:color="auto"/>
              <w:right w:val="single" w:sz="4" w:space="0" w:color="auto"/>
            </w:tcBorders>
            <w:shd w:val="clear" w:color="auto" w:fill="auto"/>
          </w:tcPr>
          <w:p w14:paraId="0CAFC94E" w14:textId="45419D92" w:rsidR="00705693" w:rsidRPr="00F76FD2" w:rsidRDefault="00705693" w:rsidP="00705693">
            <w:pPr>
              <w:rPr>
                <w:sz w:val="19"/>
                <w:szCs w:val="19"/>
              </w:rPr>
            </w:pPr>
            <w:r w:rsidRPr="00F76FD2">
              <w:rPr>
                <w:sz w:val="19"/>
                <w:szCs w:val="19"/>
              </w:rPr>
              <w:t>Did the relative abundance of common carp in the Gorge zone increase during the current year, relative to the previous year, whilst the relative abundances of flow-dependent native species decreased?</w:t>
            </w:r>
            <w:r w:rsidR="00A14153">
              <w:rPr>
                <w:sz w:val="19"/>
                <w:szCs w:val="19"/>
              </w:rPr>
              <w:t>*</w:t>
            </w:r>
          </w:p>
        </w:tc>
        <w:tc>
          <w:tcPr>
            <w:tcW w:w="9243" w:type="dxa"/>
            <w:tcBorders>
              <w:top w:val="nil"/>
              <w:left w:val="single" w:sz="4" w:space="0" w:color="auto"/>
              <w:bottom w:val="single" w:sz="4" w:space="0" w:color="auto"/>
              <w:right w:val="single" w:sz="4" w:space="0" w:color="auto"/>
            </w:tcBorders>
            <w:shd w:val="clear" w:color="auto" w:fill="auto"/>
          </w:tcPr>
          <w:p w14:paraId="4ECA5D6C" w14:textId="3967E05D" w:rsidR="00705693" w:rsidRPr="00F76FD2" w:rsidRDefault="00705693" w:rsidP="00705693">
            <w:pPr>
              <w:rPr>
                <w:sz w:val="19"/>
                <w:szCs w:val="19"/>
              </w:rPr>
            </w:pPr>
            <w:r>
              <w:rPr>
                <w:sz w:val="19"/>
                <w:szCs w:val="19"/>
              </w:rPr>
              <w:t>There was an increase in the ratio (</w:t>
            </w:r>
            <w:r w:rsidR="00305A68">
              <w:rPr>
                <w:sz w:val="19"/>
                <w:szCs w:val="19"/>
              </w:rPr>
              <w:t xml:space="preserve">total </w:t>
            </w:r>
            <w:r>
              <w:rPr>
                <w:sz w:val="19"/>
                <w:szCs w:val="19"/>
              </w:rPr>
              <w:t>abundance) of common carp to flow-dependant, native species (golden perch and silver perch) at all ten sites in 2015/16, relative to the previous year. During 2014/15 the mean site ratio was 0.58 carp (± 0.36 S.E.) to every 1 flow-dependant, native species. In 2015/16, this ratio increased to 1.65 carp (± 0.09) to every 1 flow-dependant, native species.</w:t>
            </w:r>
          </w:p>
        </w:tc>
      </w:tr>
      <w:tr w:rsidR="00705693" w:rsidRPr="00F76FD2" w14:paraId="497A91E6" w14:textId="77777777" w:rsidTr="0096486F">
        <w:trPr>
          <w:cantSplit/>
        </w:trPr>
        <w:tc>
          <w:tcPr>
            <w:tcW w:w="1549" w:type="dxa"/>
            <w:tcBorders>
              <w:top w:val="single" w:sz="4" w:space="0" w:color="auto"/>
              <w:left w:val="single" w:sz="4" w:space="0" w:color="auto"/>
              <w:bottom w:val="single" w:sz="4" w:space="0" w:color="auto"/>
              <w:right w:val="single" w:sz="4" w:space="0" w:color="auto"/>
            </w:tcBorders>
          </w:tcPr>
          <w:p w14:paraId="046003CB" w14:textId="6CF16575" w:rsidR="00705693" w:rsidRPr="00F76FD2" w:rsidRDefault="0096486F" w:rsidP="00705693">
            <w:pPr>
              <w:rPr>
                <w:sz w:val="19"/>
                <w:szCs w:val="19"/>
              </w:rPr>
            </w:pPr>
            <w:r w:rsidRPr="00F76FD2">
              <w:rPr>
                <w:sz w:val="19"/>
                <w:szCs w:val="19"/>
              </w:rPr>
              <w:lastRenderedPageBreak/>
              <w:t>Category 1. Fish (channel)</w:t>
            </w:r>
          </w:p>
        </w:tc>
        <w:tc>
          <w:tcPr>
            <w:tcW w:w="3237" w:type="dxa"/>
            <w:tcBorders>
              <w:top w:val="single" w:sz="4" w:space="0" w:color="auto"/>
              <w:left w:val="single" w:sz="4" w:space="0" w:color="auto"/>
              <w:bottom w:val="single" w:sz="4" w:space="0" w:color="auto"/>
              <w:right w:val="single" w:sz="4" w:space="0" w:color="auto"/>
            </w:tcBorders>
            <w:shd w:val="clear" w:color="auto" w:fill="auto"/>
          </w:tcPr>
          <w:p w14:paraId="727E2D3A" w14:textId="0146B2CC" w:rsidR="00705693" w:rsidRPr="00F76FD2" w:rsidRDefault="00705693" w:rsidP="00705693">
            <w:pPr>
              <w:rPr>
                <w:sz w:val="19"/>
                <w:szCs w:val="19"/>
              </w:rPr>
            </w:pPr>
            <w:r w:rsidRPr="00F76FD2">
              <w:rPr>
                <w:sz w:val="19"/>
                <w:szCs w:val="19"/>
              </w:rPr>
              <w:t>Did the estimated biomass of common carp in the Gorge zone increase during the current year, relative to the previous year, whilst the estimated biomass of flow-dependent native species decreased?</w:t>
            </w:r>
            <w:r w:rsidR="00A14153">
              <w:rPr>
                <w:sz w:val="19"/>
                <w:szCs w:val="19"/>
              </w:rPr>
              <w:t>*</w:t>
            </w:r>
          </w:p>
        </w:tc>
        <w:tc>
          <w:tcPr>
            <w:tcW w:w="9243" w:type="dxa"/>
            <w:tcBorders>
              <w:top w:val="single" w:sz="4" w:space="0" w:color="auto"/>
              <w:left w:val="single" w:sz="4" w:space="0" w:color="auto"/>
              <w:bottom w:val="single" w:sz="4" w:space="0" w:color="auto"/>
              <w:right w:val="single" w:sz="4" w:space="0" w:color="auto"/>
            </w:tcBorders>
            <w:shd w:val="clear" w:color="auto" w:fill="auto"/>
          </w:tcPr>
          <w:p w14:paraId="6D9A09E5" w14:textId="17C772F7" w:rsidR="00705693" w:rsidRPr="00F76FD2" w:rsidRDefault="00705693" w:rsidP="00705693">
            <w:pPr>
              <w:rPr>
                <w:sz w:val="19"/>
                <w:szCs w:val="19"/>
              </w:rPr>
            </w:pPr>
            <w:r>
              <w:rPr>
                <w:sz w:val="19"/>
                <w:szCs w:val="19"/>
              </w:rPr>
              <w:t>There was an increase in the ratio (</w:t>
            </w:r>
            <w:r w:rsidR="00305A68">
              <w:rPr>
                <w:sz w:val="19"/>
                <w:szCs w:val="19"/>
              </w:rPr>
              <w:t xml:space="preserve">total </w:t>
            </w:r>
            <w:r>
              <w:rPr>
                <w:sz w:val="19"/>
                <w:szCs w:val="19"/>
              </w:rPr>
              <w:t xml:space="preserve">biomass) of common carp to flow-dependant, native species (golden perch and silver perch) at six of the ten sites in 2015/16, relative to the previous year. In 2015/16, the sites where the estimated biomass of carp did not increase at a greater rate than flow-dependant, native species were Qualco, Waikerie, Lowbank B </w:t>
            </w:r>
            <w:r w:rsidRPr="00105D8A">
              <w:rPr>
                <w:sz w:val="19"/>
                <w:szCs w:val="19"/>
              </w:rPr>
              <w:t>and Overland Corner A (</w:t>
            </w:r>
            <w:r w:rsidRPr="00105D8A">
              <w:rPr>
                <w:sz w:val="19"/>
                <w:szCs w:val="19"/>
              </w:rPr>
              <w:fldChar w:fldCharType="begin"/>
            </w:r>
            <w:r w:rsidRPr="00105D8A">
              <w:rPr>
                <w:sz w:val="19"/>
                <w:szCs w:val="19"/>
              </w:rPr>
              <w:instrText xml:space="preserve"> REF _Ref382232091 \h </w:instrText>
            </w:r>
            <w:r>
              <w:rPr>
                <w:sz w:val="19"/>
                <w:szCs w:val="19"/>
              </w:rPr>
              <w:instrText xml:space="preserve"> \* MERGEFORMAT </w:instrText>
            </w:r>
            <w:r w:rsidRPr="00105D8A">
              <w:rPr>
                <w:sz w:val="19"/>
                <w:szCs w:val="19"/>
              </w:rPr>
            </w:r>
            <w:r w:rsidRPr="00105D8A">
              <w:rPr>
                <w:sz w:val="19"/>
                <w:szCs w:val="19"/>
              </w:rPr>
              <w:fldChar w:fldCharType="separate"/>
            </w:r>
            <w:r w:rsidR="004260C4" w:rsidRPr="004260C4">
              <w:rPr>
                <w:sz w:val="19"/>
                <w:szCs w:val="19"/>
              </w:rPr>
              <w:t xml:space="preserve">Figure </w:t>
            </w:r>
            <w:r w:rsidR="004260C4" w:rsidRPr="004260C4">
              <w:rPr>
                <w:noProof/>
                <w:sz w:val="19"/>
                <w:szCs w:val="19"/>
              </w:rPr>
              <w:t>7</w:t>
            </w:r>
            <w:r w:rsidRPr="00105D8A">
              <w:rPr>
                <w:sz w:val="19"/>
                <w:szCs w:val="19"/>
              </w:rPr>
              <w:fldChar w:fldCharType="end"/>
            </w:r>
            <w:r w:rsidRPr="00105D8A">
              <w:rPr>
                <w:sz w:val="19"/>
                <w:szCs w:val="19"/>
              </w:rPr>
              <w:t>; Table H3 in Appendix H). During 2014/15</w:t>
            </w:r>
            <w:r w:rsidR="00305A68">
              <w:rPr>
                <w:sz w:val="19"/>
                <w:szCs w:val="19"/>
              </w:rPr>
              <w:t>,</w:t>
            </w:r>
            <w:r w:rsidRPr="00105D8A">
              <w:rPr>
                <w:sz w:val="19"/>
                <w:szCs w:val="19"/>
              </w:rPr>
              <w:t xml:space="preserve"> the mean site ratio was 1</w:t>
            </w:r>
            <w:r>
              <w:rPr>
                <w:sz w:val="19"/>
                <w:szCs w:val="19"/>
              </w:rPr>
              <w:t>.32 kg of carp (± 0.32 S.E.) to every 1 kg of flow-dependant, native species. In 2015/16, this ratio increased to 2.01 kg of carp (± 0.39) to every 1 kg of flow-dependant, native species.</w:t>
            </w:r>
          </w:p>
        </w:tc>
      </w:tr>
      <w:tr w:rsidR="00705693" w:rsidRPr="00F76FD2" w14:paraId="01382525" w14:textId="77777777" w:rsidTr="0096486F">
        <w:trPr>
          <w:cantSplit/>
        </w:trPr>
        <w:tc>
          <w:tcPr>
            <w:tcW w:w="1549" w:type="dxa"/>
            <w:tcBorders>
              <w:top w:val="single" w:sz="4" w:space="0" w:color="auto"/>
              <w:left w:val="single" w:sz="4" w:space="0" w:color="auto"/>
              <w:bottom w:val="single" w:sz="4" w:space="0" w:color="auto"/>
              <w:right w:val="single" w:sz="4" w:space="0" w:color="auto"/>
            </w:tcBorders>
          </w:tcPr>
          <w:p w14:paraId="1C6E1173" w14:textId="2A3992BC" w:rsidR="00705693" w:rsidRPr="00F76FD2" w:rsidRDefault="00705693" w:rsidP="00705693">
            <w:pPr>
              <w:rPr>
                <w:sz w:val="19"/>
                <w:szCs w:val="19"/>
              </w:rPr>
            </w:pPr>
            <w:r w:rsidRPr="00F76FD2">
              <w:rPr>
                <w:sz w:val="19"/>
                <w:szCs w:val="19"/>
              </w:rPr>
              <w:t>Category 1. Hydrology (channel)</w:t>
            </w:r>
          </w:p>
        </w:tc>
        <w:tc>
          <w:tcPr>
            <w:tcW w:w="3237" w:type="dxa"/>
            <w:tcBorders>
              <w:top w:val="single" w:sz="4" w:space="0" w:color="auto"/>
              <w:left w:val="single" w:sz="4" w:space="0" w:color="auto"/>
              <w:bottom w:val="single" w:sz="4" w:space="0" w:color="auto"/>
              <w:right w:val="single" w:sz="4" w:space="0" w:color="auto"/>
            </w:tcBorders>
          </w:tcPr>
          <w:p w14:paraId="45A017FB" w14:textId="5430C1E5" w:rsidR="00705693" w:rsidRPr="00F76FD2" w:rsidRDefault="00705693" w:rsidP="00705693">
            <w:pPr>
              <w:rPr>
                <w:sz w:val="19"/>
                <w:szCs w:val="19"/>
              </w:rPr>
            </w:pPr>
            <w:r w:rsidRPr="00F76FD2">
              <w:rPr>
                <w:sz w:val="19"/>
                <w:szCs w:val="19"/>
              </w:rPr>
              <w:t>What did CEW contribute to providing a seasonal hydrograph that encompassed variation in discharge, velocity and water levels?</w:t>
            </w:r>
          </w:p>
        </w:tc>
        <w:tc>
          <w:tcPr>
            <w:tcW w:w="9243" w:type="dxa"/>
            <w:tcBorders>
              <w:top w:val="single" w:sz="4" w:space="0" w:color="auto"/>
              <w:left w:val="single" w:sz="4" w:space="0" w:color="auto"/>
              <w:bottom w:val="single" w:sz="4" w:space="0" w:color="auto"/>
              <w:right w:val="single" w:sz="4" w:space="0" w:color="auto"/>
            </w:tcBorders>
            <w:shd w:val="clear" w:color="auto" w:fill="auto"/>
          </w:tcPr>
          <w:p w14:paraId="29C4E2A9" w14:textId="5DE0ACED" w:rsidR="00705693" w:rsidRPr="00F76FD2" w:rsidRDefault="00705693" w:rsidP="00705693">
            <w:pPr>
              <w:rPr>
                <w:sz w:val="19"/>
                <w:szCs w:val="19"/>
              </w:rPr>
            </w:pPr>
            <w:r w:rsidRPr="00030D70">
              <w:rPr>
                <w:sz w:val="19"/>
                <w:szCs w:val="19"/>
              </w:rPr>
              <w:t>Without CEW, 2015/16 would have been at entitlement flow. As such, CEW contributed to most of the variation in discharge (and hence water level and velocity) over the year. Weir pool raising at Locks 2 and 5 also increased variation in water levels in these reaches.</w:t>
            </w:r>
          </w:p>
        </w:tc>
      </w:tr>
      <w:tr w:rsidR="00705693" w:rsidRPr="00F76FD2" w14:paraId="3B0C88FC" w14:textId="77777777" w:rsidTr="0096486F">
        <w:trPr>
          <w:cantSplit/>
        </w:trPr>
        <w:tc>
          <w:tcPr>
            <w:tcW w:w="1549" w:type="dxa"/>
            <w:tcBorders>
              <w:top w:val="single" w:sz="4" w:space="0" w:color="auto"/>
              <w:left w:val="single" w:sz="4" w:space="0" w:color="auto"/>
              <w:bottom w:val="single" w:sz="4" w:space="0" w:color="auto"/>
              <w:right w:val="single" w:sz="4" w:space="0" w:color="auto"/>
            </w:tcBorders>
          </w:tcPr>
          <w:p w14:paraId="76E2826F" w14:textId="2B3E68EC" w:rsidR="00705693" w:rsidRPr="00F76FD2" w:rsidRDefault="00705693" w:rsidP="00705693">
            <w:pPr>
              <w:rPr>
                <w:sz w:val="19"/>
                <w:szCs w:val="19"/>
              </w:rPr>
            </w:pPr>
            <w:r>
              <w:rPr>
                <w:sz w:val="19"/>
                <w:szCs w:val="19"/>
              </w:rPr>
              <w:t>Category 3. Hydrological R</w:t>
            </w:r>
            <w:r w:rsidRPr="00F76FD2">
              <w:rPr>
                <w:sz w:val="19"/>
                <w:szCs w:val="19"/>
              </w:rPr>
              <w:t>egime</w:t>
            </w:r>
          </w:p>
        </w:tc>
        <w:tc>
          <w:tcPr>
            <w:tcW w:w="3237" w:type="dxa"/>
            <w:tcBorders>
              <w:top w:val="single" w:sz="4" w:space="0" w:color="auto"/>
              <w:left w:val="single" w:sz="4" w:space="0" w:color="auto"/>
              <w:bottom w:val="single" w:sz="4" w:space="0" w:color="auto"/>
              <w:right w:val="single" w:sz="4" w:space="0" w:color="auto"/>
            </w:tcBorders>
          </w:tcPr>
          <w:p w14:paraId="6761BFCA" w14:textId="26E66460" w:rsidR="00705693" w:rsidRPr="00F76FD2" w:rsidRDefault="00705693" w:rsidP="00705693">
            <w:pPr>
              <w:rPr>
                <w:sz w:val="19"/>
                <w:szCs w:val="19"/>
              </w:rPr>
            </w:pPr>
            <w:r w:rsidRPr="00F76FD2">
              <w:rPr>
                <w:sz w:val="19"/>
                <w:szCs w:val="19"/>
              </w:rPr>
              <w:t>What did CEW contribute to providing diverse hydraulic conditions and complex habitat for flow dependant biota and processes?</w:t>
            </w:r>
          </w:p>
        </w:tc>
        <w:tc>
          <w:tcPr>
            <w:tcW w:w="9243" w:type="dxa"/>
            <w:tcBorders>
              <w:top w:val="single" w:sz="4" w:space="0" w:color="auto"/>
              <w:left w:val="single" w:sz="4" w:space="0" w:color="auto"/>
              <w:bottom w:val="single" w:sz="4" w:space="0" w:color="auto"/>
              <w:right w:val="single" w:sz="4" w:space="0" w:color="auto"/>
            </w:tcBorders>
            <w:shd w:val="clear" w:color="auto" w:fill="auto"/>
          </w:tcPr>
          <w:p w14:paraId="2C079C86" w14:textId="2136EF1A" w:rsidR="00705693" w:rsidRPr="00F76FD2" w:rsidRDefault="00705693" w:rsidP="00483B6B">
            <w:pPr>
              <w:rPr>
                <w:rFonts w:cs="Arial"/>
                <w:color w:val="auto"/>
                <w:sz w:val="19"/>
                <w:szCs w:val="19"/>
              </w:rPr>
            </w:pPr>
            <w:r w:rsidRPr="00030D70">
              <w:rPr>
                <w:rFonts w:cs="Arial"/>
                <w:color w:val="auto"/>
                <w:sz w:val="19"/>
                <w:szCs w:val="19"/>
              </w:rPr>
              <w:t xml:space="preserve">With the exception of Weir Pool </w:t>
            </w:r>
            <w:r w:rsidR="00E258DB">
              <w:rPr>
                <w:rFonts w:cs="Arial"/>
                <w:color w:val="auto"/>
                <w:sz w:val="19"/>
                <w:szCs w:val="19"/>
              </w:rPr>
              <w:t>3</w:t>
            </w:r>
            <w:r w:rsidRPr="00030D70">
              <w:rPr>
                <w:rFonts w:cs="Arial"/>
                <w:color w:val="auto"/>
                <w:sz w:val="19"/>
                <w:szCs w:val="19"/>
              </w:rPr>
              <w:t xml:space="preserve">, </w:t>
            </w:r>
            <w:r w:rsidR="00E258DB">
              <w:rPr>
                <w:rFonts w:cs="Arial"/>
                <w:color w:val="auto"/>
                <w:sz w:val="19"/>
                <w:szCs w:val="19"/>
              </w:rPr>
              <w:t xml:space="preserve">without environmental water the </w:t>
            </w:r>
            <w:r w:rsidRPr="00030D70">
              <w:rPr>
                <w:rFonts w:cs="Arial"/>
                <w:color w:val="auto"/>
                <w:sz w:val="19"/>
                <w:szCs w:val="19"/>
              </w:rPr>
              <w:t xml:space="preserve">median velocities in </w:t>
            </w:r>
            <w:r w:rsidR="00E258DB">
              <w:rPr>
                <w:rFonts w:cs="Arial"/>
                <w:color w:val="auto"/>
                <w:sz w:val="19"/>
                <w:szCs w:val="19"/>
              </w:rPr>
              <w:t>each</w:t>
            </w:r>
            <w:r w:rsidRPr="00030D70">
              <w:rPr>
                <w:rFonts w:cs="Arial"/>
                <w:color w:val="auto"/>
                <w:sz w:val="19"/>
                <w:szCs w:val="19"/>
              </w:rPr>
              <w:t xml:space="preserve"> weir pool each day </w:t>
            </w:r>
            <w:r w:rsidR="00E258DB">
              <w:rPr>
                <w:rFonts w:cs="Arial"/>
                <w:color w:val="auto"/>
                <w:sz w:val="19"/>
                <w:szCs w:val="19"/>
              </w:rPr>
              <w:t>would</w:t>
            </w:r>
            <w:r w:rsidRPr="00030D70">
              <w:rPr>
                <w:rFonts w:cs="Arial"/>
                <w:color w:val="auto"/>
                <w:sz w:val="19"/>
                <w:szCs w:val="19"/>
              </w:rPr>
              <w:t xml:space="preserve"> not</w:t>
            </w:r>
            <w:r w:rsidR="00E258DB">
              <w:rPr>
                <w:rFonts w:cs="Arial"/>
                <w:color w:val="auto"/>
                <w:sz w:val="19"/>
                <w:szCs w:val="19"/>
              </w:rPr>
              <w:t xml:space="preserve"> have</w:t>
            </w:r>
            <w:r w:rsidRPr="00030D70">
              <w:rPr>
                <w:rFonts w:cs="Arial"/>
                <w:color w:val="auto"/>
                <w:sz w:val="19"/>
                <w:szCs w:val="19"/>
              </w:rPr>
              <w:t xml:space="preserve"> exceed</w:t>
            </w:r>
            <w:r w:rsidR="006A10F4">
              <w:rPr>
                <w:rFonts w:cs="Arial"/>
                <w:color w:val="auto"/>
                <w:sz w:val="19"/>
                <w:szCs w:val="19"/>
              </w:rPr>
              <w:t>ed</w:t>
            </w:r>
            <w:r w:rsidRPr="00030D70">
              <w:rPr>
                <w:rFonts w:cs="Arial"/>
                <w:color w:val="auto"/>
                <w:sz w:val="19"/>
                <w:szCs w:val="19"/>
              </w:rPr>
              <w:t xml:space="preserve"> </w:t>
            </w:r>
            <w:r>
              <w:rPr>
                <w:rFonts w:cs="Arial"/>
                <w:color w:val="auto"/>
                <w:sz w:val="19"/>
                <w:szCs w:val="19"/>
              </w:rPr>
              <w:t>0.1</w:t>
            </w:r>
            <w:r w:rsidR="001777BD">
              <w:rPr>
                <w:rFonts w:cs="Arial"/>
                <w:color w:val="auto"/>
                <w:sz w:val="19"/>
                <w:szCs w:val="19"/>
              </w:rPr>
              <w:t>7</w:t>
            </w:r>
            <w:r>
              <w:rPr>
                <w:rFonts w:cs="Arial"/>
                <w:color w:val="auto"/>
                <w:sz w:val="19"/>
                <w:szCs w:val="19"/>
              </w:rPr>
              <w:t xml:space="preserve"> m </w:t>
            </w:r>
            <w:r w:rsidRPr="00030D70">
              <w:rPr>
                <w:rFonts w:cs="Arial"/>
                <w:color w:val="auto"/>
                <w:sz w:val="19"/>
                <w:szCs w:val="19"/>
              </w:rPr>
              <w:t>s</w:t>
            </w:r>
            <w:r w:rsidRPr="00030D70">
              <w:rPr>
                <w:rFonts w:cs="Arial"/>
                <w:color w:val="auto"/>
                <w:sz w:val="19"/>
                <w:szCs w:val="19"/>
                <w:vertAlign w:val="superscript"/>
              </w:rPr>
              <w:t>-1</w:t>
            </w:r>
            <w:r w:rsidR="00800ED9">
              <w:rPr>
                <w:rFonts w:cs="Arial"/>
                <w:color w:val="auto"/>
                <w:sz w:val="19"/>
                <w:szCs w:val="19"/>
              </w:rPr>
              <w:t xml:space="preserve"> during 2015/16</w:t>
            </w:r>
            <w:r w:rsidRPr="00030D70">
              <w:rPr>
                <w:rFonts w:cs="Arial"/>
                <w:color w:val="auto"/>
                <w:sz w:val="19"/>
                <w:szCs w:val="19"/>
              </w:rPr>
              <w:t xml:space="preserve">. However, CEW did </w:t>
            </w:r>
            <w:r w:rsidR="00E258DB">
              <w:rPr>
                <w:rFonts w:cs="Arial"/>
                <w:color w:val="auto"/>
                <w:sz w:val="19"/>
                <w:szCs w:val="19"/>
              </w:rPr>
              <w:t>increase the median velocities</w:t>
            </w:r>
            <w:r w:rsidRPr="00030D70">
              <w:rPr>
                <w:rFonts w:cs="Arial"/>
                <w:color w:val="auto"/>
                <w:sz w:val="19"/>
                <w:szCs w:val="19"/>
              </w:rPr>
              <w:t xml:space="preserve"> in each weir</w:t>
            </w:r>
            <w:r>
              <w:rPr>
                <w:rFonts w:cs="Arial"/>
                <w:color w:val="auto"/>
                <w:sz w:val="19"/>
                <w:szCs w:val="19"/>
              </w:rPr>
              <w:t xml:space="preserve"> </w:t>
            </w:r>
            <w:r w:rsidRPr="00030D70">
              <w:rPr>
                <w:rFonts w:cs="Arial"/>
                <w:color w:val="auto"/>
                <w:sz w:val="19"/>
                <w:szCs w:val="19"/>
              </w:rPr>
              <w:t xml:space="preserve">pool </w:t>
            </w:r>
            <w:r w:rsidR="00E258DB">
              <w:rPr>
                <w:rFonts w:cs="Arial"/>
                <w:color w:val="auto"/>
                <w:sz w:val="19"/>
                <w:szCs w:val="19"/>
              </w:rPr>
              <w:t>in</w:t>
            </w:r>
            <w:r w:rsidRPr="00030D70">
              <w:rPr>
                <w:rFonts w:cs="Arial"/>
                <w:color w:val="auto"/>
                <w:sz w:val="19"/>
                <w:szCs w:val="19"/>
              </w:rPr>
              <w:t xml:space="preserve"> the LMR </w:t>
            </w:r>
            <w:r w:rsidR="00E258DB">
              <w:rPr>
                <w:rFonts w:cs="Arial"/>
                <w:color w:val="auto"/>
                <w:sz w:val="19"/>
                <w:szCs w:val="19"/>
              </w:rPr>
              <w:t xml:space="preserve">to exceed this threshold </w:t>
            </w:r>
            <w:r w:rsidRPr="00030D70">
              <w:rPr>
                <w:rFonts w:cs="Arial"/>
                <w:color w:val="auto"/>
                <w:sz w:val="19"/>
                <w:szCs w:val="19"/>
              </w:rPr>
              <w:t>from July to November</w:t>
            </w:r>
            <w:r w:rsidR="00E258DB">
              <w:rPr>
                <w:rFonts w:cs="Arial"/>
                <w:color w:val="auto"/>
                <w:sz w:val="19"/>
                <w:szCs w:val="19"/>
              </w:rPr>
              <w:t>,</w:t>
            </w:r>
            <w:r w:rsidRPr="00030D70">
              <w:rPr>
                <w:rFonts w:cs="Arial"/>
                <w:color w:val="auto"/>
                <w:sz w:val="19"/>
                <w:szCs w:val="19"/>
              </w:rPr>
              <w:t xml:space="preserve"> and again in February.</w:t>
            </w:r>
          </w:p>
        </w:tc>
      </w:tr>
      <w:tr w:rsidR="00705693" w:rsidRPr="00F76FD2" w14:paraId="63E7FBCE" w14:textId="77777777" w:rsidTr="0096486F">
        <w:trPr>
          <w:cantSplit/>
        </w:trPr>
        <w:tc>
          <w:tcPr>
            <w:tcW w:w="1549" w:type="dxa"/>
            <w:tcBorders>
              <w:top w:val="single" w:sz="4" w:space="0" w:color="auto"/>
              <w:left w:val="single" w:sz="4" w:space="0" w:color="auto"/>
              <w:bottom w:val="single" w:sz="4" w:space="0" w:color="auto"/>
              <w:right w:val="single" w:sz="4" w:space="0" w:color="auto"/>
            </w:tcBorders>
          </w:tcPr>
          <w:p w14:paraId="6AF01040" w14:textId="2B06CE44" w:rsidR="00705693" w:rsidRPr="00F76FD2" w:rsidRDefault="0096486F" w:rsidP="00705693">
            <w:pPr>
              <w:rPr>
                <w:sz w:val="19"/>
                <w:szCs w:val="19"/>
              </w:rPr>
            </w:pPr>
            <w:r>
              <w:rPr>
                <w:sz w:val="19"/>
                <w:szCs w:val="19"/>
              </w:rPr>
              <w:lastRenderedPageBreak/>
              <w:t>Category 3. Hydrological R</w:t>
            </w:r>
            <w:r w:rsidRPr="00F76FD2">
              <w:rPr>
                <w:sz w:val="19"/>
                <w:szCs w:val="19"/>
              </w:rPr>
              <w:t>egime</w:t>
            </w:r>
          </w:p>
        </w:tc>
        <w:tc>
          <w:tcPr>
            <w:tcW w:w="3237" w:type="dxa"/>
            <w:tcBorders>
              <w:top w:val="single" w:sz="4" w:space="0" w:color="auto"/>
              <w:left w:val="single" w:sz="4" w:space="0" w:color="auto"/>
              <w:bottom w:val="single" w:sz="4" w:space="0" w:color="auto"/>
              <w:right w:val="single" w:sz="4" w:space="0" w:color="auto"/>
            </w:tcBorders>
          </w:tcPr>
          <w:p w14:paraId="16AC45E3" w14:textId="7D987A7D" w:rsidR="00705693" w:rsidRPr="00F76FD2" w:rsidRDefault="00705693" w:rsidP="00705693">
            <w:pPr>
              <w:rPr>
                <w:sz w:val="19"/>
                <w:szCs w:val="19"/>
              </w:rPr>
            </w:pPr>
            <w:r w:rsidRPr="00F76FD2">
              <w:rPr>
                <w:sz w:val="19"/>
                <w:szCs w:val="19"/>
              </w:rPr>
              <w:t>What did CEW contribute to providing diverse hydraulic conditions over the range of velocity classes in the lower third of weir pools so that habitat and processes for dispersal of organic and inorganic material between reaches are maintained?</w:t>
            </w:r>
          </w:p>
        </w:tc>
        <w:tc>
          <w:tcPr>
            <w:tcW w:w="9243" w:type="dxa"/>
            <w:tcBorders>
              <w:top w:val="single" w:sz="4" w:space="0" w:color="auto"/>
              <w:left w:val="single" w:sz="4" w:space="0" w:color="auto"/>
              <w:bottom w:val="single" w:sz="4" w:space="0" w:color="auto"/>
              <w:right w:val="single" w:sz="4" w:space="0" w:color="auto"/>
            </w:tcBorders>
            <w:shd w:val="clear" w:color="auto" w:fill="auto"/>
          </w:tcPr>
          <w:p w14:paraId="6A01D8D3" w14:textId="75CEAA18" w:rsidR="00705693" w:rsidRPr="00F76FD2" w:rsidRDefault="00705693" w:rsidP="00705693">
            <w:pPr>
              <w:rPr>
                <w:rFonts w:cs="Arial"/>
                <w:color w:val="auto"/>
                <w:sz w:val="19"/>
                <w:szCs w:val="19"/>
              </w:rPr>
            </w:pPr>
            <w:r>
              <w:rPr>
                <w:rFonts w:cs="Arial"/>
                <w:color w:val="auto"/>
                <w:sz w:val="19"/>
                <w:szCs w:val="19"/>
              </w:rPr>
              <w:t xml:space="preserve">Discharge exceeding 10,000 ML </w:t>
            </w:r>
            <w:r w:rsidRPr="00030D70">
              <w:rPr>
                <w:rFonts w:cs="Arial"/>
                <w:color w:val="auto"/>
                <w:sz w:val="19"/>
                <w:szCs w:val="19"/>
              </w:rPr>
              <w:t>day</w:t>
            </w:r>
            <w:r w:rsidRPr="00030D70">
              <w:rPr>
                <w:rFonts w:cs="Arial"/>
                <w:color w:val="auto"/>
                <w:sz w:val="19"/>
                <w:szCs w:val="19"/>
                <w:vertAlign w:val="superscript"/>
              </w:rPr>
              <w:t>-1</w:t>
            </w:r>
            <w:r w:rsidRPr="00030D70">
              <w:rPr>
                <w:rFonts w:cs="Arial"/>
                <w:color w:val="auto"/>
                <w:sz w:val="19"/>
                <w:szCs w:val="19"/>
              </w:rPr>
              <w:t xml:space="preserve"> is expected to result in a well mixed column where negatively buoyant propagules would be maintained in suspension</w:t>
            </w:r>
            <w:r w:rsidR="006A10F4">
              <w:rPr>
                <w:rFonts w:cs="Arial"/>
                <w:color w:val="auto"/>
                <w:sz w:val="19"/>
                <w:szCs w:val="19"/>
              </w:rPr>
              <w:t xml:space="preserve"> (Wallace </w:t>
            </w:r>
            <w:r w:rsidR="006A10F4" w:rsidRPr="006A10F4">
              <w:rPr>
                <w:rFonts w:cs="Arial"/>
                <w:i/>
                <w:color w:val="auto"/>
                <w:sz w:val="19"/>
                <w:szCs w:val="19"/>
              </w:rPr>
              <w:t>et al.</w:t>
            </w:r>
            <w:r w:rsidR="006A10F4">
              <w:rPr>
                <w:rFonts w:cs="Arial"/>
                <w:color w:val="auto"/>
                <w:sz w:val="19"/>
                <w:szCs w:val="19"/>
              </w:rPr>
              <w:t xml:space="preserve"> 2014)</w:t>
            </w:r>
            <w:r w:rsidRPr="00030D70">
              <w:rPr>
                <w:rFonts w:cs="Arial"/>
                <w:color w:val="auto"/>
                <w:sz w:val="19"/>
                <w:szCs w:val="19"/>
              </w:rPr>
              <w:t>. In 2015/16, CEW contributed to create these conditions for short periods in late September and October. Further research is required to determine relationships between velocity classes and a well mixed water column, for dispersal of organic and inorganic material between reaches.</w:t>
            </w:r>
          </w:p>
        </w:tc>
      </w:tr>
      <w:tr w:rsidR="00705693" w:rsidRPr="00F76FD2" w14:paraId="0A11605D" w14:textId="77777777" w:rsidTr="0096486F">
        <w:trPr>
          <w:cantSplit/>
        </w:trPr>
        <w:tc>
          <w:tcPr>
            <w:tcW w:w="1549" w:type="dxa"/>
            <w:tcBorders>
              <w:top w:val="single" w:sz="4" w:space="0" w:color="auto"/>
              <w:left w:val="single" w:sz="4" w:space="0" w:color="auto"/>
              <w:bottom w:val="single" w:sz="4" w:space="0" w:color="auto"/>
              <w:right w:val="single" w:sz="4" w:space="0" w:color="auto"/>
            </w:tcBorders>
          </w:tcPr>
          <w:p w14:paraId="55B3EFEB" w14:textId="42D1F97D" w:rsidR="00705693" w:rsidRPr="00F76FD2" w:rsidRDefault="00705693" w:rsidP="00705693">
            <w:pPr>
              <w:rPr>
                <w:sz w:val="19"/>
                <w:szCs w:val="19"/>
              </w:rPr>
            </w:pPr>
            <w:r>
              <w:rPr>
                <w:sz w:val="19"/>
                <w:szCs w:val="19"/>
              </w:rPr>
              <w:t>Category 3. Matter T</w:t>
            </w:r>
            <w:r w:rsidRPr="00F76FD2">
              <w:rPr>
                <w:sz w:val="19"/>
                <w:szCs w:val="19"/>
              </w:rPr>
              <w:t>ransport</w:t>
            </w:r>
          </w:p>
        </w:tc>
        <w:tc>
          <w:tcPr>
            <w:tcW w:w="3237" w:type="dxa"/>
            <w:tcBorders>
              <w:top w:val="single" w:sz="4" w:space="0" w:color="auto"/>
              <w:left w:val="single" w:sz="4" w:space="0" w:color="auto"/>
              <w:bottom w:val="single" w:sz="4" w:space="0" w:color="auto"/>
              <w:right w:val="single" w:sz="4" w:space="0" w:color="auto"/>
            </w:tcBorders>
          </w:tcPr>
          <w:p w14:paraId="7307DB4A" w14:textId="032B25E0" w:rsidR="00705693" w:rsidRPr="00F76FD2" w:rsidRDefault="00705693" w:rsidP="00705693">
            <w:pPr>
              <w:rPr>
                <w:sz w:val="19"/>
                <w:szCs w:val="19"/>
              </w:rPr>
            </w:pPr>
            <w:r w:rsidRPr="00F76FD2">
              <w:rPr>
                <w:sz w:val="19"/>
                <w:szCs w:val="19"/>
              </w:rPr>
              <w:t>What did CEW contribute to maintaining water quality to support aquatic biota and normal biogeochemical processes?</w:t>
            </w:r>
          </w:p>
        </w:tc>
        <w:tc>
          <w:tcPr>
            <w:tcW w:w="9243" w:type="dxa"/>
            <w:tcBorders>
              <w:top w:val="single" w:sz="4" w:space="0" w:color="auto"/>
              <w:left w:val="single" w:sz="4" w:space="0" w:color="auto"/>
              <w:bottom w:val="single" w:sz="4" w:space="0" w:color="auto"/>
              <w:right w:val="single" w:sz="4" w:space="0" w:color="auto"/>
            </w:tcBorders>
          </w:tcPr>
          <w:p w14:paraId="0F74ACAF" w14:textId="314A34DF" w:rsidR="00705693" w:rsidRPr="00F76FD2" w:rsidRDefault="00AB4693" w:rsidP="00705693">
            <w:pPr>
              <w:rPr>
                <w:rFonts w:cs="Arial"/>
                <w:color w:val="0070C0"/>
                <w:sz w:val="19"/>
                <w:szCs w:val="19"/>
              </w:rPr>
            </w:pPr>
            <w:r w:rsidRPr="00F76FD2">
              <w:rPr>
                <w:sz w:val="19"/>
                <w:szCs w:val="19"/>
              </w:rPr>
              <w:t>The modelling suggests that environmental water impacted positively on the concentrations of dissolved and particulate matter. This was observed through a minor reduction in salinities in the Murray River Channel and Lower Lakes</w:t>
            </w:r>
            <w:r>
              <w:rPr>
                <w:sz w:val="19"/>
                <w:szCs w:val="19"/>
              </w:rPr>
              <w:t>,</w:t>
            </w:r>
            <w:r w:rsidRPr="00F76FD2">
              <w:rPr>
                <w:sz w:val="19"/>
                <w:szCs w:val="19"/>
              </w:rPr>
              <w:t xml:space="preserve"> and a </w:t>
            </w:r>
            <w:r>
              <w:rPr>
                <w:sz w:val="19"/>
                <w:szCs w:val="19"/>
              </w:rPr>
              <w:t xml:space="preserve">considerable </w:t>
            </w:r>
            <w:r w:rsidRPr="00F76FD2">
              <w:rPr>
                <w:sz w:val="19"/>
                <w:szCs w:val="19"/>
              </w:rPr>
              <w:t xml:space="preserve">reduction in salinity in the Murray Mouth. Within the Murray Mouth, the modelling suggest that there was median salinity of 27.73 </w:t>
            </w:r>
            <w:r w:rsidR="00C95D6E">
              <w:rPr>
                <w:sz w:val="19"/>
                <w:szCs w:val="19"/>
              </w:rPr>
              <w:t>practical salinity units (</w:t>
            </w:r>
            <w:r w:rsidRPr="00F76FD2">
              <w:rPr>
                <w:sz w:val="19"/>
                <w:szCs w:val="19"/>
              </w:rPr>
              <w:t>PSU</w:t>
            </w:r>
            <w:r w:rsidR="00C95D6E">
              <w:rPr>
                <w:sz w:val="19"/>
                <w:szCs w:val="19"/>
              </w:rPr>
              <w:t>)</w:t>
            </w:r>
            <w:r w:rsidRPr="00F76FD2">
              <w:rPr>
                <w:sz w:val="19"/>
                <w:szCs w:val="19"/>
              </w:rPr>
              <w:t xml:space="preserve"> with all water during 2015/16, compared to 35.23 PSU without </w:t>
            </w:r>
            <w:r>
              <w:rPr>
                <w:sz w:val="19"/>
                <w:szCs w:val="19"/>
              </w:rPr>
              <w:t>CEW</w:t>
            </w:r>
            <w:r w:rsidRPr="00F76FD2">
              <w:rPr>
                <w:sz w:val="19"/>
                <w:szCs w:val="19"/>
              </w:rPr>
              <w:t xml:space="preserve">. Salinity is known to have a significant impact upon biogeochemical processes and so </w:t>
            </w:r>
            <w:r w:rsidRPr="00F76FD2">
              <w:rPr>
                <w:color w:val="auto"/>
                <w:sz w:val="19"/>
                <w:szCs w:val="19"/>
              </w:rPr>
              <w:t xml:space="preserve">maintaining salinities at the Murray Mouth within that of normal estuarine conditions </w:t>
            </w:r>
            <w:r>
              <w:rPr>
                <w:color w:val="auto"/>
                <w:sz w:val="19"/>
                <w:szCs w:val="19"/>
              </w:rPr>
              <w:t>may have</w:t>
            </w:r>
            <w:r w:rsidRPr="00F76FD2">
              <w:rPr>
                <w:color w:val="auto"/>
                <w:sz w:val="19"/>
                <w:szCs w:val="19"/>
              </w:rPr>
              <w:t xml:space="preserve"> maintain</w:t>
            </w:r>
            <w:r>
              <w:rPr>
                <w:color w:val="auto"/>
                <w:sz w:val="19"/>
                <w:szCs w:val="19"/>
              </w:rPr>
              <w:t>ed</w:t>
            </w:r>
            <w:r w:rsidRPr="00F76FD2">
              <w:rPr>
                <w:color w:val="auto"/>
                <w:sz w:val="19"/>
                <w:szCs w:val="19"/>
              </w:rPr>
              <w:t xml:space="preserve"> normal biogeochemical processes for this region. Furthermore, r</w:t>
            </w:r>
            <w:r w:rsidRPr="00F76FD2">
              <w:rPr>
                <w:rFonts w:cs="Arial"/>
                <w:color w:val="auto"/>
                <w:sz w:val="19"/>
                <w:szCs w:val="19"/>
              </w:rPr>
              <w:t xml:space="preserve">educed salinity concentrations in the Lower Lakes and Murray Mouth, </w:t>
            </w:r>
            <w:r>
              <w:rPr>
                <w:rFonts w:cs="Arial"/>
                <w:color w:val="auto"/>
                <w:sz w:val="19"/>
                <w:szCs w:val="19"/>
              </w:rPr>
              <w:t>may</w:t>
            </w:r>
            <w:r w:rsidRPr="00F76FD2">
              <w:rPr>
                <w:rFonts w:cs="Arial"/>
                <w:color w:val="auto"/>
                <w:sz w:val="19"/>
                <w:szCs w:val="19"/>
              </w:rPr>
              <w:t xml:space="preserve"> </w:t>
            </w:r>
            <w:r w:rsidR="00FC3D89">
              <w:rPr>
                <w:rFonts w:cs="Arial"/>
                <w:color w:val="auto"/>
                <w:sz w:val="19"/>
                <w:szCs w:val="19"/>
              </w:rPr>
              <w:t xml:space="preserve">have </w:t>
            </w:r>
            <w:r w:rsidRPr="00F76FD2">
              <w:rPr>
                <w:rFonts w:cs="Arial"/>
                <w:color w:val="auto"/>
                <w:sz w:val="19"/>
                <w:szCs w:val="19"/>
              </w:rPr>
              <w:t>improved habitat for estuarine biota.</w:t>
            </w:r>
            <w:r w:rsidR="00705693" w:rsidRPr="00F76FD2">
              <w:rPr>
                <w:rFonts w:cs="Arial"/>
                <w:color w:val="auto"/>
                <w:sz w:val="19"/>
                <w:szCs w:val="19"/>
              </w:rPr>
              <w:t xml:space="preserve"> </w:t>
            </w:r>
          </w:p>
        </w:tc>
      </w:tr>
      <w:tr w:rsidR="00705693" w:rsidRPr="00F76FD2" w14:paraId="145B4542" w14:textId="77777777" w:rsidTr="0096486F">
        <w:trPr>
          <w:cantSplit/>
        </w:trPr>
        <w:tc>
          <w:tcPr>
            <w:tcW w:w="1549" w:type="dxa"/>
            <w:tcBorders>
              <w:top w:val="single" w:sz="4" w:space="0" w:color="auto"/>
              <w:left w:val="single" w:sz="4" w:space="0" w:color="auto"/>
              <w:bottom w:val="single" w:sz="4" w:space="0" w:color="auto"/>
              <w:right w:val="single" w:sz="4" w:space="0" w:color="auto"/>
            </w:tcBorders>
          </w:tcPr>
          <w:p w14:paraId="34BF4E49" w14:textId="271D0BB8" w:rsidR="00705693" w:rsidRPr="00F76FD2" w:rsidRDefault="0096486F" w:rsidP="00705693">
            <w:pPr>
              <w:rPr>
                <w:sz w:val="19"/>
                <w:szCs w:val="19"/>
              </w:rPr>
            </w:pPr>
            <w:r>
              <w:rPr>
                <w:sz w:val="19"/>
                <w:szCs w:val="19"/>
              </w:rPr>
              <w:lastRenderedPageBreak/>
              <w:t>Category 3. Matter T</w:t>
            </w:r>
            <w:r w:rsidRPr="00F76FD2">
              <w:rPr>
                <w:sz w:val="19"/>
                <w:szCs w:val="19"/>
              </w:rPr>
              <w:t>ransport</w:t>
            </w:r>
          </w:p>
        </w:tc>
        <w:tc>
          <w:tcPr>
            <w:tcW w:w="3237" w:type="dxa"/>
            <w:tcBorders>
              <w:top w:val="single" w:sz="4" w:space="0" w:color="auto"/>
              <w:left w:val="single" w:sz="4" w:space="0" w:color="auto"/>
              <w:bottom w:val="single" w:sz="4" w:space="0" w:color="auto"/>
              <w:right w:val="single" w:sz="4" w:space="0" w:color="auto"/>
            </w:tcBorders>
          </w:tcPr>
          <w:p w14:paraId="2A2B0A55" w14:textId="22E842F7" w:rsidR="00705693" w:rsidRPr="009A28AC" w:rsidRDefault="00705693" w:rsidP="00705693">
            <w:pPr>
              <w:rPr>
                <w:color w:val="auto"/>
                <w:sz w:val="19"/>
                <w:szCs w:val="19"/>
              </w:rPr>
            </w:pPr>
            <w:r w:rsidRPr="009A28AC">
              <w:rPr>
                <w:color w:val="auto"/>
                <w:sz w:val="19"/>
                <w:szCs w:val="19"/>
              </w:rPr>
              <w:t>What did CEW contribute to providing for the dispersal of organic and inorganic material and organisms between river and wetlands?</w:t>
            </w:r>
          </w:p>
        </w:tc>
        <w:tc>
          <w:tcPr>
            <w:tcW w:w="9243" w:type="dxa"/>
            <w:tcBorders>
              <w:top w:val="single" w:sz="4" w:space="0" w:color="auto"/>
              <w:left w:val="single" w:sz="4" w:space="0" w:color="auto"/>
              <w:bottom w:val="single" w:sz="4" w:space="0" w:color="auto"/>
              <w:right w:val="single" w:sz="4" w:space="0" w:color="auto"/>
            </w:tcBorders>
          </w:tcPr>
          <w:p w14:paraId="4F245A05" w14:textId="77777777" w:rsidR="00AB4693" w:rsidRPr="009A28AC" w:rsidRDefault="00AB4693" w:rsidP="00AB4693">
            <w:pPr>
              <w:rPr>
                <w:color w:val="auto"/>
                <w:sz w:val="19"/>
                <w:szCs w:val="19"/>
              </w:rPr>
            </w:pPr>
            <w:r w:rsidRPr="009A28AC">
              <w:rPr>
                <w:color w:val="auto"/>
                <w:sz w:val="19"/>
                <w:szCs w:val="19"/>
              </w:rPr>
              <w:t>The modelling suggests that CEW increased the export of dissolved and particulate matter. This was observed through:</w:t>
            </w:r>
          </w:p>
          <w:p w14:paraId="409E51E0" w14:textId="77777777" w:rsidR="00AB4693" w:rsidRPr="009A28AC" w:rsidRDefault="00AB4693" w:rsidP="00AB4693">
            <w:pPr>
              <w:pStyle w:val="ListParagraph"/>
              <w:numPr>
                <w:ilvl w:val="0"/>
                <w:numId w:val="24"/>
              </w:numPr>
              <w:ind w:left="300"/>
              <w:rPr>
                <w:color w:val="auto"/>
                <w:sz w:val="19"/>
                <w:szCs w:val="19"/>
              </w:rPr>
            </w:pPr>
            <w:r w:rsidRPr="009A28AC">
              <w:rPr>
                <w:color w:val="auto"/>
                <w:sz w:val="19"/>
                <w:szCs w:val="19"/>
              </w:rPr>
              <w:t>Increased salt exports from the Murray River Channel and Lower Lakes, and a decreased net import of salt to the Coorong, with CEW contributing 41% and 87% of the total modelled export from the Murray River Channel and Lower Lakes, respectively. There was a net modelled import of salt to the Coorong of 1,850,028 tonnes with all water</w:t>
            </w:r>
            <w:r w:rsidRPr="009A28AC" w:rsidDel="00E23B44">
              <w:rPr>
                <w:color w:val="auto"/>
                <w:sz w:val="19"/>
                <w:szCs w:val="19"/>
              </w:rPr>
              <w:t xml:space="preserve"> </w:t>
            </w:r>
            <w:r w:rsidRPr="009A28AC">
              <w:rPr>
                <w:color w:val="auto"/>
                <w:sz w:val="19"/>
                <w:szCs w:val="19"/>
              </w:rPr>
              <w:t>during 2015/16, but without CEW</w:t>
            </w:r>
            <w:r w:rsidRPr="009A28AC" w:rsidDel="00766199">
              <w:rPr>
                <w:color w:val="auto"/>
                <w:sz w:val="19"/>
                <w:szCs w:val="19"/>
              </w:rPr>
              <w:t xml:space="preserve"> </w:t>
            </w:r>
            <w:r w:rsidRPr="009A28AC">
              <w:rPr>
                <w:color w:val="auto"/>
                <w:sz w:val="19"/>
                <w:szCs w:val="19"/>
              </w:rPr>
              <w:t>the modelling suggests this would have been 6,441,297 tonnes.</w:t>
            </w:r>
          </w:p>
          <w:p w14:paraId="14B7D2F9" w14:textId="022F3F4D" w:rsidR="00AB4693" w:rsidRPr="009A28AC" w:rsidRDefault="00AB4693" w:rsidP="00AB4693">
            <w:pPr>
              <w:pStyle w:val="ListParagraph"/>
              <w:numPr>
                <w:ilvl w:val="0"/>
                <w:numId w:val="24"/>
              </w:numPr>
              <w:ind w:left="300"/>
              <w:rPr>
                <w:rFonts w:cs="Arial"/>
                <w:color w:val="auto"/>
                <w:sz w:val="19"/>
                <w:szCs w:val="19"/>
              </w:rPr>
            </w:pPr>
            <w:r w:rsidRPr="009A28AC">
              <w:rPr>
                <w:color w:val="auto"/>
                <w:sz w:val="19"/>
                <w:szCs w:val="19"/>
              </w:rPr>
              <w:t>Increased exports of nutrients from the Murray River Channel, Lower Lakes and Murray Mouth. The most apparent differences in exports associated with environmental water were for</w:t>
            </w:r>
            <w:r>
              <w:rPr>
                <w:color w:val="auto"/>
                <w:sz w:val="19"/>
                <w:szCs w:val="19"/>
              </w:rPr>
              <w:t xml:space="preserve"> silica, with CEW contributing </w:t>
            </w:r>
            <w:r w:rsidRPr="009A28AC">
              <w:rPr>
                <w:color w:val="auto"/>
                <w:sz w:val="19"/>
                <w:szCs w:val="19"/>
              </w:rPr>
              <w:t xml:space="preserve">to </w:t>
            </w:r>
            <w:r>
              <w:rPr>
                <w:color w:val="auto"/>
                <w:sz w:val="19"/>
                <w:szCs w:val="19"/>
              </w:rPr>
              <w:t>4</w:t>
            </w:r>
            <w:r w:rsidRPr="009A28AC">
              <w:rPr>
                <w:color w:val="auto"/>
                <w:sz w:val="19"/>
                <w:szCs w:val="19"/>
              </w:rPr>
              <w:t>1% and 95% of the total silica exports from the Murray River Channel and Lower, respectively.</w:t>
            </w:r>
          </w:p>
          <w:p w14:paraId="6B2550B4" w14:textId="77777777" w:rsidR="00AB4693" w:rsidRPr="009A28AC" w:rsidRDefault="00AB4693" w:rsidP="00AB4693">
            <w:pPr>
              <w:pStyle w:val="ListParagraph"/>
              <w:numPr>
                <w:ilvl w:val="0"/>
                <w:numId w:val="24"/>
              </w:numPr>
              <w:ind w:left="300"/>
              <w:rPr>
                <w:rFonts w:cs="Arial"/>
                <w:color w:val="auto"/>
                <w:sz w:val="19"/>
                <w:szCs w:val="19"/>
              </w:rPr>
            </w:pPr>
            <w:r w:rsidRPr="009A28AC">
              <w:rPr>
                <w:color w:val="auto"/>
                <w:sz w:val="19"/>
                <w:szCs w:val="19"/>
              </w:rPr>
              <w:t xml:space="preserve">Increased exports of phytoplankton biomass from the Murray River Channel, Lower Lakes and Murray Mouth. </w:t>
            </w:r>
          </w:p>
          <w:p w14:paraId="5038211D" w14:textId="0EC0F277" w:rsidR="00705693" w:rsidRPr="009A28AC" w:rsidRDefault="00AB4693" w:rsidP="00AB4693">
            <w:pPr>
              <w:rPr>
                <w:color w:val="auto"/>
                <w:sz w:val="19"/>
                <w:szCs w:val="19"/>
              </w:rPr>
            </w:pPr>
            <w:r w:rsidRPr="009A28AC">
              <w:rPr>
                <w:color w:val="auto"/>
                <w:sz w:val="19"/>
                <w:szCs w:val="19"/>
              </w:rPr>
              <w:t xml:space="preserve">This increased transport of dissolved and particulate matter </w:t>
            </w:r>
            <w:r>
              <w:rPr>
                <w:color w:val="auto"/>
                <w:sz w:val="19"/>
                <w:szCs w:val="19"/>
              </w:rPr>
              <w:t>may</w:t>
            </w:r>
            <w:r w:rsidRPr="009A28AC">
              <w:rPr>
                <w:color w:val="auto"/>
                <w:sz w:val="19"/>
                <w:szCs w:val="19"/>
              </w:rPr>
              <w:t xml:space="preserve"> have provided benefits for the Lower Lakes, Coorong and near-shore environment by providing energy to ecosystem productivity, as nutrients and phytoplankton are consumed by higher trophic organisms.</w:t>
            </w:r>
          </w:p>
        </w:tc>
      </w:tr>
      <w:tr w:rsidR="00705693" w:rsidRPr="00F76FD2" w14:paraId="1A4B43D2" w14:textId="77777777" w:rsidTr="00993B0F">
        <w:trPr>
          <w:cantSplit/>
        </w:trPr>
        <w:tc>
          <w:tcPr>
            <w:tcW w:w="1549" w:type="dxa"/>
            <w:tcBorders>
              <w:top w:val="single" w:sz="4" w:space="0" w:color="auto"/>
              <w:left w:val="single" w:sz="4" w:space="0" w:color="auto"/>
              <w:bottom w:val="nil"/>
              <w:right w:val="single" w:sz="4" w:space="0" w:color="auto"/>
            </w:tcBorders>
          </w:tcPr>
          <w:p w14:paraId="0C7CA1CA" w14:textId="67735586" w:rsidR="00705693" w:rsidRPr="00F76FD2" w:rsidRDefault="00705693" w:rsidP="00705693">
            <w:pPr>
              <w:rPr>
                <w:sz w:val="19"/>
                <w:szCs w:val="19"/>
              </w:rPr>
            </w:pPr>
            <w:r w:rsidRPr="00F76FD2">
              <w:rPr>
                <w:sz w:val="19"/>
                <w:szCs w:val="19"/>
              </w:rPr>
              <w:lastRenderedPageBreak/>
              <w:t>Category 3. Micro-invertebrate</w:t>
            </w:r>
            <w:r>
              <w:rPr>
                <w:sz w:val="19"/>
                <w:szCs w:val="19"/>
              </w:rPr>
              <w:t>s</w:t>
            </w:r>
          </w:p>
        </w:tc>
        <w:tc>
          <w:tcPr>
            <w:tcW w:w="3237" w:type="dxa"/>
            <w:tcBorders>
              <w:top w:val="single" w:sz="4" w:space="0" w:color="auto"/>
              <w:left w:val="single" w:sz="4" w:space="0" w:color="auto"/>
              <w:bottom w:val="nil"/>
              <w:right w:val="single" w:sz="4" w:space="0" w:color="auto"/>
            </w:tcBorders>
          </w:tcPr>
          <w:p w14:paraId="24576753" w14:textId="1EEB22C5" w:rsidR="00705693" w:rsidRPr="00F76FD2" w:rsidRDefault="00705693" w:rsidP="00705693">
            <w:pPr>
              <w:rPr>
                <w:sz w:val="19"/>
                <w:szCs w:val="19"/>
              </w:rPr>
            </w:pPr>
            <w:r w:rsidRPr="00F76FD2">
              <w:rPr>
                <w:sz w:val="19"/>
                <w:szCs w:val="19"/>
              </w:rPr>
              <w:t>What did CEW contribute to increased microinvertebrate input from floodplain to the river and thus reducing the reliance of in-stream food</w:t>
            </w:r>
            <w:r>
              <w:rPr>
                <w:sz w:val="19"/>
                <w:szCs w:val="19"/>
              </w:rPr>
              <w:t xml:space="preserve"> </w:t>
            </w:r>
            <w:r w:rsidRPr="00F76FD2">
              <w:rPr>
                <w:sz w:val="19"/>
                <w:szCs w:val="19"/>
              </w:rPr>
              <w:t>webs on autochthonous productivity?</w:t>
            </w:r>
          </w:p>
        </w:tc>
        <w:tc>
          <w:tcPr>
            <w:tcW w:w="9243" w:type="dxa"/>
            <w:tcBorders>
              <w:top w:val="single" w:sz="4" w:space="0" w:color="auto"/>
              <w:left w:val="single" w:sz="4" w:space="0" w:color="auto"/>
              <w:bottom w:val="nil"/>
              <w:right w:val="single" w:sz="4" w:space="0" w:color="auto"/>
            </w:tcBorders>
            <w:shd w:val="clear" w:color="auto" w:fill="auto"/>
          </w:tcPr>
          <w:p w14:paraId="4823A3AF" w14:textId="599A3670" w:rsidR="00705693" w:rsidRPr="00F76FD2" w:rsidRDefault="00705693" w:rsidP="00FC3D89">
            <w:pPr>
              <w:rPr>
                <w:sz w:val="19"/>
                <w:szCs w:val="19"/>
              </w:rPr>
            </w:pPr>
            <w:r w:rsidRPr="001777A3">
              <w:rPr>
                <w:sz w:val="19"/>
                <w:szCs w:val="19"/>
              </w:rPr>
              <w:t>CEW returns</w:t>
            </w:r>
            <w:r w:rsidR="00FC3D89">
              <w:rPr>
                <w:sz w:val="19"/>
                <w:szCs w:val="19"/>
              </w:rPr>
              <w:t xml:space="preserve"> (</w:t>
            </w:r>
            <w:r w:rsidRPr="001777A3">
              <w:rPr>
                <w:sz w:val="19"/>
                <w:szCs w:val="19"/>
              </w:rPr>
              <w:t>potentially from Barmah</w:t>
            </w:r>
            <w:r>
              <w:rPr>
                <w:sz w:val="19"/>
                <w:szCs w:val="19"/>
              </w:rPr>
              <w:t>–</w:t>
            </w:r>
            <w:r w:rsidRPr="001777A3">
              <w:rPr>
                <w:sz w:val="19"/>
                <w:szCs w:val="19"/>
              </w:rPr>
              <w:t>M</w:t>
            </w:r>
            <w:r>
              <w:rPr>
                <w:sz w:val="19"/>
                <w:szCs w:val="19"/>
              </w:rPr>
              <w:t>illewa F</w:t>
            </w:r>
            <w:r w:rsidRPr="001777A3">
              <w:rPr>
                <w:sz w:val="19"/>
                <w:szCs w:val="19"/>
              </w:rPr>
              <w:t>orest</w:t>
            </w:r>
            <w:r w:rsidR="00FC3D89">
              <w:rPr>
                <w:sz w:val="19"/>
                <w:szCs w:val="19"/>
              </w:rPr>
              <w:t>,</w:t>
            </w:r>
            <w:r>
              <w:rPr>
                <w:sz w:val="19"/>
                <w:szCs w:val="19"/>
              </w:rPr>
              <w:t xml:space="preserve"> also The Living Murray)</w:t>
            </w:r>
            <w:r w:rsidRPr="001777A3">
              <w:rPr>
                <w:sz w:val="19"/>
                <w:szCs w:val="19"/>
              </w:rPr>
              <w:t xml:space="preserve">, and flooded littoral/riparian margins </w:t>
            </w:r>
            <w:r w:rsidR="00FC3D89">
              <w:rPr>
                <w:sz w:val="19"/>
                <w:szCs w:val="19"/>
              </w:rPr>
              <w:t xml:space="preserve">(e.g. </w:t>
            </w:r>
            <w:r>
              <w:rPr>
                <w:sz w:val="19"/>
                <w:szCs w:val="19"/>
              </w:rPr>
              <w:t>Chowilla Anabranch and</w:t>
            </w:r>
            <w:r w:rsidRPr="001777A3">
              <w:rPr>
                <w:sz w:val="19"/>
                <w:szCs w:val="19"/>
              </w:rPr>
              <w:t xml:space="preserve"> Weir Pools 5</w:t>
            </w:r>
            <w:r w:rsidR="00FC3D89">
              <w:rPr>
                <w:sz w:val="19"/>
                <w:szCs w:val="19"/>
              </w:rPr>
              <w:t>,</w:t>
            </w:r>
            <w:r w:rsidRPr="001777A3">
              <w:rPr>
                <w:sz w:val="19"/>
                <w:szCs w:val="19"/>
              </w:rPr>
              <w:t xml:space="preserve"> 2</w:t>
            </w:r>
            <w:r w:rsidR="00FC3D89">
              <w:rPr>
                <w:sz w:val="19"/>
                <w:szCs w:val="19"/>
              </w:rPr>
              <w:t>,</w:t>
            </w:r>
            <w:r w:rsidRPr="001777A3">
              <w:rPr>
                <w:sz w:val="19"/>
                <w:szCs w:val="19"/>
              </w:rPr>
              <w:t xml:space="preserve"> </w:t>
            </w:r>
            <w:r w:rsidR="00E75796">
              <w:rPr>
                <w:sz w:val="19"/>
                <w:szCs w:val="19"/>
              </w:rPr>
              <w:t xml:space="preserve">7, 8 and 9) </w:t>
            </w:r>
            <w:r w:rsidR="00FC3D89">
              <w:rPr>
                <w:sz w:val="19"/>
                <w:szCs w:val="19"/>
              </w:rPr>
              <w:t xml:space="preserve">likely </w:t>
            </w:r>
            <w:r w:rsidRPr="001777A3">
              <w:rPr>
                <w:sz w:val="19"/>
                <w:szCs w:val="19"/>
              </w:rPr>
              <w:t>translocated 102 non-riverine microinvertebrate taxa (57.6% of the identified taxa in trap samples mid-stream), some in appreciable numbers, into the main channel. These included epibenthic testate rhizopods, epiphytic rotifers, surface-associated or floc-dwelling chydorid and other cladocerans, and heloplanktonic cyclopoid and benthic harpacticoid copepods not considered part of the riverine potamoplankton, although they may occur in shallow 'slackwaters', billabongs, or flooded riparian margins. Notably, 44 taxa (25% of the total assemblage) were not recorded during similar sampling in 2014/15, including several new records for the contin</w:t>
            </w:r>
            <w:r>
              <w:rPr>
                <w:sz w:val="19"/>
                <w:szCs w:val="19"/>
              </w:rPr>
              <w:t>ent (Rotifera), or new to the lower River Murray</w:t>
            </w:r>
            <w:r w:rsidRPr="001777A3">
              <w:rPr>
                <w:sz w:val="19"/>
                <w:szCs w:val="19"/>
              </w:rPr>
              <w:t xml:space="preserve"> and </w:t>
            </w:r>
            <w:r w:rsidR="005106B5">
              <w:rPr>
                <w:sz w:val="19"/>
                <w:szCs w:val="19"/>
              </w:rPr>
              <w:t>South Australia</w:t>
            </w:r>
            <w:r w:rsidRPr="001777A3">
              <w:rPr>
                <w:sz w:val="19"/>
                <w:szCs w:val="19"/>
              </w:rPr>
              <w:t xml:space="preserve"> (Chydoridae).</w:t>
            </w:r>
          </w:p>
        </w:tc>
      </w:tr>
      <w:tr w:rsidR="00705693" w:rsidRPr="00F76FD2" w14:paraId="604A99A3" w14:textId="77777777" w:rsidTr="001777A3">
        <w:trPr>
          <w:cantSplit/>
        </w:trPr>
        <w:tc>
          <w:tcPr>
            <w:tcW w:w="1549" w:type="dxa"/>
            <w:tcBorders>
              <w:top w:val="nil"/>
              <w:left w:val="single" w:sz="4" w:space="0" w:color="auto"/>
              <w:bottom w:val="single" w:sz="4" w:space="0" w:color="auto"/>
              <w:right w:val="single" w:sz="4" w:space="0" w:color="auto"/>
            </w:tcBorders>
          </w:tcPr>
          <w:p w14:paraId="4FDC286F" w14:textId="77777777" w:rsidR="00705693" w:rsidRPr="00F76FD2" w:rsidRDefault="00705693" w:rsidP="00705693">
            <w:pPr>
              <w:rPr>
                <w:sz w:val="19"/>
                <w:szCs w:val="19"/>
              </w:rPr>
            </w:pPr>
          </w:p>
        </w:tc>
        <w:tc>
          <w:tcPr>
            <w:tcW w:w="3237" w:type="dxa"/>
            <w:tcBorders>
              <w:top w:val="nil"/>
              <w:left w:val="single" w:sz="4" w:space="0" w:color="auto"/>
              <w:bottom w:val="single" w:sz="4" w:space="0" w:color="auto"/>
              <w:right w:val="single" w:sz="4" w:space="0" w:color="auto"/>
            </w:tcBorders>
          </w:tcPr>
          <w:p w14:paraId="4C080DE7" w14:textId="1A0C8036" w:rsidR="00705693" w:rsidRPr="00F76FD2" w:rsidRDefault="00705693" w:rsidP="00705693">
            <w:pPr>
              <w:rPr>
                <w:sz w:val="19"/>
                <w:szCs w:val="19"/>
              </w:rPr>
            </w:pPr>
            <w:r w:rsidRPr="00F76FD2">
              <w:rPr>
                <w:sz w:val="19"/>
                <w:szCs w:val="19"/>
              </w:rPr>
              <w:t>What did CEW contribute to increased dispersal of organisms between river and wetlands?</w:t>
            </w:r>
          </w:p>
        </w:tc>
        <w:tc>
          <w:tcPr>
            <w:tcW w:w="9243" w:type="dxa"/>
            <w:tcBorders>
              <w:top w:val="nil"/>
              <w:left w:val="single" w:sz="4" w:space="0" w:color="auto"/>
              <w:bottom w:val="single" w:sz="4" w:space="0" w:color="auto"/>
              <w:right w:val="single" w:sz="4" w:space="0" w:color="auto"/>
            </w:tcBorders>
            <w:shd w:val="clear" w:color="auto" w:fill="auto"/>
          </w:tcPr>
          <w:p w14:paraId="6C0A401D" w14:textId="205A74B7" w:rsidR="00705693" w:rsidRPr="00F76FD2" w:rsidRDefault="00705693" w:rsidP="00705693">
            <w:pPr>
              <w:rPr>
                <w:sz w:val="19"/>
                <w:szCs w:val="19"/>
              </w:rPr>
            </w:pPr>
            <w:r w:rsidRPr="001777A3">
              <w:rPr>
                <w:sz w:val="19"/>
                <w:szCs w:val="19"/>
              </w:rPr>
              <w:t xml:space="preserve">No wetland samples were collected </w:t>
            </w:r>
            <w:r>
              <w:rPr>
                <w:sz w:val="19"/>
                <w:szCs w:val="19"/>
              </w:rPr>
              <w:t xml:space="preserve">in </w:t>
            </w:r>
            <w:r w:rsidRPr="001777A3">
              <w:rPr>
                <w:sz w:val="19"/>
                <w:szCs w:val="19"/>
              </w:rPr>
              <w:t>2015/16 to ascertain CEW dispersal of microinvertebrates from the main channel flows.</w:t>
            </w:r>
          </w:p>
        </w:tc>
      </w:tr>
      <w:tr w:rsidR="00705693" w:rsidRPr="00F76FD2" w14:paraId="41A574A1" w14:textId="77777777" w:rsidTr="0096486F">
        <w:trPr>
          <w:cantSplit/>
        </w:trPr>
        <w:tc>
          <w:tcPr>
            <w:tcW w:w="1549" w:type="dxa"/>
            <w:tcBorders>
              <w:top w:val="single" w:sz="4" w:space="0" w:color="auto"/>
              <w:left w:val="single" w:sz="4" w:space="0" w:color="auto"/>
              <w:bottom w:val="nil"/>
              <w:right w:val="single" w:sz="4" w:space="0" w:color="auto"/>
            </w:tcBorders>
          </w:tcPr>
          <w:p w14:paraId="28F4DADB" w14:textId="29C403EE" w:rsidR="00705693" w:rsidRPr="00F76FD2" w:rsidRDefault="00705693" w:rsidP="00705693">
            <w:pPr>
              <w:rPr>
                <w:sz w:val="19"/>
                <w:szCs w:val="19"/>
              </w:rPr>
            </w:pPr>
            <w:r>
              <w:rPr>
                <w:sz w:val="19"/>
                <w:szCs w:val="19"/>
              </w:rPr>
              <w:t>Category 3. Fish Spawning and R</w:t>
            </w:r>
            <w:r w:rsidRPr="00F76FD2">
              <w:rPr>
                <w:sz w:val="19"/>
                <w:szCs w:val="19"/>
              </w:rPr>
              <w:t>ecruitment</w:t>
            </w:r>
          </w:p>
        </w:tc>
        <w:tc>
          <w:tcPr>
            <w:tcW w:w="3237" w:type="dxa"/>
            <w:tcBorders>
              <w:top w:val="single" w:sz="4" w:space="0" w:color="auto"/>
              <w:left w:val="single" w:sz="4" w:space="0" w:color="auto"/>
              <w:bottom w:val="nil"/>
              <w:right w:val="single" w:sz="4" w:space="0" w:color="auto"/>
            </w:tcBorders>
          </w:tcPr>
          <w:p w14:paraId="547CD8D3" w14:textId="090415A6" w:rsidR="00705693" w:rsidRPr="00F76FD2" w:rsidRDefault="00705693" w:rsidP="00705693">
            <w:pPr>
              <w:rPr>
                <w:sz w:val="19"/>
                <w:szCs w:val="19"/>
              </w:rPr>
            </w:pPr>
            <w:r w:rsidRPr="00F76FD2">
              <w:rPr>
                <w:sz w:val="19"/>
                <w:szCs w:val="19"/>
              </w:rPr>
              <w:t>What did CEW contribute to the population age structure of golden perch in the LMR Selected Area?</w:t>
            </w:r>
          </w:p>
        </w:tc>
        <w:tc>
          <w:tcPr>
            <w:tcW w:w="9243" w:type="dxa"/>
            <w:tcBorders>
              <w:top w:val="single" w:sz="4" w:space="0" w:color="auto"/>
              <w:left w:val="single" w:sz="4" w:space="0" w:color="auto"/>
              <w:bottom w:val="nil"/>
              <w:right w:val="single" w:sz="4" w:space="0" w:color="auto"/>
            </w:tcBorders>
            <w:shd w:val="clear" w:color="auto" w:fill="auto"/>
          </w:tcPr>
          <w:p w14:paraId="54970B9D" w14:textId="4280ADF6" w:rsidR="00705693" w:rsidRPr="00F76FD2" w:rsidRDefault="00705693" w:rsidP="00705693">
            <w:pPr>
              <w:rPr>
                <w:sz w:val="19"/>
                <w:szCs w:val="19"/>
              </w:rPr>
            </w:pPr>
            <w:r>
              <w:rPr>
                <w:sz w:val="19"/>
                <w:szCs w:val="19"/>
              </w:rPr>
              <w:t>CEW delivery in 2015/16 did not result in the presence of any new cohorts (age 0+) of golden perch in the LMR Selected Area.</w:t>
            </w:r>
          </w:p>
        </w:tc>
      </w:tr>
      <w:tr w:rsidR="00705693" w:rsidRPr="00F76FD2" w14:paraId="6815EFD9" w14:textId="77777777" w:rsidTr="0096486F">
        <w:trPr>
          <w:cantSplit/>
        </w:trPr>
        <w:tc>
          <w:tcPr>
            <w:tcW w:w="1549" w:type="dxa"/>
            <w:tcBorders>
              <w:top w:val="nil"/>
              <w:left w:val="single" w:sz="4" w:space="0" w:color="auto"/>
              <w:bottom w:val="single" w:sz="4" w:space="0" w:color="auto"/>
              <w:right w:val="single" w:sz="4" w:space="0" w:color="auto"/>
            </w:tcBorders>
          </w:tcPr>
          <w:p w14:paraId="40C69DFB" w14:textId="77777777" w:rsidR="00705693" w:rsidRPr="00F76FD2" w:rsidRDefault="00705693" w:rsidP="00705693">
            <w:pPr>
              <w:rPr>
                <w:sz w:val="19"/>
                <w:szCs w:val="19"/>
              </w:rPr>
            </w:pPr>
          </w:p>
        </w:tc>
        <w:tc>
          <w:tcPr>
            <w:tcW w:w="3237" w:type="dxa"/>
            <w:tcBorders>
              <w:top w:val="nil"/>
              <w:left w:val="single" w:sz="4" w:space="0" w:color="auto"/>
              <w:bottom w:val="single" w:sz="4" w:space="0" w:color="auto"/>
              <w:right w:val="single" w:sz="4" w:space="0" w:color="auto"/>
            </w:tcBorders>
          </w:tcPr>
          <w:p w14:paraId="1EA786D8" w14:textId="7E6332EE" w:rsidR="00705693" w:rsidRPr="00F76FD2" w:rsidRDefault="00705693" w:rsidP="00705693">
            <w:pPr>
              <w:rPr>
                <w:sz w:val="19"/>
                <w:szCs w:val="19"/>
              </w:rPr>
            </w:pPr>
            <w:r w:rsidRPr="00F76FD2">
              <w:rPr>
                <w:sz w:val="19"/>
                <w:szCs w:val="19"/>
              </w:rPr>
              <w:t>What did CEW contribute to the population age structure of silver perch in the LMR Selected Area?</w:t>
            </w:r>
          </w:p>
        </w:tc>
        <w:tc>
          <w:tcPr>
            <w:tcW w:w="9243" w:type="dxa"/>
            <w:tcBorders>
              <w:top w:val="nil"/>
              <w:left w:val="single" w:sz="4" w:space="0" w:color="auto"/>
              <w:bottom w:val="single" w:sz="4" w:space="0" w:color="auto"/>
              <w:right w:val="single" w:sz="4" w:space="0" w:color="auto"/>
            </w:tcBorders>
            <w:shd w:val="clear" w:color="auto" w:fill="auto"/>
          </w:tcPr>
          <w:p w14:paraId="1BECD78D" w14:textId="1DFC4B7E" w:rsidR="00705693" w:rsidRPr="00F76FD2" w:rsidRDefault="00705693" w:rsidP="00705693">
            <w:pPr>
              <w:rPr>
                <w:sz w:val="19"/>
                <w:szCs w:val="19"/>
              </w:rPr>
            </w:pPr>
            <w:r>
              <w:rPr>
                <w:sz w:val="19"/>
                <w:szCs w:val="19"/>
              </w:rPr>
              <w:t>CEW delivery in 2015/16 did not result in the presence of any new cohorts (age 0+) of silver perch in the LMR Selected Area.</w:t>
            </w:r>
          </w:p>
        </w:tc>
      </w:tr>
      <w:tr w:rsidR="00705693" w:rsidRPr="00F76FD2" w14:paraId="3833783C" w14:textId="77777777" w:rsidTr="0096486F">
        <w:trPr>
          <w:cantSplit/>
        </w:trPr>
        <w:tc>
          <w:tcPr>
            <w:tcW w:w="1549" w:type="dxa"/>
            <w:tcBorders>
              <w:top w:val="single" w:sz="4" w:space="0" w:color="auto"/>
              <w:left w:val="single" w:sz="4" w:space="0" w:color="auto"/>
              <w:bottom w:val="nil"/>
              <w:right w:val="single" w:sz="4" w:space="0" w:color="auto"/>
            </w:tcBorders>
          </w:tcPr>
          <w:p w14:paraId="12CFB3BA" w14:textId="768A64CE" w:rsidR="00705693" w:rsidRPr="00F76FD2" w:rsidRDefault="0096486F" w:rsidP="00705693">
            <w:pPr>
              <w:rPr>
                <w:sz w:val="19"/>
                <w:szCs w:val="19"/>
              </w:rPr>
            </w:pPr>
            <w:r>
              <w:rPr>
                <w:sz w:val="19"/>
                <w:szCs w:val="19"/>
              </w:rPr>
              <w:lastRenderedPageBreak/>
              <w:t>Category 3. Fish Spawning and R</w:t>
            </w:r>
            <w:r w:rsidRPr="00F76FD2">
              <w:rPr>
                <w:sz w:val="19"/>
                <w:szCs w:val="19"/>
              </w:rPr>
              <w:t>ecruitment</w:t>
            </w:r>
          </w:p>
        </w:tc>
        <w:tc>
          <w:tcPr>
            <w:tcW w:w="3237" w:type="dxa"/>
            <w:tcBorders>
              <w:top w:val="single" w:sz="4" w:space="0" w:color="auto"/>
              <w:left w:val="single" w:sz="4" w:space="0" w:color="auto"/>
              <w:bottom w:val="nil"/>
              <w:right w:val="single" w:sz="4" w:space="0" w:color="auto"/>
            </w:tcBorders>
          </w:tcPr>
          <w:p w14:paraId="452E9759" w14:textId="7DE4639C" w:rsidR="00705693" w:rsidRPr="00F76FD2" w:rsidRDefault="00705693" w:rsidP="00705693">
            <w:pPr>
              <w:rPr>
                <w:sz w:val="19"/>
                <w:szCs w:val="19"/>
              </w:rPr>
            </w:pPr>
            <w:r w:rsidRPr="00F76FD2">
              <w:rPr>
                <w:sz w:val="19"/>
                <w:szCs w:val="19"/>
              </w:rPr>
              <w:t>Did CEW contribute to a YOY or age 1+ cohort that represented &gt;30% of the golden perch population in the LMR Selected Area?</w:t>
            </w:r>
          </w:p>
        </w:tc>
        <w:tc>
          <w:tcPr>
            <w:tcW w:w="9243" w:type="dxa"/>
            <w:tcBorders>
              <w:top w:val="single" w:sz="4" w:space="0" w:color="auto"/>
              <w:left w:val="single" w:sz="4" w:space="0" w:color="auto"/>
              <w:bottom w:val="nil"/>
              <w:right w:val="single" w:sz="4" w:space="0" w:color="auto"/>
            </w:tcBorders>
          </w:tcPr>
          <w:p w14:paraId="277114B0" w14:textId="7E2518BF" w:rsidR="00705693" w:rsidRPr="00F76FD2" w:rsidRDefault="00705693" w:rsidP="00705693">
            <w:pPr>
              <w:rPr>
                <w:sz w:val="19"/>
                <w:szCs w:val="19"/>
              </w:rPr>
            </w:pPr>
            <w:r w:rsidRPr="00F76FD2">
              <w:rPr>
                <w:sz w:val="19"/>
                <w:szCs w:val="19"/>
              </w:rPr>
              <w:t xml:space="preserve">No. No age 0+ (2015/16 cohort) or 1+ (2014/15 cohort) golden perch were detected during electrofishing in Autumn 2016. </w:t>
            </w:r>
          </w:p>
        </w:tc>
      </w:tr>
      <w:tr w:rsidR="00705693" w:rsidRPr="00F76FD2" w14:paraId="69F1EB6B" w14:textId="77777777" w:rsidTr="00ED2BC3">
        <w:trPr>
          <w:cantSplit/>
        </w:trPr>
        <w:tc>
          <w:tcPr>
            <w:tcW w:w="1549" w:type="dxa"/>
            <w:tcBorders>
              <w:top w:val="nil"/>
              <w:left w:val="single" w:sz="4" w:space="0" w:color="auto"/>
              <w:bottom w:val="single" w:sz="4" w:space="0" w:color="auto"/>
              <w:right w:val="single" w:sz="4" w:space="0" w:color="auto"/>
            </w:tcBorders>
          </w:tcPr>
          <w:p w14:paraId="13DACDDC" w14:textId="77777777" w:rsidR="00705693" w:rsidRPr="00F76FD2" w:rsidRDefault="00705693" w:rsidP="00705693">
            <w:pPr>
              <w:rPr>
                <w:sz w:val="19"/>
                <w:szCs w:val="19"/>
              </w:rPr>
            </w:pPr>
          </w:p>
        </w:tc>
        <w:tc>
          <w:tcPr>
            <w:tcW w:w="3237" w:type="dxa"/>
            <w:tcBorders>
              <w:top w:val="nil"/>
              <w:left w:val="single" w:sz="4" w:space="0" w:color="auto"/>
              <w:bottom w:val="single" w:sz="4" w:space="0" w:color="auto"/>
              <w:right w:val="single" w:sz="4" w:space="0" w:color="auto"/>
            </w:tcBorders>
          </w:tcPr>
          <w:p w14:paraId="4C183328" w14:textId="6D3CB6C5" w:rsidR="00705693" w:rsidRPr="00F76FD2" w:rsidRDefault="00705693" w:rsidP="00705693">
            <w:pPr>
              <w:rPr>
                <w:sz w:val="19"/>
                <w:szCs w:val="19"/>
              </w:rPr>
            </w:pPr>
            <w:r w:rsidRPr="00F76FD2">
              <w:rPr>
                <w:sz w:val="19"/>
                <w:szCs w:val="19"/>
              </w:rPr>
              <w:t>Did CEW contribute to a YOY or age 1+ cohort that represented &gt;30% of the silver perch population in the LMR Selected Area?</w:t>
            </w:r>
          </w:p>
        </w:tc>
        <w:tc>
          <w:tcPr>
            <w:tcW w:w="9243" w:type="dxa"/>
            <w:tcBorders>
              <w:top w:val="nil"/>
              <w:left w:val="single" w:sz="4" w:space="0" w:color="auto"/>
              <w:bottom w:val="single" w:sz="4" w:space="0" w:color="auto"/>
              <w:right w:val="single" w:sz="4" w:space="0" w:color="auto"/>
            </w:tcBorders>
          </w:tcPr>
          <w:p w14:paraId="576F7540" w14:textId="70335171" w:rsidR="00705693" w:rsidRPr="00F76FD2" w:rsidRDefault="00705693" w:rsidP="00705693">
            <w:pPr>
              <w:rPr>
                <w:sz w:val="19"/>
                <w:szCs w:val="19"/>
              </w:rPr>
            </w:pPr>
            <w:r w:rsidRPr="00F76FD2">
              <w:rPr>
                <w:sz w:val="19"/>
                <w:szCs w:val="19"/>
              </w:rPr>
              <w:t>No. No age 0+ (2015/16 cohort) or 1+ (2014/15 cohort) silver perch were detected during electrofishing in Autumn 2016.</w:t>
            </w:r>
          </w:p>
        </w:tc>
      </w:tr>
    </w:tbl>
    <w:p w14:paraId="312AC613" w14:textId="4EA89377" w:rsidR="004B4E03" w:rsidRDefault="00A14153" w:rsidP="00A27BD7">
      <w:r>
        <w:rPr>
          <w:sz w:val="16"/>
        </w:rPr>
        <w:t>*</w:t>
      </w:r>
      <w:r w:rsidRPr="00A14153">
        <w:rPr>
          <w:sz w:val="16"/>
        </w:rPr>
        <w:t>Site ratios of common carp to flow-dependant, native species was calculated by dividing the total biomass or number of individuals (abundance) of carp</w:t>
      </w:r>
      <w:r w:rsidR="00164046">
        <w:rPr>
          <w:sz w:val="16"/>
        </w:rPr>
        <w:t xml:space="preserve"> for that site</w:t>
      </w:r>
      <w:r w:rsidRPr="00A14153">
        <w:rPr>
          <w:sz w:val="16"/>
        </w:rPr>
        <w:t xml:space="preserve"> by the total biomass or number of individuals (abundance) of golden perch and silver perch</w:t>
      </w:r>
      <w:r w:rsidR="00164046">
        <w:rPr>
          <w:sz w:val="16"/>
        </w:rPr>
        <w:t xml:space="preserve"> for the same site</w:t>
      </w:r>
      <w:r w:rsidRPr="00A14153">
        <w:rPr>
          <w:sz w:val="16"/>
        </w:rPr>
        <w:t>, respectively. The mean site ratio for a particular year was calculated by averaging the ten site ratios.</w:t>
      </w:r>
      <w:r>
        <w:rPr>
          <w:sz w:val="16"/>
        </w:rPr>
        <w:t xml:space="preserve"> Common carp were not weighed </w:t>
      </w:r>
      <w:r w:rsidR="00164046">
        <w:rPr>
          <w:sz w:val="16"/>
        </w:rPr>
        <w:t>as part of the</w:t>
      </w:r>
      <w:r>
        <w:rPr>
          <w:sz w:val="16"/>
        </w:rPr>
        <w:t xml:space="preserve"> Fish (channel) sampling</w:t>
      </w:r>
      <w:r w:rsidR="00164046">
        <w:rPr>
          <w:sz w:val="16"/>
        </w:rPr>
        <w:t>,</w:t>
      </w:r>
      <w:r>
        <w:rPr>
          <w:sz w:val="16"/>
        </w:rPr>
        <w:t xml:space="preserve"> so biomass was estimated by converting fork lengths to weights based on a FL–mass equation in </w:t>
      </w:r>
      <w:r w:rsidRPr="00A14153">
        <w:rPr>
          <w:sz w:val="16"/>
        </w:rPr>
        <w:t>Vilizzi and Walker (1999)</w:t>
      </w:r>
      <w:r>
        <w:rPr>
          <w:sz w:val="16"/>
        </w:rPr>
        <w:t>.</w:t>
      </w:r>
      <w:r w:rsidR="004B4E03">
        <w:br w:type="page"/>
      </w:r>
    </w:p>
    <w:p w14:paraId="54D53CD1" w14:textId="77777777" w:rsidR="002F09E2" w:rsidRDefault="002F09E2" w:rsidP="00806C82">
      <w:pPr>
        <w:spacing w:before="0" w:after="200" w:line="276" w:lineRule="auto"/>
        <w:rPr>
          <w:b/>
          <w:i/>
          <w:sz w:val="24"/>
          <w:szCs w:val="24"/>
        </w:rPr>
        <w:sectPr w:rsidR="002F09E2" w:rsidSect="002F09E2">
          <w:pgSz w:w="16840" w:h="11900" w:orient="landscape" w:code="9"/>
          <w:pgMar w:top="1440" w:right="1440" w:bottom="1440" w:left="1440" w:header="709" w:footer="709" w:gutter="0"/>
          <w:cols w:space="708"/>
          <w:docGrid w:linePitch="360"/>
        </w:sectPr>
      </w:pPr>
    </w:p>
    <w:p w14:paraId="50FDA490" w14:textId="2E2B7932" w:rsidR="00EA303E" w:rsidRPr="00A67C76" w:rsidRDefault="001D5D76" w:rsidP="00806C82">
      <w:pPr>
        <w:spacing w:before="0" w:after="200" w:line="276" w:lineRule="auto"/>
        <w:rPr>
          <w:b/>
          <w:i/>
          <w:sz w:val="24"/>
          <w:szCs w:val="24"/>
        </w:rPr>
      </w:pPr>
      <w:r w:rsidRPr="00A67C76">
        <w:rPr>
          <w:b/>
          <w:i/>
          <w:sz w:val="24"/>
          <w:szCs w:val="24"/>
        </w:rPr>
        <w:lastRenderedPageBreak/>
        <w:t>Acronyms</w:t>
      </w:r>
    </w:p>
    <w:tbl>
      <w:tblPr>
        <w:tblW w:w="0" w:type="auto"/>
        <w:tblInd w:w="91" w:type="dxa"/>
        <w:tblLayout w:type="fixed"/>
        <w:tblLook w:val="04A0" w:firstRow="1" w:lastRow="0" w:firstColumn="1" w:lastColumn="0" w:noHBand="0" w:noVBand="1"/>
      </w:tblPr>
      <w:tblGrid>
        <w:gridCol w:w="1043"/>
        <w:gridCol w:w="7886"/>
      </w:tblGrid>
      <w:tr w:rsidR="001D5D76" w:rsidRPr="00A67C76" w14:paraId="1D83C9A8" w14:textId="77777777" w:rsidTr="00A46989">
        <w:trPr>
          <w:trHeight w:val="300"/>
        </w:trPr>
        <w:tc>
          <w:tcPr>
            <w:tcW w:w="1043" w:type="dxa"/>
            <w:tcBorders>
              <w:top w:val="nil"/>
              <w:left w:val="nil"/>
              <w:bottom w:val="nil"/>
              <w:right w:val="nil"/>
            </w:tcBorders>
            <w:shd w:val="clear" w:color="auto" w:fill="auto"/>
            <w:noWrap/>
            <w:hideMark/>
          </w:tcPr>
          <w:p w14:paraId="2D9F041A" w14:textId="77777777" w:rsidR="001D5D76" w:rsidRPr="00A67C76" w:rsidRDefault="001D5D76" w:rsidP="00A46989">
            <w:pPr>
              <w:spacing w:line="240" w:lineRule="auto"/>
              <w:contextualSpacing/>
              <w:rPr>
                <w:rFonts w:cs="Calibri"/>
                <w:b/>
                <w:bCs/>
                <w:color w:val="E46D0A"/>
              </w:rPr>
            </w:pPr>
            <w:r w:rsidRPr="00A67C76">
              <w:rPr>
                <w:rFonts w:cs="Calibri"/>
                <w:b/>
                <w:bCs/>
                <w:color w:val="E46D0A"/>
              </w:rPr>
              <w:t>AHD</w:t>
            </w:r>
          </w:p>
        </w:tc>
        <w:tc>
          <w:tcPr>
            <w:tcW w:w="7886" w:type="dxa"/>
            <w:tcBorders>
              <w:top w:val="nil"/>
              <w:left w:val="nil"/>
              <w:bottom w:val="nil"/>
              <w:right w:val="nil"/>
            </w:tcBorders>
            <w:shd w:val="clear" w:color="auto" w:fill="auto"/>
            <w:noWrap/>
            <w:hideMark/>
          </w:tcPr>
          <w:p w14:paraId="486D207A" w14:textId="77777777" w:rsidR="001D5D76" w:rsidRPr="00A67C76" w:rsidRDefault="001D5D76" w:rsidP="00A46989">
            <w:pPr>
              <w:spacing w:line="240" w:lineRule="auto"/>
              <w:contextualSpacing/>
              <w:rPr>
                <w:rFonts w:cs="Calibri"/>
                <w:color w:val="222222"/>
              </w:rPr>
            </w:pPr>
            <w:r w:rsidRPr="00A67C76">
              <w:rPr>
                <w:rFonts w:cs="Calibri"/>
                <w:color w:val="222222"/>
              </w:rPr>
              <w:t>Australian Height Datum</w:t>
            </w:r>
          </w:p>
        </w:tc>
      </w:tr>
      <w:tr w:rsidR="001D5D76" w:rsidRPr="00A67C76" w14:paraId="170A62AE" w14:textId="77777777" w:rsidTr="00A46989">
        <w:trPr>
          <w:trHeight w:val="300"/>
        </w:trPr>
        <w:tc>
          <w:tcPr>
            <w:tcW w:w="1043" w:type="dxa"/>
            <w:tcBorders>
              <w:top w:val="nil"/>
              <w:left w:val="nil"/>
              <w:bottom w:val="nil"/>
              <w:right w:val="nil"/>
            </w:tcBorders>
            <w:shd w:val="clear" w:color="auto" w:fill="auto"/>
            <w:noWrap/>
            <w:hideMark/>
          </w:tcPr>
          <w:p w14:paraId="63DBE3A2" w14:textId="77777777" w:rsidR="001D5D76" w:rsidRPr="00A67C76" w:rsidRDefault="001D5D76" w:rsidP="00A46989">
            <w:pPr>
              <w:spacing w:line="240" w:lineRule="auto"/>
              <w:contextualSpacing/>
              <w:rPr>
                <w:rFonts w:cs="Calibri"/>
                <w:b/>
                <w:bCs/>
                <w:color w:val="E46D0A"/>
              </w:rPr>
            </w:pPr>
            <w:r w:rsidRPr="00A67C76">
              <w:rPr>
                <w:rFonts w:cs="Calibri"/>
                <w:b/>
                <w:bCs/>
                <w:color w:val="E46D0A"/>
              </w:rPr>
              <w:t>CEW</w:t>
            </w:r>
          </w:p>
        </w:tc>
        <w:tc>
          <w:tcPr>
            <w:tcW w:w="7886" w:type="dxa"/>
            <w:tcBorders>
              <w:top w:val="nil"/>
              <w:left w:val="nil"/>
              <w:bottom w:val="nil"/>
              <w:right w:val="nil"/>
            </w:tcBorders>
            <w:shd w:val="clear" w:color="auto" w:fill="auto"/>
            <w:noWrap/>
            <w:hideMark/>
          </w:tcPr>
          <w:p w14:paraId="05B8A123" w14:textId="7079CC82" w:rsidR="001D5D76" w:rsidRPr="00A67C76" w:rsidRDefault="00D473AC" w:rsidP="00A46989">
            <w:pPr>
              <w:spacing w:line="240" w:lineRule="auto"/>
              <w:contextualSpacing/>
              <w:rPr>
                <w:rFonts w:cs="Calibri"/>
              </w:rPr>
            </w:pPr>
            <w:r>
              <w:rPr>
                <w:rFonts w:cs="Calibri"/>
              </w:rPr>
              <w:t>Commonwealth environmental w</w:t>
            </w:r>
            <w:r w:rsidR="001D5D76" w:rsidRPr="00A67C76">
              <w:rPr>
                <w:rFonts w:cs="Calibri"/>
              </w:rPr>
              <w:t>ater</w:t>
            </w:r>
          </w:p>
        </w:tc>
      </w:tr>
      <w:tr w:rsidR="00D473AC" w:rsidRPr="00A67C76" w14:paraId="37342C2F" w14:textId="77777777" w:rsidTr="00A46989">
        <w:trPr>
          <w:trHeight w:val="300"/>
        </w:trPr>
        <w:tc>
          <w:tcPr>
            <w:tcW w:w="1043" w:type="dxa"/>
            <w:tcBorders>
              <w:top w:val="nil"/>
              <w:left w:val="nil"/>
              <w:bottom w:val="nil"/>
              <w:right w:val="nil"/>
            </w:tcBorders>
            <w:shd w:val="clear" w:color="auto" w:fill="auto"/>
            <w:noWrap/>
          </w:tcPr>
          <w:p w14:paraId="5D784DFE" w14:textId="678FDED0" w:rsidR="00D473AC" w:rsidRPr="00A67C76" w:rsidRDefault="00D473AC" w:rsidP="00A46989">
            <w:pPr>
              <w:spacing w:line="240" w:lineRule="auto"/>
              <w:contextualSpacing/>
              <w:rPr>
                <w:rFonts w:cs="Calibri"/>
                <w:b/>
                <w:bCs/>
                <w:color w:val="E46D0A"/>
              </w:rPr>
            </w:pPr>
            <w:r>
              <w:rPr>
                <w:rFonts w:cs="Calibri"/>
                <w:b/>
                <w:bCs/>
                <w:color w:val="E46D0A"/>
              </w:rPr>
              <w:t>CEWH</w:t>
            </w:r>
          </w:p>
        </w:tc>
        <w:tc>
          <w:tcPr>
            <w:tcW w:w="7886" w:type="dxa"/>
            <w:tcBorders>
              <w:top w:val="nil"/>
              <w:left w:val="nil"/>
              <w:bottom w:val="nil"/>
              <w:right w:val="nil"/>
            </w:tcBorders>
            <w:shd w:val="clear" w:color="auto" w:fill="auto"/>
            <w:noWrap/>
          </w:tcPr>
          <w:p w14:paraId="6B5501D5" w14:textId="4497B442" w:rsidR="00D473AC" w:rsidRPr="00A67C76" w:rsidRDefault="00D473AC" w:rsidP="00A46989">
            <w:pPr>
              <w:spacing w:line="240" w:lineRule="auto"/>
              <w:contextualSpacing/>
              <w:rPr>
                <w:rFonts w:cs="Calibri"/>
              </w:rPr>
            </w:pPr>
            <w:r w:rsidRPr="00A67C76">
              <w:rPr>
                <w:rFonts w:cs="Calibri"/>
              </w:rPr>
              <w:t>Commonwealth Environmental Water</w:t>
            </w:r>
            <w:r>
              <w:rPr>
                <w:rFonts w:cs="Calibri"/>
              </w:rPr>
              <w:t xml:space="preserve"> Holder</w:t>
            </w:r>
          </w:p>
        </w:tc>
      </w:tr>
      <w:tr w:rsidR="00A22853" w:rsidRPr="00A67C76" w14:paraId="3ADA5DB2" w14:textId="77777777" w:rsidTr="00A46989">
        <w:trPr>
          <w:trHeight w:val="300"/>
        </w:trPr>
        <w:tc>
          <w:tcPr>
            <w:tcW w:w="1043" w:type="dxa"/>
            <w:tcBorders>
              <w:top w:val="nil"/>
              <w:left w:val="nil"/>
              <w:bottom w:val="nil"/>
              <w:right w:val="nil"/>
            </w:tcBorders>
            <w:shd w:val="clear" w:color="auto" w:fill="auto"/>
            <w:noWrap/>
          </w:tcPr>
          <w:p w14:paraId="04787213" w14:textId="77777777" w:rsidR="00A22853" w:rsidRPr="00A67C76" w:rsidRDefault="00A22853" w:rsidP="00A46989">
            <w:pPr>
              <w:spacing w:line="240" w:lineRule="auto"/>
              <w:contextualSpacing/>
              <w:rPr>
                <w:rFonts w:cs="Calibri"/>
                <w:b/>
                <w:bCs/>
                <w:color w:val="E46D0A"/>
              </w:rPr>
            </w:pPr>
            <w:r>
              <w:rPr>
                <w:rFonts w:cs="Calibri"/>
                <w:b/>
                <w:bCs/>
                <w:color w:val="E46D0A"/>
              </w:rPr>
              <w:t>CEWO</w:t>
            </w:r>
          </w:p>
        </w:tc>
        <w:tc>
          <w:tcPr>
            <w:tcW w:w="7886" w:type="dxa"/>
            <w:tcBorders>
              <w:top w:val="nil"/>
              <w:left w:val="nil"/>
              <w:bottom w:val="nil"/>
              <w:right w:val="nil"/>
            </w:tcBorders>
            <w:shd w:val="clear" w:color="auto" w:fill="auto"/>
            <w:noWrap/>
          </w:tcPr>
          <w:p w14:paraId="1BBCF39C" w14:textId="77777777" w:rsidR="00A22853" w:rsidRPr="00A67C76" w:rsidRDefault="00A22853" w:rsidP="00A46989">
            <w:pPr>
              <w:spacing w:line="240" w:lineRule="auto"/>
              <w:contextualSpacing/>
              <w:rPr>
                <w:rFonts w:cs="Calibri"/>
              </w:rPr>
            </w:pPr>
            <w:r>
              <w:rPr>
                <w:rFonts w:cs="Calibri"/>
              </w:rPr>
              <w:t>Commonwealth Environmental Water Office</w:t>
            </w:r>
          </w:p>
        </w:tc>
      </w:tr>
      <w:tr w:rsidR="000F724C" w:rsidRPr="00A67C76" w14:paraId="6C1B5A3C" w14:textId="77777777" w:rsidTr="00A46989">
        <w:trPr>
          <w:trHeight w:val="300"/>
        </w:trPr>
        <w:tc>
          <w:tcPr>
            <w:tcW w:w="1043" w:type="dxa"/>
            <w:tcBorders>
              <w:top w:val="nil"/>
              <w:left w:val="nil"/>
              <w:bottom w:val="nil"/>
              <w:right w:val="nil"/>
            </w:tcBorders>
            <w:shd w:val="clear" w:color="auto" w:fill="auto"/>
            <w:noWrap/>
          </w:tcPr>
          <w:p w14:paraId="66494E14" w14:textId="77777777" w:rsidR="000F724C" w:rsidRPr="00A67C76" w:rsidRDefault="000F724C" w:rsidP="00A46989">
            <w:pPr>
              <w:spacing w:line="240" w:lineRule="auto"/>
              <w:contextualSpacing/>
              <w:rPr>
                <w:rFonts w:cs="Calibri"/>
                <w:b/>
                <w:bCs/>
                <w:color w:val="E46D0A"/>
              </w:rPr>
            </w:pPr>
            <w:r w:rsidRPr="00A67C76">
              <w:rPr>
                <w:rFonts w:cs="Calibri"/>
                <w:b/>
                <w:bCs/>
                <w:color w:val="E46D0A"/>
              </w:rPr>
              <w:t>CSIRO</w:t>
            </w:r>
          </w:p>
        </w:tc>
        <w:tc>
          <w:tcPr>
            <w:tcW w:w="7886" w:type="dxa"/>
            <w:tcBorders>
              <w:top w:val="nil"/>
              <w:left w:val="nil"/>
              <w:bottom w:val="nil"/>
              <w:right w:val="nil"/>
            </w:tcBorders>
            <w:shd w:val="clear" w:color="auto" w:fill="auto"/>
            <w:noWrap/>
          </w:tcPr>
          <w:p w14:paraId="25453BFF" w14:textId="77777777" w:rsidR="000F724C" w:rsidRPr="00A67C76" w:rsidRDefault="000F724C" w:rsidP="00A46989">
            <w:pPr>
              <w:spacing w:line="240" w:lineRule="auto"/>
              <w:contextualSpacing/>
              <w:rPr>
                <w:rFonts w:cs="Calibri"/>
              </w:rPr>
            </w:pPr>
            <w:r w:rsidRPr="00A67C76">
              <w:rPr>
                <w:rFonts w:cs="Calibri"/>
              </w:rPr>
              <w:t>Commonwealth Scientific and Industrial Research Organisation</w:t>
            </w:r>
          </w:p>
        </w:tc>
      </w:tr>
      <w:tr w:rsidR="000F724C" w:rsidRPr="00A67C76" w14:paraId="50B73427" w14:textId="77777777" w:rsidTr="00A46989">
        <w:trPr>
          <w:trHeight w:val="300"/>
        </w:trPr>
        <w:tc>
          <w:tcPr>
            <w:tcW w:w="1043" w:type="dxa"/>
            <w:tcBorders>
              <w:top w:val="nil"/>
              <w:left w:val="nil"/>
              <w:bottom w:val="nil"/>
              <w:right w:val="nil"/>
            </w:tcBorders>
            <w:shd w:val="clear" w:color="auto" w:fill="auto"/>
            <w:noWrap/>
          </w:tcPr>
          <w:p w14:paraId="70619D44" w14:textId="77777777" w:rsidR="000F724C" w:rsidRPr="00A67C76" w:rsidRDefault="000F724C" w:rsidP="00A46989">
            <w:pPr>
              <w:spacing w:line="240" w:lineRule="auto"/>
              <w:contextualSpacing/>
              <w:rPr>
                <w:rFonts w:cs="Calibri"/>
                <w:b/>
                <w:bCs/>
                <w:color w:val="E46D0A"/>
              </w:rPr>
            </w:pPr>
            <w:r w:rsidRPr="00A67C76">
              <w:rPr>
                <w:rFonts w:cs="Calibri"/>
                <w:b/>
                <w:bCs/>
                <w:color w:val="E46D0A"/>
              </w:rPr>
              <w:t>DEWNR</w:t>
            </w:r>
          </w:p>
        </w:tc>
        <w:tc>
          <w:tcPr>
            <w:tcW w:w="7886" w:type="dxa"/>
            <w:tcBorders>
              <w:top w:val="nil"/>
              <w:left w:val="nil"/>
              <w:bottom w:val="nil"/>
              <w:right w:val="nil"/>
            </w:tcBorders>
            <w:shd w:val="clear" w:color="auto" w:fill="auto"/>
            <w:noWrap/>
          </w:tcPr>
          <w:p w14:paraId="6BDB2213" w14:textId="77777777" w:rsidR="000F724C" w:rsidRPr="00A67C76" w:rsidRDefault="000F724C" w:rsidP="00A46989">
            <w:pPr>
              <w:spacing w:line="240" w:lineRule="auto"/>
              <w:contextualSpacing/>
              <w:rPr>
                <w:rFonts w:cs="Calibri"/>
              </w:rPr>
            </w:pPr>
            <w:r w:rsidRPr="00A67C76">
              <w:rPr>
                <w:rFonts w:cs="Calibri"/>
              </w:rPr>
              <w:t>Department of Environment, Water and Natural Resources</w:t>
            </w:r>
          </w:p>
        </w:tc>
      </w:tr>
      <w:tr w:rsidR="000F724C" w:rsidRPr="00A67C76" w14:paraId="09621FDC" w14:textId="77777777" w:rsidTr="00A46989">
        <w:trPr>
          <w:trHeight w:val="300"/>
        </w:trPr>
        <w:tc>
          <w:tcPr>
            <w:tcW w:w="1043" w:type="dxa"/>
            <w:tcBorders>
              <w:top w:val="nil"/>
              <w:left w:val="nil"/>
              <w:bottom w:val="nil"/>
              <w:right w:val="nil"/>
            </w:tcBorders>
            <w:shd w:val="clear" w:color="auto" w:fill="auto"/>
            <w:noWrap/>
          </w:tcPr>
          <w:p w14:paraId="1F58A2BF" w14:textId="77777777" w:rsidR="000F724C" w:rsidRDefault="000F724C" w:rsidP="00A46989">
            <w:pPr>
              <w:spacing w:line="240" w:lineRule="auto"/>
              <w:contextualSpacing/>
              <w:rPr>
                <w:rFonts w:cs="Calibri"/>
                <w:b/>
                <w:bCs/>
                <w:color w:val="E46D0A"/>
              </w:rPr>
            </w:pPr>
            <w:r>
              <w:rPr>
                <w:rFonts w:cs="Calibri"/>
                <w:b/>
                <w:bCs/>
                <w:color w:val="E46D0A"/>
              </w:rPr>
              <w:t>LMR</w:t>
            </w:r>
          </w:p>
        </w:tc>
        <w:tc>
          <w:tcPr>
            <w:tcW w:w="7886" w:type="dxa"/>
            <w:tcBorders>
              <w:top w:val="nil"/>
              <w:left w:val="nil"/>
              <w:bottom w:val="nil"/>
              <w:right w:val="nil"/>
            </w:tcBorders>
            <w:shd w:val="clear" w:color="auto" w:fill="auto"/>
            <w:noWrap/>
          </w:tcPr>
          <w:p w14:paraId="2668466A" w14:textId="79BBEC59" w:rsidR="000F724C" w:rsidRDefault="000F724C" w:rsidP="004D4FD0">
            <w:pPr>
              <w:spacing w:line="240" w:lineRule="auto"/>
              <w:contextualSpacing/>
              <w:rPr>
                <w:rFonts w:cs="Calibri"/>
              </w:rPr>
            </w:pPr>
            <w:r>
              <w:rPr>
                <w:rFonts w:cs="Calibri"/>
              </w:rPr>
              <w:t>Lower Murray River</w:t>
            </w:r>
            <w:r w:rsidR="00D22E4C">
              <w:rPr>
                <w:rFonts w:cs="Calibri"/>
              </w:rPr>
              <w:t xml:space="preserve"> (</w:t>
            </w:r>
            <w:r w:rsidR="005106B5">
              <w:rPr>
                <w:rFonts w:cs="Calibri"/>
              </w:rPr>
              <w:t>South Australian</w:t>
            </w:r>
            <w:r w:rsidR="00D22E4C">
              <w:rPr>
                <w:rFonts w:cs="Calibri"/>
              </w:rPr>
              <w:t xml:space="preserve"> </w:t>
            </w:r>
            <w:r w:rsidR="005106B5">
              <w:rPr>
                <w:rFonts w:cs="Calibri"/>
              </w:rPr>
              <w:t>s</w:t>
            </w:r>
            <w:r w:rsidR="00D22E4C">
              <w:rPr>
                <w:rFonts w:cs="Calibri"/>
              </w:rPr>
              <w:t>ection of the Murray</w:t>
            </w:r>
            <w:r w:rsidR="004D4FD0">
              <w:rPr>
                <w:rFonts w:cs="Calibri"/>
              </w:rPr>
              <w:t xml:space="preserve"> River)</w:t>
            </w:r>
            <w:r w:rsidR="00D22E4C">
              <w:rPr>
                <w:rFonts w:cs="Calibri"/>
              </w:rPr>
              <w:t>.</w:t>
            </w:r>
          </w:p>
        </w:tc>
      </w:tr>
      <w:tr w:rsidR="000F724C" w:rsidRPr="00A67C76" w14:paraId="7BCCBAF3" w14:textId="77777777" w:rsidTr="00A46989">
        <w:trPr>
          <w:trHeight w:val="300"/>
        </w:trPr>
        <w:tc>
          <w:tcPr>
            <w:tcW w:w="1043" w:type="dxa"/>
            <w:tcBorders>
              <w:top w:val="nil"/>
              <w:left w:val="nil"/>
              <w:bottom w:val="nil"/>
              <w:right w:val="nil"/>
            </w:tcBorders>
            <w:shd w:val="clear" w:color="auto" w:fill="auto"/>
            <w:noWrap/>
          </w:tcPr>
          <w:p w14:paraId="146CFC1D" w14:textId="77777777" w:rsidR="000F724C" w:rsidRDefault="000F724C" w:rsidP="00A46989">
            <w:pPr>
              <w:spacing w:line="240" w:lineRule="auto"/>
              <w:contextualSpacing/>
              <w:rPr>
                <w:rFonts w:cs="Calibri"/>
                <w:b/>
                <w:bCs/>
                <w:color w:val="E46D0A"/>
              </w:rPr>
            </w:pPr>
            <w:r>
              <w:rPr>
                <w:rFonts w:cs="Calibri"/>
                <w:b/>
                <w:bCs/>
                <w:color w:val="E46D0A"/>
              </w:rPr>
              <w:t>LTIM</w:t>
            </w:r>
          </w:p>
        </w:tc>
        <w:tc>
          <w:tcPr>
            <w:tcW w:w="7886" w:type="dxa"/>
            <w:tcBorders>
              <w:top w:val="nil"/>
              <w:left w:val="nil"/>
              <w:bottom w:val="nil"/>
              <w:right w:val="nil"/>
            </w:tcBorders>
            <w:shd w:val="clear" w:color="auto" w:fill="auto"/>
            <w:noWrap/>
          </w:tcPr>
          <w:p w14:paraId="34109910" w14:textId="77777777" w:rsidR="000F724C" w:rsidRDefault="000F724C" w:rsidP="00A46989">
            <w:pPr>
              <w:spacing w:line="240" w:lineRule="auto"/>
              <w:contextualSpacing/>
              <w:rPr>
                <w:rFonts w:cs="Calibri"/>
              </w:rPr>
            </w:pPr>
            <w:r>
              <w:rPr>
                <w:rFonts w:cs="Calibri"/>
              </w:rPr>
              <w:t>Long-Term Intervention Monitoring</w:t>
            </w:r>
          </w:p>
        </w:tc>
      </w:tr>
      <w:tr w:rsidR="000F724C" w:rsidRPr="00A67C76" w14:paraId="75B84541" w14:textId="77777777" w:rsidTr="00A46989">
        <w:trPr>
          <w:trHeight w:val="300"/>
        </w:trPr>
        <w:tc>
          <w:tcPr>
            <w:tcW w:w="1043" w:type="dxa"/>
            <w:tcBorders>
              <w:top w:val="nil"/>
              <w:left w:val="nil"/>
              <w:bottom w:val="nil"/>
              <w:right w:val="nil"/>
            </w:tcBorders>
            <w:shd w:val="clear" w:color="auto" w:fill="auto"/>
            <w:noWrap/>
          </w:tcPr>
          <w:p w14:paraId="782CE8B2" w14:textId="77777777" w:rsidR="000F724C" w:rsidRDefault="000F724C" w:rsidP="00A46989">
            <w:pPr>
              <w:spacing w:line="240" w:lineRule="auto"/>
              <w:contextualSpacing/>
              <w:rPr>
                <w:rFonts w:cs="Calibri"/>
                <w:b/>
                <w:bCs/>
                <w:color w:val="E46D0A"/>
              </w:rPr>
            </w:pPr>
            <w:r>
              <w:rPr>
                <w:rFonts w:cs="Calibri"/>
                <w:b/>
                <w:bCs/>
                <w:color w:val="E46D0A"/>
              </w:rPr>
              <w:t>M&amp;E</w:t>
            </w:r>
          </w:p>
        </w:tc>
        <w:tc>
          <w:tcPr>
            <w:tcW w:w="7886" w:type="dxa"/>
            <w:tcBorders>
              <w:top w:val="nil"/>
              <w:left w:val="nil"/>
              <w:bottom w:val="nil"/>
              <w:right w:val="nil"/>
            </w:tcBorders>
            <w:shd w:val="clear" w:color="auto" w:fill="auto"/>
            <w:noWrap/>
          </w:tcPr>
          <w:p w14:paraId="6DE7EE92" w14:textId="77777777" w:rsidR="000F724C" w:rsidRDefault="000F724C" w:rsidP="00A46989">
            <w:pPr>
              <w:spacing w:line="240" w:lineRule="auto"/>
              <w:contextualSpacing/>
              <w:rPr>
                <w:rFonts w:cs="Calibri"/>
              </w:rPr>
            </w:pPr>
            <w:r>
              <w:rPr>
                <w:rFonts w:cs="Calibri"/>
              </w:rPr>
              <w:t>Monitoring and Evaluation</w:t>
            </w:r>
          </w:p>
        </w:tc>
      </w:tr>
      <w:tr w:rsidR="000F724C" w:rsidRPr="00A67C76" w14:paraId="4DC778E8" w14:textId="77777777" w:rsidTr="00A46989">
        <w:trPr>
          <w:trHeight w:val="300"/>
        </w:trPr>
        <w:tc>
          <w:tcPr>
            <w:tcW w:w="1043" w:type="dxa"/>
            <w:tcBorders>
              <w:top w:val="nil"/>
              <w:left w:val="nil"/>
              <w:bottom w:val="nil"/>
              <w:right w:val="nil"/>
            </w:tcBorders>
            <w:shd w:val="clear" w:color="auto" w:fill="auto"/>
            <w:noWrap/>
            <w:hideMark/>
          </w:tcPr>
          <w:p w14:paraId="3945D64F" w14:textId="77777777" w:rsidR="000F724C" w:rsidRPr="00A67C76" w:rsidRDefault="000F724C" w:rsidP="00A46989">
            <w:pPr>
              <w:spacing w:line="240" w:lineRule="auto"/>
              <w:contextualSpacing/>
              <w:rPr>
                <w:rFonts w:cs="Calibri"/>
                <w:b/>
                <w:bCs/>
                <w:color w:val="E46D0A"/>
              </w:rPr>
            </w:pPr>
            <w:r w:rsidRPr="00A67C76">
              <w:rPr>
                <w:rFonts w:cs="Calibri"/>
                <w:b/>
                <w:bCs/>
                <w:color w:val="E46D0A"/>
              </w:rPr>
              <w:t>MDB</w:t>
            </w:r>
          </w:p>
        </w:tc>
        <w:tc>
          <w:tcPr>
            <w:tcW w:w="7886" w:type="dxa"/>
            <w:tcBorders>
              <w:top w:val="nil"/>
              <w:left w:val="nil"/>
              <w:bottom w:val="nil"/>
              <w:right w:val="nil"/>
            </w:tcBorders>
            <w:shd w:val="clear" w:color="auto" w:fill="auto"/>
            <w:noWrap/>
            <w:hideMark/>
          </w:tcPr>
          <w:p w14:paraId="473B6CBD" w14:textId="77777777" w:rsidR="000F724C" w:rsidRPr="00A67C76" w:rsidRDefault="000F724C" w:rsidP="00A46989">
            <w:pPr>
              <w:spacing w:line="240" w:lineRule="auto"/>
              <w:contextualSpacing/>
              <w:rPr>
                <w:rFonts w:cs="Calibri"/>
              </w:rPr>
            </w:pPr>
            <w:r w:rsidRPr="00A67C76">
              <w:rPr>
                <w:rFonts w:cs="Calibri"/>
              </w:rPr>
              <w:t>Murray</w:t>
            </w:r>
            <w:r w:rsidR="009935B6">
              <w:rPr>
                <w:rFonts w:cs="Calibri"/>
              </w:rPr>
              <w:t>–</w:t>
            </w:r>
            <w:r w:rsidRPr="00A67C76">
              <w:rPr>
                <w:rFonts w:cs="Calibri"/>
              </w:rPr>
              <w:t>Darling Basin</w:t>
            </w:r>
          </w:p>
        </w:tc>
      </w:tr>
      <w:tr w:rsidR="00873AE8" w:rsidRPr="00A67C76" w14:paraId="04345EA9" w14:textId="77777777" w:rsidTr="00A46989">
        <w:trPr>
          <w:trHeight w:val="300"/>
        </w:trPr>
        <w:tc>
          <w:tcPr>
            <w:tcW w:w="1043" w:type="dxa"/>
            <w:tcBorders>
              <w:top w:val="nil"/>
              <w:left w:val="nil"/>
              <w:bottom w:val="nil"/>
              <w:right w:val="nil"/>
            </w:tcBorders>
            <w:shd w:val="clear" w:color="auto" w:fill="auto"/>
            <w:noWrap/>
          </w:tcPr>
          <w:p w14:paraId="1BA84E17" w14:textId="682037BC" w:rsidR="00873AE8" w:rsidRPr="00A67C76" w:rsidRDefault="00873AE8" w:rsidP="00A46989">
            <w:pPr>
              <w:spacing w:line="240" w:lineRule="auto"/>
              <w:contextualSpacing/>
              <w:rPr>
                <w:rFonts w:cs="Calibri"/>
                <w:b/>
                <w:bCs/>
                <w:color w:val="E46D0A"/>
              </w:rPr>
            </w:pPr>
            <w:r>
              <w:rPr>
                <w:rFonts w:cs="Calibri"/>
                <w:b/>
                <w:bCs/>
                <w:color w:val="E46D0A"/>
              </w:rPr>
              <w:t>NPL</w:t>
            </w:r>
          </w:p>
        </w:tc>
        <w:tc>
          <w:tcPr>
            <w:tcW w:w="7886" w:type="dxa"/>
            <w:tcBorders>
              <w:top w:val="nil"/>
              <w:left w:val="nil"/>
              <w:bottom w:val="nil"/>
              <w:right w:val="nil"/>
            </w:tcBorders>
            <w:shd w:val="clear" w:color="auto" w:fill="auto"/>
            <w:noWrap/>
          </w:tcPr>
          <w:p w14:paraId="22C89622" w14:textId="370705EF" w:rsidR="00873AE8" w:rsidRPr="00A67C76" w:rsidRDefault="00873AE8" w:rsidP="00A46989">
            <w:pPr>
              <w:spacing w:line="240" w:lineRule="auto"/>
              <w:contextualSpacing/>
              <w:rPr>
                <w:rFonts w:cs="Calibri"/>
              </w:rPr>
            </w:pPr>
            <w:r>
              <w:rPr>
                <w:rFonts w:cs="Calibri"/>
              </w:rPr>
              <w:t>Normal pool level</w:t>
            </w:r>
          </w:p>
        </w:tc>
      </w:tr>
      <w:tr w:rsidR="00C95D6E" w:rsidRPr="00A67C76" w14:paraId="187EE282" w14:textId="77777777" w:rsidTr="00A46989">
        <w:trPr>
          <w:trHeight w:val="300"/>
        </w:trPr>
        <w:tc>
          <w:tcPr>
            <w:tcW w:w="1043" w:type="dxa"/>
            <w:tcBorders>
              <w:top w:val="nil"/>
              <w:left w:val="nil"/>
              <w:bottom w:val="nil"/>
              <w:right w:val="nil"/>
            </w:tcBorders>
            <w:shd w:val="clear" w:color="auto" w:fill="auto"/>
            <w:noWrap/>
            <w:hideMark/>
          </w:tcPr>
          <w:p w14:paraId="78764BD9" w14:textId="3844EC4F" w:rsidR="00C95D6E" w:rsidRPr="00A67C76" w:rsidRDefault="00C95D6E" w:rsidP="00C95D6E">
            <w:pPr>
              <w:spacing w:line="240" w:lineRule="auto"/>
              <w:contextualSpacing/>
              <w:rPr>
                <w:rFonts w:cs="Calibri"/>
                <w:b/>
                <w:bCs/>
                <w:color w:val="E46D0A"/>
              </w:rPr>
            </w:pPr>
            <w:r>
              <w:rPr>
                <w:rFonts w:cs="Calibri"/>
                <w:b/>
                <w:bCs/>
                <w:color w:val="E46D0A"/>
              </w:rPr>
              <w:t>PSU</w:t>
            </w:r>
          </w:p>
        </w:tc>
        <w:tc>
          <w:tcPr>
            <w:tcW w:w="7886" w:type="dxa"/>
            <w:tcBorders>
              <w:top w:val="nil"/>
              <w:left w:val="nil"/>
              <w:bottom w:val="nil"/>
              <w:right w:val="nil"/>
            </w:tcBorders>
            <w:shd w:val="clear" w:color="auto" w:fill="auto"/>
            <w:noWrap/>
            <w:hideMark/>
          </w:tcPr>
          <w:p w14:paraId="6D48AF6D" w14:textId="268A976C" w:rsidR="00C95D6E" w:rsidRPr="00A67C76" w:rsidRDefault="00C95D6E" w:rsidP="00C95D6E">
            <w:pPr>
              <w:spacing w:line="240" w:lineRule="auto"/>
              <w:contextualSpacing/>
              <w:rPr>
                <w:rFonts w:cs="Calibri"/>
              </w:rPr>
            </w:pPr>
            <w:r>
              <w:rPr>
                <w:rFonts w:cs="Calibri"/>
              </w:rPr>
              <w:t>Practical salinity units</w:t>
            </w:r>
          </w:p>
        </w:tc>
      </w:tr>
      <w:tr w:rsidR="00C95D6E" w:rsidRPr="00A67C76" w14:paraId="4CBB0876" w14:textId="77777777" w:rsidTr="00A46989">
        <w:trPr>
          <w:trHeight w:val="300"/>
        </w:trPr>
        <w:tc>
          <w:tcPr>
            <w:tcW w:w="1043" w:type="dxa"/>
            <w:tcBorders>
              <w:top w:val="nil"/>
              <w:left w:val="nil"/>
              <w:bottom w:val="nil"/>
              <w:right w:val="nil"/>
            </w:tcBorders>
            <w:shd w:val="clear" w:color="auto" w:fill="auto"/>
            <w:noWrap/>
            <w:hideMark/>
          </w:tcPr>
          <w:p w14:paraId="56C45D15" w14:textId="77777777" w:rsidR="00C95D6E" w:rsidRPr="00A67C76" w:rsidRDefault="00C95D6E" w:rsidP="00C95D6E">
            <w:pPr>
              <w:spacing w:line="240" w:lineRule="auto"/>
              <w:contextualSpacing/>
              <w:rPr>
                <w:rFonts w:cs="Calibri"/>
                <w:b/>
                <w:bCs/>
                <w:color w:val="E46D0A"/>
              </w:rPr>
            </w:pPr>
            <w:r w:rsidRPr="00A67C76">
              <w:rPr>
                <w:rFonts w:cs="Calibri"/>
                <w:b/>
                <w:bCs/>
                <w:color w:val="E46D0A"/>
              </w:rPr>
              <w:t>TL</w:t>
            </w:r>
          </w:p>
        </w:tc>
        <w:tc>
          <w:tcPr>
            <w:tcW w:w="7886" w:type="dxa"/>
            <w:tcBorders>
              <w:top w:val="nil"/>
              <w:left w:val="nil"/>
              <w:bottom w:val="nil"/>
              <w:right w:val="nil"/>
            </w:tcBorders>
            <w:shd w:val="clear" w:color="auto" w:fill="auto"/>
            <w:noWrap/>
            <w:hideMark/>
          </w:tcPr>
          <w:p w14:paraId="4633CFE3" w14:textId="77777777" w:rsidR="00C95D6E" w:rsidRPr="00A67C76" w:rsidRDefault="00C95D6E" w:rsidP="00C95D6E">
            <w:pPr>
              <w:spacing w:line="240" w:lineRule="auto"/>
              <w:contextualSpacing/>
              <w:rPr>
                <w:rFonts w:cs="Calibri"/>
              </w:rPr>
            </w:pPr>
            <w:r w:rsidRPr="00A67C76">
              <w:rPr>
                <w:rFonts w:cs="Calibri"/>
              </w:rPr>
              <w:t>Total length</w:t>
            </w:r>
          </w:p>
        </w:tc>
      </w:tr>
      <w:tr w:rsidR="00C95D6E" w:rsidRPr="00A67C76" w14:paraId="4C68EB65" w14:textId="77777777" w:rsidTr="00A46989">
        <w:trPr>
          <w:trHeight w:val="300"/>
        </w:trPr>
        <w:tc>
          <w:tcPr>
            <w:tcW w:w="1043" w:type="dxa"/>
            <w:tcBorders>
              <w:top w:val="nil"/>
              <w:left w:val="nil"/>
              <w:bottom w:val="nil"/>
              <w:right w:val="nil"/>
            </w:tcBorders>
            <w:shd w:val="clear" w:color="auto" w:fill="auto"/>
            <w:noWrap/>
          </w:tcPr>
          <w:p w14:paraId="270BAB05" w14:textId="701B6245" w:rsidR="00C95D6E" w:rsidRPr="00A67C76" w:rsidRDefault="00C95D6E" w:rsidP="00C95D6E">
            <w:pPr>
              <w:spacing w:line="240" w:lineRule="auto"/>
              <w:contextualSpacing/>
              <w:rPr>
                <w:rFonts w:cs="Calibri"/>
                <w:b/>
                <w:bCs/>
                <w:color w:val="E46D0A"/>
              </w:rPr>
            </w:pPr>
            <w:r>
              <w:rPr>
                <w:rFonts w:cs="Calibri"/>
                <w:b/>
                <w:bCs/>
                <w:color w:val="E46D0A"/>
              </w:rPr>
              <w:t>TLM</w:t>
            </w:r>
          </w:p>
        </w:tc>
        <w:tc>
          <w:tcPr>
            <w:tcW w:w="7886" w:type="dxa"/>
            <w:tcBorders>
              <w:top w:val="nil"/>
              <w:left w:val="nil"/>
              <w:bottom w:val="nil"/>
              <w:right w:val="nil"/>
            </w:tcBorders>
            <w:shd w:val="clear" w:color="auto" w:fill="auto"/>
            <w:noWrap/>
          </w:tcPr>
          <w:p w14:paraId="05ACACAC" w14:textId="6595F670" w:rsidR="00C95D6E" w:rsidRPr="00A67C76" w:rsidRDefault="00C95D6E" w:rsidP="00C95D6E">
            <w:pPr>
              <w:spacing w:line="240" w:lineRule="auto"/>
              <w:contextualSpacing/>
              <w:rPr>
                <w:rFonts w:cs="Calibri"/>
              </w:rPr>
            </w:pPr>
            <w:r>
              <w:rPr>
                <w:rFonts w:cs="Calibri"/>
              </w:rPr>
              <w:t>The Living Murray</w:t>
            </w:r>
          </w:p>
        </w:tc>
      </w:tr>
      <w:tr w:rsidR="00C95D6E" w:rsidRPr="00A67C76" w14:paraId="0BD1066E" w14:textId="77777777" w:rsidTr="00A46989">
        <w:trPr>
          <w:trHeight w:val="300"/>
        </w:trPr>
        <w:tc>
          <w:tcPr>
            <w:tcW w:w="1043" w:type="dxa"/>
            <w:tcBorders>
              <w:top w:val="nil"/>
              <w:left w:val="nil"/>
              <w:bottom w:val="nil"/>
              <w:right w:val="nil"/>
            </w:tcBorders>
            <w:shd w:val="clear" w:color="auto" w:fill="auto"/>
            <w:noWrap/>
          </w:tcPr>
          <w:p w14:paraId="720977F0" w14:textId="6CF072B7" w:rsidR="00C95D6E" w:rsidRDefault="00C95D6E" w:rsidP="00C95D6E">
            <w:pPr>
              <w:spacing w:line="240" w:lineRule="auto"/>
              <w:contextualSpacing/>
              <w:rPr>
                <w:rFonts w:cs="Calibri"/>
                <w:b/>
                <w:bCs/>
                <w:color w:val="E46D0A"/>
              </w:rPr>
            </w:pPr>
            <w:r>
              <w:rPr>
                <w:rFonts w:cs="Calibri"/>
                <w:b/>
                <w:bCs/>
                <w:color w:val="E46D0A"/>
              </w:rPr>
              <w:t>VEWH</w:t>
            </w:r>
          </w:p>
        </w:tc>
        <w:tc>
          <w:tcPr>
            <w:tcW w:w="7886" w:type="dxa"/>
            <w:tcBorders>
              <w:top w:val="nil"/>
              <w:left w:val="nil"/>
              <w:bottom w:val="nil"/>
              <w:right w:val="nil"/>
            </w:tcBorders>
            <w:shd w:val="clear" w:color="auto" w:fill="auto"/>
            <w:noWrap/>
          </w:tcPr>
          <w:p w14:paraId="704B177D" w14:textId="5F6DBEA1" w:rsidR="00C95D6E" w:rsidRDefault="00C95D6E" w:rsidP="00C95D6E">
            <w:pPr>
              <w:spacing w:line="240" w:lineRule="auto"/>
              <w:contextualSpacing/>
              <w:rPr>
                <w:rFonts w:cs="Calibri"/>
              </w:rPr>
            </w:pPr>
            <w:r>
              <w:rPr>
                <w:rFonts w:cs="Calibri"/>
              </w:rPr>
              <w:t>Victorian Environmental Water Holder</w:t>
            </w:r>
          </w:p>
        </w:tc>
      </w:tr>
      <w:tr w:rsidR="00C95D6E" w:rsidRPr="00A67C76" w14:paraId="48EB7ADE" w14:textId="77777777" w:rsidTr="00A46989">
        <w:trPr>
          <w:trHeight w:val="300"/>
        </w:trPr>
        <w:tc>
          <w:tcPr>
            <w:tcW w:w="1043" w:type="dxa"/>
            <w:tcBorders>
              <w:top w:val="nil"/>
              <w:left w:val="nil"/>
              <w:bottom w:val="nil"/>
              <w:right w:val="nil"/>
            </w:tcBorders>
            <w:shd w:val="clear" w:color="auto" w:fill="auto"/>
            <w:noWrap/>
          </w:tcPr>
          <w:p w14:paraId="4B337680" w14:textId="0CD5610E" w:rsidR="00C95D6E" w:rsidRDefault="00C95D6E" w:rsidP="00C95D6E">
            <w:pPr>
              <w:spacing w:line="240" w:lineRule="auto"/>
              <w:contextualSpacing/>
              <w:rPr>
                <w:rFonts w:cs="Calibri"/>
                <w:b/>
                <w:bCs/>
                <w:color w:val="E46D0A"/>
              </w:rPr>
            </w:pPr>
            <w:r>
              <w:rPr>
                <w:rFonts w:cs="Calibri"/>
                <w:b/>
                <w:bCs/>
                <w:color w:val="E46D0A"/>
              </w:rPr>
              <w:t>WPR</w:t>
            </w:r>
          </w:p>
        </w:tc>
        <w:tc>
          <w:tcPr>
            <w:tcW w:w="7886" w:type="dxa"/>
            <w:tcBorders>
              <w:top w:val="nil"/>
              <w:left w:val="nil"/>
              <w:bottom w:val="nil"/>
              <w:right w:val="nil"/>
            </w:tcBorders>
            <w:shd w:val="clear" w:color="auto" w:fill="auto"/>
            <w:noWrap/>
          </w:tcPr>
          <w:p w14:paraId="1055DC27" w14:textId="70F917B8" w:rsidR="00C95D6E" w:rsidRDefault="00C95D6E" w:rsidP="00C95D6E">
            <w:pPr>
              <w:spacing w:line="240" w:lineRule="auto"/>
              <w:contextualSpacing/>
              <w:rPr>
                <w:rFonts w:cs="Calibri"/>
              </w:rPr>
            </w:pPr>
            <w:r>
              <w:rPr>
                <w:rFonts w:cs="Calibri"/>
              </w:rPr>
              <w:t>Weir pool raising</w:t>
            </w:r>
          </w:p>
        </w:tc>
      </w:tr>
      <w:tr w:rsidR="00C95D6E" w:rsidRPr="00A67C76" w14:paraId="61768A32" w14:textId="77777777" w:rsidTr="00A46989">
        <w:trPr>
          <w:trHeight w:val="300"/>
        </w:trPr>
        <w:tc>
          <w:tcPr>
            <w:tcW w:w="1043" w:type="dxa"/>
            <w:tcBorders>
              <w:top w:val="nil"/>
              <w:left w:val="nil"/>
              <w:bottom w:val="nil"/>
              <w:right w:val="nil"/>
            </w:tcBorders>
            <w:shd w:val="clear" w:color="auto" w:fill="auto"/>
            <w:noWrap/>
          </w:tcPr>
          <w:p w14:paraId="3E407E45" w14:textId="77777777" w:rsidR="00C95D6E" w:rsidRPr="00A67C76" w:rsidRDefault="00C95D6E" w:rsidP="00C95D6E">
            <w:pPr>
              <w:spacing w:line="240" w:lineRule="auto"/>
              <w:contextualSpacing/>
              <w:rPr>
                <w:rFonts w:cs="Calibri"/>
                <w:b/>
                <w:bCs/>
                <w:color w:val="E46D0A"/>
              </w:rPr>
            </w:pPr>
            <w:r>
              <w:rPr>
                <w:rFonts w:cs="Calibri"/>
                <w:b/>
                <w:bCs/>
                <w:color w:val="E46D0A"/>
              </w:rPr>
              <w:t>YOY</w:t>
            </w:r>
          </w:p>
        </w:tc>
        <w:tc>
          <w:tcPr>
            <w:tcW w:w="7886" w:type="dxa"/>
            <w:tcBorders>
              <w:top w:val="nil"/>
              <w:left w:val="nil"/>
              <w:bottom w:val="nil"/>
              <w:right w:val="nil"/>
            </w:tcBorders>
            <w:shd w:val="clear" w:color="auto" w:fill="auto"/>
            <w:noWrap/>
          </w:tcPr>
          <w:p w14:paraId="4B38EA04" w14:textId="77777777" w:rsidR="00C95D6E" w:rsidRPr="00A67C76" w:rsidRDefault="00C95D6E" w:rsidP="00C95D6E">
            <w:pPr>
              <w:spacing w:line="240" w:lineRule="auto"/>
              <w:contextualSpacing/>
              <w:rPr>
                <w:rFonts w:cs="Calibri"/>
              </w:rPr>
            </w:pPr>
            <w:r>
              <w:rPr>
                <w:rFonts w:cs="Calibri"/>
              </w:rPr>
              <w:t>Young-of-year</w:t>
            </w:r>
          </w:p>
        </w:tc>
      </w:tr>
    </w:tbl>
    <w:p w14:paraId="1BA08BD7" w14:textId="77777777" w:rsidR="00262EDD" w:rsidRPr="00A67C76" w:rsidRDefault="00262EDD" w:rsidP="009D249D"/>
    <w:sectPr w:rsidR="00262EDD" w:rsidRPr="00A67C76" w:rsidSect="002F09E2">
      <w:pgSz w:w="11900"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2D3162" w14:textId="77777777" w:rsidR="001E5FAE" w:rsidRDefault="001E5FAE" w:rsidP="00E66522">
      <w:r>
        <w:separator/>
      </w:r>
    </w:p>
  </w:endnote>
  <w:endnote w:type="continuationSeparator" w:id="0">
    <w:p w14:paraId="69C614A3" w14:textId="77777777" w:rsidR="001E5FAE" w:rsidRDefault="001E5FAE"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Frutiger LT Std 45 Ligh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Bold">
    <w:altName w:val="Times New Roman"/>
    <w:panose1 w:val="00000000000000000000"/>
    <w:charset w:val="A1"/>
    <w:family w:val="auto"/>
    <w:notTrueType/>
    <w:pitch w:val="default"/>
    <w:sig w:usb0="00000081" w:usb1="00000000" w:usb2="00000000" w:usb3="00000000" w:csb0="00000008"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1C7B2" w14:textId="77777777" w:rsidR="002A5644" w:rsidRDefault="002A56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E6C20" w14:textId="77777777" w:rsidR="001E5FAE" w:rsidRDefault="001E5FAE" w:rsidP="00D93DAE">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E98AB" w14:textId="77777777" w:rsidR="002A5644" w:rsidRDefault="002A56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7A986" w14:textId="3700DCE9" w:rsidR="001E5FAE" w:rsidRDefault="001E5FAE" w:rsidP="00D93DAE">
    <w:pPr>
      <w:pStyle w:val="Footer"/>
    </w:pPr>
    <w:r>
      <w:t xml:space="preserve">Ye </w:t>
    </w:r>
    <w:r w:rsidRPr="00FA5207">
      <w:rPr>
        <w:i/>
      </w:rPr>
      <w:t>et al.</w:t>
    </w:r>
    <w:r>
      <w:t xml:space="preserve"> 2017</w:t>
    </w:r>
    <w:r>
      <w:tab/>
      <w:t>CEWO LTIM Report</w:t>
    </w:r>
    <w:r w:rsidRPr="00A62C74">
      <w:t xml:space="preserve">. </w:t>
    </w:r>
    <w:r w:rsidRPr="00627C14">
      <w:rPr>
        <w:i/>
      </w:rPr>
      <w:t>Lower Murray River</w:t>
    </w:r>
    <w:r>
      <w:rPr>
        <w:i/>
      </w:rPr>
      <w:t xml:space="preserve"> Selected Area, </w:t>
    </w:r>
    <w:r w:rsidRPr="00627C14">
      <w:rPr>
        <w:i/>
      </w:rPr>
      <w:t>201</w:t>
    </w:r>
    <w:r>
      <w:rPr>
        <w:i/>
      </w:rPr>
      <w:t>5/</w:t>
    </w:r>
    <w:r w:rsidRPr="00627C14">
      <w:rPr>
        <w:i/>
      </w:rPr>
      <w:t>1</w:t>
    </w:r>
    <w:r>
      <w:rPr>
        <w:i/>
      </w:rPr>
      <w:t>6</w:t>
    </w:r>
    <w:r>
      <w:tab/>
    </w:r>
    <w:r>
      <w:fldChar w:fldCharType="begin"/>
    </w:r>
    <w:r>
      <w:instrText xml:space="preserve"> PAGE   \* MERGEFORMAT </w:instrText>
    </w:r>
    <w:r>
      <w:fldChar w:fldCharType="separate"/>
    </w:r>
    <w:r w:rsidR="002A5644">
      <w:rPr>
        <w:noProof/>
      </w:rPr>
      <w:t>viii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08055" w14:textId="640D0418" w:rsidR="001E5FAE" w:rsidRDefault="001E5FAE" w:rsidP="00D93DAE">
    <w:pPr>
      <w:pStyle w:val="Footer"/>
    </w:pPr>
    <w:r>
      <w:t xml:space="preserve">Ye </w:t>
    </w:r>
    <w:r w:rsidRPr="00FA5207">
      <w:rPr>
        <w:i/>
      </w:rPr>
      <w:t>et al.</w:t>
    </w:r>
    <w:r>
      <w:t xml:space="preserve"> 2017</w:t>
    </w:r>
    <w:r>
      <w:tab/>
      <w:t>CEWO LTIM Report</w:t>
    </w:r>
    <w:r w:rsidRPr="00A62C74">
      <w:t xml:space="preserve">. </w:t>
    </w:r>
    <w:r w:rsidRPr="00627C14">
      <w:rPr>
        <w:i/>
      </w:rPr>
      <w:t>Lower Murray River</w:t>
    </w:r>
    <w:r>
      <w:rPr>
        <w:i/>
      </w:rPr>
      <w:t xml:space="preserve"> Selected Area</w:t>
    </w:r>
    <w:r w:rsidRPr="00627C14">
      <w:rPr>
        <w:i/>
      </w:rPr>
      <w:t>, 201</w:t>
    </w:r>
    <w:r>
      <w:rPr>
        <w:i/>
      </w:rPr>
      <w:t>5/</w:t>
    </w:r>
    <w:r w:rsidRPr="00627C14">
      <w:rPr>
        <w:i/>
      </w:rPr>
      <w:t>1</w:t>
    </w:r>
    <w:r>
      <w:rPr>
        <w:i/>
      </w:rPr>
      <w:t>6</w:t>
    </w:r>
    <w:r>
      <w:tab/>
    </w:r>
    <w:r>
      <w:fldChar w:fldCharType="begin"/>
    </w:r>
    <w:r>
      <w:instrText xml:space="preserve"> PAGE   \* MERGEFORMAT </w:instrText>
    </w:r>
    <w:r>
      <w:fldChar w:fldCharType="separate"/>
    </w:r>
    <w:r w:rsidR="002A5644">
      <w:rPr>
        <w:noProof/>
      </w:rPr>
      <w:t>x</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B5D89" w14:textId="19277D53" w:rsidR="001E5FAE" w:rsidRDefault="001E5FAE" w:rsidP="00D93DAE">
    <w:pPr>
      <w:pStyle w:val="Footer"/>
    </w:pPr>
    <w:r>
      <w:t xml:space="preserve">Ye </w:t>
    </w:r>
    <w:r w:rsidRPr="00FA5207">
      <w:rPr>
        <w:i/>
      </w:rPr>
      <w:t>et al.</w:t>
    </w:r>
    <w:r>
      <w:t xml:space="preserve"> 2017</w:t>
    </w:r>
    <w:r>
      <w:tab/>
      <w:t>CEWO LTIM Report</w:t>
    </w:r>
    <w:r w:rsidRPr="00A62C74">
      <w:t xml:space="preserve">. </w:t>
    </w:r>
    <w:r w:rsidRPr="00627C14">
      <w:rPr>
        <w:i/>
      </w:rPr>
      <w:t>Lower Murray River</w:t>
    </w:r>
    <w:r>
      <w:rPr>
        <w:i/>
      </w:rPr>
      <w:t xml:space="preserve"> Selected Area</w:t>
    </w:r>
    <w:r w:rsidRPr="00627C14">
      <w:rPr>
        <w:i/>
      </w:rPr>
      <w:t>, 201</w:t>
    </w:r>
    <w:r>
      <w:rPr>
        <w:i/>
      </w:rPr>
      <w:t>5/</w:t>
    </w:r>
    <w:r w:rsidRPr="00627C14">
      <w:rPr>
        <w:i/>
      </w:rPr>
      <w:t>1</w:t>
    </w:r>
    <w:r>
      <w:rPr>
        <w:i/>
      </w:rPr>
      <w:t>6</w:t>
    </w:r>
    <w:r>
      <w:rPr>
        <w:i/>
      </w:rPr>
      <w:tab/>
    </w:r>
    <w:r>
      <w:rPr>
        <w:i/>
      </w:rPr>
      <w:tab/>
    </w:r>
    <w:r>
      <w:rPr>
        <w:i/>
      </w:rPr>
      <w:tab/>
    </w:r>
    <w:r>
      <w:rPr>
        <w:i/>
      </w:rPr>
      <w:tab/>
    </w:r>
    <w:r>
      <w:rPr>
        <w:i/>
      </w:rPr>
      <w:tab/>
    </w:r>
    <w:r>
      <w:rPr>
        <w:i/>
      </w:rPr>
      <w:tab/>
    </w:r>
    <w:r>
      <w:tab/>
    </w:r>
    <w:r>
      <w:fldChar w:fldCharType="begin"/>
    </w:r>
    <w:r>
      <w:instrText xml:space="preserve"> PAGE   \* MERGEFORMAT </w:instrText>
    </w:r>
    <w:r>
      <w:fldChar w:fldCharType="separate"/>
    </w:r>
    <w:r w:rsidR="002A5644">
      <w:rPr>
        <w:noProof/>
      </w:rPr>
      <w:t>xv</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3235D" w14:textId="00109038" w:rsidR="001E5FAE" w:rsidRDefault="001E5FAE" w:rsidP="00800AA9">
    <w:pPr>
      <w:pStyle w:val="Footer"/>
    </w:pPr>
    <w:r>
      <w:t xml:space="preserve">Ye </w:t>
    </w:r>
    <w:r w:rsidRPr="00FA5207">
      <w:rPr>
        <w:i/>
      </w:rPr>
      <w:t>et al.</w:t>
    </w:r>
    <w:r>
      <w:t xml:space="preserve"> 2017</w:t>
    </w:r>
    <w:r>
      <w:tab/>
      <w:t>CEWO LTIM Report</w:t>
    </w:r>
    <w:r w:rsidRPr="00A62C74">
      <w:t xml:space="preserve">. </w:t>
    </w:r>
    <w:r w:rsidRPr="00627C14">
      <w:rPr>
        <w:i/>
      </w:rPr>
      <w:t>Lower Murray River</w:t>
    </w:r>
    <w:r>
      <w:rPr>
        <w:i/>
      </w:rPr>
      <w:t xml:space="preserve"> Selected Area</w:t>
    </w:r>
    <w:r w:rsidRPr="00627C14">
      <w:rPr>
        <w:i/>
      </w:rPr>
      <w:t>, 201</w:t>
    </w:r>
    <w:r>
      <w:rPr>
        <w:i/>
      </w:rPr>
      <w:t>5/</w:t>
    </w:r>
    <w:r w:rsidRPr="00627C14">
      <w:rPr>
        <w:i/>
      </w:rPr>
      <w:t>1</w:t>
    </w:r>
    <w:r>
      <w:rPr>
        <w:i/>
      </w:rPr>
      <w:t>6</w:t>
    </w:r>
    <w:sdt>
      <w:sdtPr>
        <w:id w:val="-1692522561"/>
        <w:docPartObj>
          <w:docPartGallery w:val="Page Numbers (Bottom of Page)"/>
          <w:docPartUnique/>
        </w:docPartObj>
      </w:sdtPr>
      <w:sdtEndPr/>
      <w:sdtContent>
        <w:r>
          <w:tab/>
        </w:r>
        <w:r>
          <w:fldChar w:fldCharType="begin"/>
        </w:r>
        <w:r>
          <w:instrText xml:space="preserve"> PAGE   \* MERGEFORMAT </w:instrText>
        </w:r>
        <w:r>
          <w:fldChar w:fldCharType="separate"/>
        </w:r>
        <w:r w:rsidR="002A5644">
          <w:rPr>
            <w:noProof/>
          </w:rPr>
          <w:t>1</w:t>
        </w:r>
        <w:r>
          <w:rPr>
            <w:noProof/>
          </w:rPr>
          <w:fldChar w:fldCharType="end"/>
        </w:r>
      </w:sdtContent>
    </w:sdt>
  </w:p>
  <w:p w14:paraId="1D30722A" w14:textId="77777777" w:rsidR="001E5FAE" w:rsidRDefault="001E5FA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9D59B" w14:textId="63509497" w:rsidR="001E5FAE" w:rsidRDefault="001E5FAE">
    <w:pPr>
      <w:pStyle w:val="Footer"/>
      <w:jc w:val="right"/>
    </w:pPr>
    <w:r>
      <w:t xml:space="preserve">Ye </w:t>
    </w:r>
    <w:r w:rsidRPr="00FA5207">
      <w:rPr>
        <w:i/>
      </w:rPr>
      <w:t>et al.</w:t>
    </w:r>
    <w:r>
      <w:t xml:space="preserve"> 2017</w:t>
    </w:r>
    <w:r>
      <w:tab/>
      <w:t>CEWO LTIM Report</w:t>
    </w:r>
    <w:r w:rsidRPr="00A62C74">
      <w:t xml:space="preserve">. </w:t>
    </w:r>
    <w:r w:rsidRPr="00627C14">
      <w:rPr>
        <w:i/>
      </w:rPr>
      <w:t>Lower Murray River</w:t>
    </w:r>
    <w:r>
      <w:rPr>
        <w:i/>
      </w:rPr>
      <w:t xml:space="preserve"> Selected Area</w:t>
    </w:r>
    <w:r w:rsidRPr="00627C14">
      <w:rPr>
        <w:i/>
      </w:rPr>
      <w:t>, 201</w:t>
    </w:r>
    <w:r>
      <w:rPr>
        <w:i/>
      </w:rPr>
      <w:t>5/</w:t>
    </w:r>
    <w:r w:rsidRPr="00627C14">
      <w:rPr>
        <w:i/>
      </w:rPr>
      <w:t>1</w:t>
    </w:r>
    <w:r>
      <w:rPr>
        <w:i/>
      </w:rPr>
      <w:t>6</w:t>
    </w:r>
    <w:sdt>
      <w:sdtPr>
        <w:id w:val="637999663"/>
        <w:docPartObj>
          <w:docPartGallery w:val="Page Numbers (Bottom of Page)"/>
          <w:docPartUnique/>
        </w:docPartObj>
      </w:sdtPr>
      <w:sdtEndPr/>
      <w:sdtContent>
        <w:r>
          <w:tab/>
        </w:r>
        <w:r>
          <w:fldChar w:fldCharType="begin"/>
        </w:r>
        <w:r>
          <w:instrText xml:space="preserve"> PAGE   \* MERGEFORMAT </w:instrText>
        </w:r>
        <w:r>
          <w:fldChar w:fldCharType="separate"/>
        </w:r>
        <w:r w:rsidR="002A5644">
          <w:rPr>
            <w:noProof/>
          </w:rPr>
          <w:t>184</w:t>
        </w:r>
        <w:r>
          <w:rPr>
            <w:noProof/>
          </w:rPr>
          <w:fldChar w:fldCharType="end"/>
        </w:r>
      </w:sdtContent>
    </w:sdt>
  </w:p>
  <w:p w14:paraId="53F44797" w14:textId="77777777" w:rsidR="001E5FAE" w:rsidRDefault="001E5F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05771A" w14:textId="77777777" w:rsidR="001E5FAE" w:rsidRDefault="001E5FAE" w:rsidP="00E66522">
      <w:r>
        <w:separator/>
      </w:r>
    </w:p>
  </w:footnote>
  <w:footnote w:type="continuationSeparator" w:id="0">
    <w:p w14:paraId="5DCE6499" w14:textId="77777777" w:rsidR="001E5FAE" w:rsidRDefault="001E5FAE" w:rsidP="00E66522">
      <w:r>
        <w:continuationSeparator/>
      </w:r>
    </w:p>
  </w:footnote>
  <w:footnote w:id="1">
    <w:p w14:paraId="26BB0DD3" w14:textId="43F3CFDC" w:rsidR="001E5FAE" w:rsidRPr="000C5453" w:rsidRDefault="001E5FAE">
      <w:pPr>
        <w:pStyle w:val="FootnoteText"/>
        <w:rPr>
          <w:sz w:val="18"/>
          <w:szCs w:val="18"/>
          <w:lang w:val="en-US"/>
        </w:rPr>
      </w:pPr>
      <w:r w:rsidRPr="000C5453">
        <w:rPr>
          <w:rStyle w:val="FootnoteReference"/>
          <w:sz w:val="18"/>
          <w:szCs w:val="18"/>
        </w:rPr>
        <w:footnoteRef/>
      </w:r>
      <w:r w:rsidRPr="000C5453">
        <w:rPr>
          <w:sz w:val="18"/>
          <w:szCs w:val="18"/>
        </w:rPr>
        <w:t xml:space="preserve"> Molecules of water, nutrients, and the biological matter transported downstream often move slower than the wave front that is recorded as the change in flow discharge (Chow </w:t>
      </w:r>
      <w:r w:rsidRPr="000C5453">
        <w:rPr>
          <w:i/>
          <w:sz w:val="18"/>
          <w:szCs w:val="18"/>
        </w:rPr>
        <w:t>et al.</w:t>
      </w:r>
      <w:r w:rsidRPr="000C5453">
        <w:rPr>
          <w:sz w:val="18"/>
          <w:szCs w:val="18"/>
        </w:rPr>
        <w:t xml:space="preserve"> 1988). To account for this, the MDBA has used Bigmod salinity routines as a proxy for transport of biological matter, to estimate the proportion of the flow at the </w:t>
      </w:r>
      <w:r w:rsidR="005106B5">
        <w:rPr>
          <w:sz w:val="18"/>
          <w:szCs w:val="18"/>
        </w:rPr>
        <w:t>South Australian</w:t>
      </w:r>
      <w:r w:rsidRPr="000C5453">
        <w:rPr>
          <w:sz w:val="18"/>
          <w:szCs w:val="18"/>
        </w:rPr>
        <w:t xml:space="preserve"> border that originated at different upstream tributaries. While acknowledging potential difference in travel time between salt and other matter, this approach represents an improvement in estimation of travel times over information used previously in Ye </w:t>
      </w:r>
      <w:r w:rsidRPr="000C5453">
        <w:rPr>
          <w:i/>
          <w:sz w:val="18"/>
          <w:szCs w:val="18"/>
        </w:rPr>
        <w:t>et al.</w:t>
      </w:r>
      <w:r w:rsidRPr="000C5453">
        <w:rPr>
          <w:sz w:val="18"/>
          <w:szCs w:val="18"/>
        </w:rPr>
        <w:t xml:space="preserve"> (2016a), which was based on observed changes in flow along the main channel. </w:t>
      </w:r>
    </w:p>
  </w:footnote>
  <w:footnote w:id="2">
    <w:p w14:paraId="290F57DB" w14:textId="3F133A69" w:rsidR="001E5FAE" w:rsidRPr="00C0269F" w:rsidRDefault="001E5FAE">
      <w:pPr>
        <w:pStyle w:val="FootnoteText"/>
        <w:rPr>
          <w:sz w:val="18"/>
          <w:szCs w:val="18"/>
          <w:lang w:val="en-US"/>
        </w:rPr>
      </w:pPr>
      <w:r w:rsidRPr="00C0269F">
        <w:rPr>
          <w:rStyle w:val="FootnoteReference"/>
          <w:sz w:val="18"/>
          <w:szCs w:val="18"/>
        </w:rPr>
        <w:footnoteRef/>
      </w:r>
      <w:r w:rsidRPr="00C0269F">
        <w:rPr>
          <w:sz w:val="18"/>
          <w:szCs w:val="18"/>
        </w:rPr>
        <w:t xml:space="preserve"> </w:t>
      </w:r>
      <w:r w:rsidRPr="00C0269F">
        <w:rPr>
          <w:sz w:val="18"/>
          <w:szCs w:val="18"/>
          <w:lang w:val="en-US"/>
        </w:rPr>
        <w:t xml:space="preserve">PSU was used for modelling purposes in the report. PSU is approximately equal to 1 </w:t>
      </w:r>
      <w:r>
        <w:rPr>
          <w:sz w:val="18"/>
          <w:szCs w:val="18"/>
          <w:lang w:val="en-US"/>
        </w:rPr>
        <w:t>part per thousand (</w:t>
      </w:r>
      <w:r w:rsidRPr="00C0269F">
        <w:rPr>
          <w:sz w:val="18"/>
          <w:szCs w:val="18"/>
          <w:lang w:val="en-US"/>
        </w:rPr>
        <w:t>ppt</w:t>
      </w:r>
      <w:r>
        <w:rPr>
          <w:sz w:val="18"/>
          <w:szCs w:val="18"/>
          <w:lang w:val="en-US"/>
        </w:rPr>
        <w:t xml:space="preserve"> </w:t>
      </w:r>
      <w:r w:rsidRPr="00C0269F">
        <w:rPr>
          <w:sz w:val="18"/>
          <w:szCs w:val="18"/>
          <w:lang w:val="en-US"/>
        </w:rPr>
        <w:t>or ‰</w:t>
      </w:r>
      <w:r>
        <w:rPr>
          <w:sz w:val="18"/>
          <w:szCs w:val="18"/>
          <w:lang w:val="en-US"/>
        </w:rPr>
        <w:t>)</w:t>
      </w:r>
      <w:r w:rsidRPr="00C0269F">
        <w:rPr>
          <w:sz w:val="18"/>
          <w:szCs w:val="18"/>
          <w:lang w:val="en-US"/>
        </w:rPr>
        <w:t xml:space="preserve"> or 1 g L</w:t>
      </w:r>
      <w:r w:rsidRPr="00C0269F">
        <w:rPr>
          <w:sz w:val="18"/>
          <w:szCs w:val="18"/>
          <w:vertAlign w:val="superscript"/>
          <w:lang w:val="en-US"/>
        </w:rPr>
        <w:t>-1</w:t>
      </w:r>
      <w:r w:rsidRPr="00C0269F">
        <w:rPr>
          <w:sz w:val="18"/>
          <w:szCs w:val="18"/>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1C2D0" w14:textId="77777777" w:rsidR="002A5644" w:rsidRDefault="002A56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019A2" w14:textId="1911753A" w:rsidR="001E5FAE" w:rsidRDefault="001E5F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A7F4F" w14:textId="77777777" w:rsidR="002A5644" w:rsidRDefault="002A56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6553D"/>
    <w:multiLevelType w:val="hybridMultilevel"/>
    <w:tmpl w:val="85FCA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1F100B"/>
    <w:multiLevelType w:val="hybridMultilevel"/>
    <w:tmpl w:val="4CF2600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DFE0A49"/>
    <w:multiLevelType w:val="hybridMultilevel"/>
    <w:tmpl w:val="77B01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7E1081"/>
    <w:multiLevelType w:val="hybridMultilevel"/>
    <w:tmpl w:val="CA2EC0F6"/>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4" w15:restartNumberingAfterBreak="0">
    <w:nsid w:val="1216119A"/>
    <w:multiLevelType w:val="hybridMultilevel"/>
    <w:tmpl w:val="F1DC4E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3F17C3"/>
    <w:multiLevelType w:val="hybridMultilevel"/>
    <w:tmpl w:val="B644F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7" w15:restartNumberingAfterBreak="0">
    <w:nsid w:val="17374B4B"/>
    <w:multiLevelType w:val="hybridMultilevel"/>
    <w:tmpl w:val="64B87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0B3176"/>
    <w:multiLevelType w:val="hybridMultilevel"/>
    <w:tmpl w:val="4E7A2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F04BA7"/>
    <w:multiLevelType w:val="hybridMultilevel"/>
    <w:tmpl w:val="033ED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014598"/>
    <w:multiLevelType w:val="hybridMultilevel"/>
    <w:tmpl w:val="324E3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A536A9"/>
    <w:multiLevelType w:val="hybridMultilevel"/>
    <w:tmpl w:val="2D4AEB00"/>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2F2726A2"/>
    <w:multiLevelType w:val="hybridMultilevel"/>
    <w:tmpl w:val="8CD2E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A943BA"/>
    <w:multiLevelType w:val="hybridMultilevel"/>
    <w:tmpl w:val="E8C67A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5012130"/>
    <w:multiLevelType w:val="hybridMultilevel"/>
    <w:tmpl w:val="A790D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A935983"/>
    <w:multiLevelType w:val="hybridMultilevel"/>
    <w:tmpl w:val="C1B25D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07421C"/>
    <w:multiLevelType w:val="hybridMultilevel"/>
    <w:tmpl w:val="EB444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917DB0"/>
    <w:multiLevelType w:val="hybridMultilevel"/>
    <w:tmpl w:val="54942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E277FE"/>
    <w:multiLevelType w:val="hybridMultilevel"/>
    <w:tmpl w:val="4A761242"/>
    <w:lvl w:ilvl="0" w:tplc="04090001">
      <w:start w:val="1"/>
      <w:numFmt w:val="bullet"/>
      <w:lvlText w:val=""/>
      <w:lvlJc w:val="left"/>
      <w:pPr>
        <w:ind w:left="-698" w:hanging="360"/>
      </w:pPr>
      <w:rPr>
        <w:rFonts w:ascii="Symbol" w:hAnsi="Symbol" w:hint="default"/>
      </w:rPr>
    </w:lvl>
    <w:lvl w:ilvl="1" w:tplc="04090003" w:tentative="1">
      <w:start w:val="1"/>
      <w:numFmt w:val="bullet"/>
      <w:lvlText w:val="o"/>
      <w:lvlJc w:val="left"/>
      <w:pPr>
        <w:ind w:left="22" w:hanging="360"/>
      </w:pPr>
      <w:rPr>
        <w:rFonts w:ascii="Courier New" w:hAnsi="Courier New" w:cs="Courier New" w:hint="default"/>
      </w:rPr>
    </w:lvl>
    <w:lvl w:ilvl="2" w:tplc="04090005" w:tentative="1">
      <w:start w:val="1"/>
      <w:numFmt w:val="bullet"/>
      <w:lvlText w:val=""/>
      <w:lvlJc w:val="left"/>
      <w:pPr>
        <w:ind w:left="742" w:hanging="360"/>
      </w:pPr>
      <w:rPr>
        <w:rFonts w:ascii="Wingdings" w:hAnsi="Wingdings" w:hint="default"/>
      </w:rPr>
    </w:lvl>
    <w:lvl w:ilvl="3" w:tplc="04090001" w:tentative="1">
      <w:start w:val="1"/>
      <w:numFmt w:val="bullet"/>
      <w:lvlText w:val=""/>
      <w:lvlJc w:val="left"/>
      <w:pPr>
        <w:ind w:left="1462" w:hanging="360"/>
      </w:pPr>
      <w:rPr>
        <w:rFonts w:ascii="Symbol" w:hAnsi="Symbol" w:hint="default"/>
      </w:rPr>
    </w:lvl>
    <w:lvl w:ilvl="4" w:tplc="04090003" w:tentative="1">
      <w:start w:val="1"/>
      <w:numFmt w:val="bullet"/>
      <w:lvlText w:val="o"/>
      <w:lvlJc w:val="left"/>
      <w:pPr>
        <w:ind w:left="2182" w:hanging="360"/>
      </w:pPr>
      <w:rPr>
        <w:rFonts w:ascii="Courier New" w:hAnsi="Courier New" w:cs="Courier New" w:hint="default"/>
      </w:rPr>
    </w:lvl>
    <w:lvl w:ilvl="5" w:tplc="04090005" w:tentative="1">
      <w:start w:val="1"/>
      <w:numFmt w:val="bullet"/>
      <w:lvlText w:val=""/>
      <w:lvlJc w:val="left"/>
      <w:pPr>
        <w:ind w:left="2902" w:hanging="360"/>
      </w:pPr>
      <w:rPr>
        <w:rFonts w:ascii="Wingdings" w:hAnsi="Wingdings" w:hint="default"/>
      </w:rPr>
    </w:lvl>
    <w:lvl w:ilvl="6" w:tplc="04090001" w:tentative="1">
      <w:start w:val="1"/>
      <w:numFmt w:val="bullet"/>
      <w:lvlText w:val=""/>
      <w:lvlJc w:val="left"/>
      <w:pPr>
        <w:ind w:left="3622" w:hanging="360"/>
      </w:pPr>
      <w:rPr>
        <w:rFonts w:ascii="Symbol" w:hAnsi="Symbol" w:hint="default"/>
      </w:rPr>
    </w:lvl>
    <w:lvl w:ilvl="7" w:tplc="04090003" w:tentative="1">
      <w:start w:val="1"/>
      <w:numFmt w:val="bullet"/>
      <w:lvlText w:val="o"/>
      <w:lvlJc w:val="left"/>
      <w:pPr>
        <w:ind w:left="4342" w:hanging="360"/>
      </w:pPr>
      <w:rPr>
        <w:rFonts w:ascii="Courier New" w:hAnsi="Courier New" w:cs="Courier New" w:hint="default"/>
      </w:rPr>
    </w:lvl>
    <w:lvl w:ilvl="8" w:tplc="04090005" w:tentative="1">
      <w:start w:val="1"/>
      <w:numFmt w:val="bullet"/>
      <w:lvlText w:val=""/>
      <w:lvlJc w:val="left"/>
      <w:pPr>
        <w:ind w:left="5062" w:hanging="360"/>
      </w:pPr>
      <w:rPr>
        <w:rFonts w:ascii="Wingdings" w:hAnsi="Wingdings" w:hint="default"/>
      </w:rPr>
    </w:lvl>
  </w:abstractNum>
  <w:abstractNum w:abstractNumId="21" w15:restartNumberingAfterBreak="0">
    <w:nsid w:val="48C5737D"/>
    <w:multiLevelType w:val="hybridMultilevel"/>
    <w:tmpl w:val="9FFE3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3B18F3"/>
    <w:multiLevelType w:val="hybridMultilevel"/>
    <w:tmpl w:val="84808098"/>
    <w:lvl w:ilvl="0" w:tplc="CF2ED40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C9706EC"/>
    <w:multiLevelType w:val="hybridMultilevel"/>
    <w:tmpl w:val="907670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872" w:hanging="360"/>
      </w:pPr>
      <w:rPr>
        <w:rFonts w:ascii="Courier New" w:hAnsi="Courier New" w:cs="Courier New" w:hint="default"/>
      </w:rPr>
    </w:lvl>
    <w:lvl w:ilvl="2" w:tplc="0C090005" w:tentative="1">
      <w:start w:val="1"/>
      <w:numFmt w:val="bullet"/>
      <w:lvlText w:val=""/>
      <w:lvlJc w:val="left"/>
      <w:pPr>
        <w:ind w:left="1592" w:hanging="360"/>
      </w:pPr>
      <w:rPr>
        <w:rFonts w:ascii="Wingdings" w:hAnsi="Wingdings" w:hint="default"/>
      </w:rPr>
    </w:lvl>
    <w:lvl w:ilvl="3" w:tplc="0C090001" w:tentative="1">
      <w:start w:val="1"/>
      <w:numFmt w:val="bullet"/>
      <w:lvlText w:val=""/>
      <w:lvlJc w:val="left"/>
      <w:pPr>
        <w:ind w:left="2312" w:hanging="360"/>
      </w:pPr>
      <w:rPr>
        <w:rFonts w:ascii="Symbol" w:hAnsi="Symbol" w:hint="default"/>
      </w:rPr>
    </w:lvl>
    <w:lvl w:ilvl="4" w:tplc="0C090003" w:tentative="1">
      <w:start w:val="1"/>
      <w:numFmt w:val="bullet"/>
      <w:lvlText w:val="o"/>
      <w:lvlJc w:val="left"/>
      <w:pPr>
        <w:ind w:left="3032" w:hanging="360"/>
      </w:pPr>
      <w:rPr>
        <w:rFonts w:ascii="Courier New" w:hAnsi="Courier New" w:cs="Courier New" w:hint="default"/>
      </w:rPr>
    </w:lvl>
    <w:lvl w:ilvl="5" w:tplc="0C090005" w:tentative="1">
      <w:start w:val="1"/>
      <w:numFmt w:val="bullet"/>
      <w:lvlText w:val=""/>
      <w:lvlJc w:val="left"/>
      <w:pPr>
        <w:ind w:left="3752" w:hanging="360"/>
      </w:pPr>
      <w:rPr>
        <w:rFonts w:ascii="Wingdings" w:hAnsi="Wingdings" w:hint="default"/>
      </w:rPr>
    </w:lvl>
    <w:lvl w:ilvl="6" w:tplc="0C090001" w:tentative="1">
      <w:start w:val="1"/>
      <w:numFmt w:val="bullet"/>
      <w:lvlText w:val=""/>
      <w:lvlJc w:val="left"/>
      <w:pPr>
        <w:ind w:left="4472" w:hanging="360"/>
      </w:pPr>
      <w:rPr>
        <w:rFonts w:ascii="Symbol" w:hAnsi="Symbol" w:hint="default"/>
      </w:rPr>
    </w:lvl>
    <w:lvl w:ilvl="7" w:tplc="0C090003" w:tentative="1">
      <w:start w:val="1"/>
      <w:numFmt w:val="bullet"/>
      <w:lvlText w:val="o"/>
      <w:lvlJc w:val="left"/>
      <w:pPr>
        <w:ind w:left="5192" w:hanging="360"/>
      </w:pPr>
      <w:rPr>
        <w:rFonts w:ascii="Courier New" w:hAnsi="Courier New" w:cs="Courier New" w:hint="default"/>
      </w:rPr>
    </w:lvl>
    <w:lvl w:ilvl="8" w:tplc="0C090005" w:tentative="1">
      <w:start w:val="1"/>
      <w:numFmt w:val="bullet"/>
      <w:lvlText w:val=""/>
      <w:lvlJc w:val="left"/>
      <w:pPr>
        <w:ind w:left="5912" w:hanging="360"/>
      </w:pPr>
      <w:rPr>
        <w:rFonts w:ascii="Wingdings" w:hAnsi="Wingdings" w:hint="default"/>
      </w:rPr>
    </w:lvl>
  </w:abstractNum>
  <w:abstractNum w:abstractNumId="24" w15:restartNumberingAfterBreak="0">
    <w:nsid w:val="4F581AC7"/>
    <w:multiLevelType w:val="hybridMultilevel"/>
    <w:tmpl w:val="BCB62ADC"/>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732840"/>
    <w:multiLevelType w:val="hybridMultilevel"/>
    <w:tmpl w:val="AF746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154E91"/>
    <w:multiLevelType w:val="multilevel"/>
    <w:tmpl w:val="45EAB2A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lvlText w:val="%1.%2.%3"/>
      <w:lvlJc w:val="left"/>
      <w:pPr>
        <w:ind w:left="2552" w:hanging="850"/>
      </w:pPr>
      <w:rPr>
        <w:rFonts w:hint="default"/>
      </w:rPr>
    </w:lvl>
    <w:lvl w:ilvl="3">
      <w:start w:val="1"/>
      <w:numFmt w:val="none"/>
      <w:pStyle w:val="Heading4"/>
      <w:lvlText w:val=""/>
      <w:lvlJc w:val="left"/>
      <w:pPr>
        <w:ind w:left="1701" w:firstLine="0"/>
      </w:pPr>
      <w:rPr>
        <w:rFonts w:hint="default"/>
      </w:rPr>
    </w:lvl>
    <w:lvl w:ilvl="4">
      <w:start w:val="1"/>
      <w:numFmt w:val="none"/>
      <w:pStyle w:val="Heading5"/>
      <w:lvlText w:val=""/>
      <w:lvlJc w:val="left"/>
      <w:pPr>
        <w:ind w:left="1701" w:firstLine="0"/>
      </w:pPr>
      <w:rPr>
        <w:rFonts w:hint="default"/>
      </w:rPr>
    </w:lvl>
    <w:lvl w:ilvl="5">
      <w:start w:val="1"/>
      <w:numFmt w:val="none"/>
      <w:pStyle w:val="Heading6"/>
      <w:lvlText w:val=""/>
      <w:lvlJc w:val="left"/>
      <w:pPr>
        <w:ind w:left="1701" w:firstLine="0"/>
      </w:pPr>
      <w:rPr>
        <w:rFonts w:hint="default"/>
      </w:rPr>
    </w:lvl>
    <w:lvl w:ilvl="6">
      <w:start w:val="1"/>
      <w:numFmt w:val="none"/>
      <w:pStyle w:val="Heading7"/>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27" w15:restartNumberingAfterBreak="0">
    <w:nsid w:val="5E7B5EF0"/>
    <w:multiLevelType w:val="hybridMultilevel"/>
    <w:tmpl w:val="314A4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6A3804"/>
    <w:multiLevelType w:val="hybridMultilevel"/>
    <w:tmpl w:val="86B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C0EB5"/>
    <w:multiLevelType w:val="hybridMultilevel"/>
    <w:tmpl w:val="AB3C9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AF0682"/>
    <w:multiLevelType w:val="hybridMultilevel"/>
    <w:tmpl w:val="9296F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D11A86"/>
    <w:multiLevelType w:val="hybridMultilevel"/>
    <w:tmpl w:val="84E4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D37ADF"/>
    <w:multiLevelType w:val="hybridMultilevel"/>
    <w:tmpl w:val="29A86EAC"/>
    <w:lvl w:ilvl="0" w:tplc="8488BE7C">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02D4027"/>
    <w:multiLevelType w:val="hybridMultilevel"/>
    <w:tmpl w:val="39C8301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5951801"/>
    <w:multiLevelType w:val="singleLevel"/>
    <w:tmpl w:val="35F45D7C"/>
    <w:lvl w:ilvl="0">
      <w:start w:val="1"/>
      <w:numFmt w:val="bullet"/>
      <w:pStyle w:val="Bullet"/>
      <w:lvlText w:val=""/>
      <w:lvlJc w:val="left"/>
      <w:pPr>
        <w:tabs>
          <w:tab w:val="num" w:pos="567"/>
        </w:tabs>
        <w:ind w:left="567" w:hanging="567"/>
      </w:pPr>
      <w:rPr>
        <w:rFonts w:ascii="Symbol" w:hAnsi="Symbol" w:hint="default"/>
        <w:sz w:val="16"/>
      </w:rPr>
    </w:lvl>
  </w:abstractNum>
  <w:abstractNum w:abstractNumId="35" w15:restartNumberingAfterBreak="0">
    <w:nsid w:val="78C61A49"/>
    <w:multiLevelType w:val="hybridMultilevel"/>
    <w:tmpl w:val="DA801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CA4392"/>
    <w:multiLevelType w:val="hybridMultilevel"/>
    <w:tmpl w:val="D8C20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15"/>
  </w:num>
  <w:num w:numId="4">
    <w:abstractNumId w:val="26"/>
  </w:num>
  <w:num w:numId="5">
    <w:abstractNumId w:val="6"/>
  </w:num>
  <w:num w:numId="6">
    <w:abstractNumId w:val="22"/>
  </w:num>
  <w:num w:numId="7">
    <w:abstractNumId w:val="21"/>
  </w:num>
  <w:num w:numId="8">
    <w:abstractNumId w:val="19"/>
  </w:num>
  <w:num w:numId="9">
    <w:abstractNumId w:val="34"/>
  </w:num>
  <w:num w:numId="10">
    <w:abstractNumId w:val="29"/>
  </w:num>
  <w:num w:numId="11">
    <w:abstractNumId w:val="10"/>
  </w:num>
  <w:num w:numId="12">
    <w:abstractNumId w:val="5"/>
  </w:num>
  <w:num w:numId="13">
    <w:abstractNumId w:val="8"/>
  </w:num>
  <w:num w:numId="14">
    <w:abstractNumId w:val="24"/>
  </w:num>
  <w:num w:numId="15">
    <w:abstractNumId w:val="13"/>
  </w:num>
  <w:num w:numId="16">
    <w:abstractNumId w:val="0"/>
  </w:num>
  <w:num w:numId="17">
    <w:abstractNumId w:val="7"/>
  </w:num>
  <w:num w:numId="18">
    <w:abstractNumId w:val="27"/>
  </w:num>
  <w:num w:numId="19">
    <w:abstractNumId w:val="30"/>
  </w:num>
  <w:num w:numId="20">
    <w:abstractNumId w:val="35"/>
  </w:num>
  <w:num w:numId="21">
    <w:abstractNumId w:val="14"/>
  </w:num>
  <w:num w:numId="22">
    <w:abstractNumId w:val="1"/>
  </w:num>
  <w:num w:numId="23">
    <w:abstractNumId w:val="9"/>
  </w:num>
  <w:num w:numId="24">
    <w:abstractNumId w:val="18"/>
  </w:num>
  <w:num w:numId="25">
    <w:abstractNumId w:val="23"/>
  </w:num>
  <w:num w:numId="26">
    <w:abstractNumId w:val="20"/>
  </w:num>
  <w:num w:numId="27">
    <w:abstractNumId w:val="25"/>
  </w:num>
  <w:num w:numId="28">
    <w:abstractNumId w:val="28"/>
  </w:num>
  <w:num w:numId="29">
    <w:abstractNumId w:val="31"/>
  </w:num>
  <w:num w:numId="30">
    <w:abstractNumId w:val="12"/>
  </w:num>
  <w:num w:numId="31">
    <w:abstractNumId w:val="36"/>
  </w:num>
  <w:num w:numId="32">
    <w:abstractNumId w:val="2"/>
  </w:num>
  <w:num w:numId="33">
    <w:abstractNumId w:val="33"/>
  </w:num>
  <w:num w:numId="34">
    <w:abstractNumId w:val="4"/>
  </w:num>
  <w:num w:numId="35">
    <w:abstractNumId w:val="3"/>
  </w:num>
  <w:num w:numId="36">
    <w:abstractNumId w:val="32"/>
  </w:num>
  <w:num w:numId="37">
    <w:abstractNumId w:val="17"/>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222"/>
    <w:rsid w:val="00000809"/>
    <w:rsid w:val="00001993"/>
    <w:rsid w:val="00001B6B"/>
    <w:rsid w:val="00001CE8"/>
    <w:rsid w:val="0000245C"/>
    <w:rsid w:val="00002794"/>
    <w:rsid w:val="000028CA"/>
    <w:rsid w:val="00002919"/>
    <w:rsid w:val="00002A15"/>
    <w:rsid w:val="00003137"/>
    <w:rsid w:val="00003A8D"/>
    <w:rsid w:val="0000453A"/>
    <w:rsid w:val="00004B54"/>
    <w:rsid w:val="00005585"/>
    <w:rsid w:val="00005EC5"/>
    <w:rsid w:val="000069CF"/>
    <w:rsid w:val="00007A27"/>
    <w:rsid w:val="00010255"/>
    <w:rsid w:val="0001087F"/>
    <w:rsid w:val="00010A49"/>
    <w:rsid w:val="00010C0D"/>
    <w:rsid w:val="00010D37"/>
    <w:rsid w:val="00011BE4"/>
    <w:rsid w:val="00011C53"/>
    <w:rsid w:val="00012361"/>
    <w:rsid w:val="00012423"/>
    <w:rsid w:val="000132F4"/>
    <w:rsid w:val="0001423C"/>
    <w:rsid w:val="000146DD"/>
    <w:rsid w:val="000151E5"/>
    <w:rsid w:val="00015356"/>
    <w:rsid w:val="00015390"/>
    <w:rsid w:val="000154BC"/>
    <w:rsid w:val="00016211"/>
    <w:rsid w:val="00016307"/>
    <w:rsid w:val="000170FD"/>
    <w:rsid w:val="00020540"/>
    <w:rsid w:val="00020A50"/>
    <w:rsid w:val="00021102"/>
    <w:rsid w:val="000214F8"/>
    <w:rsid w:val="000216C5"/>
    <w:rsid w:val="0002190B"/>
    <w:rsid w:val="00021E13"/>
    <w:rsid w:val="00021FC6"/>
    <w:rsid w:val="00022322"/>
    <w:rsid w:val="0002240D"/>
    <w:rsid w:val="0002259B"/>
    <w:rsid w:val="000229A8"/>
    <w:rsid w:val="00023393"/>
    <w:rsid w:val="000234C8"/>
    <w:rsid w:val="0002439B"/>
    <w:rsid w:val="00024C58"/>
    <w:rsid w:val="00024C70"/>
    <w:rsid w:val="00024CD9"/>
    <w:rsid w:val="0002558B"/>
    <w:rsid w:val="0002598C"/>
    <w:rsid w:val="00025E5E"/>
    <w:rsid w:val="00025EAE"/>
    <w:rsid w:val="00026337"/>
    <w:rsid w:val="00026448"/>
    <w:rsid w:val="00026FC5"/>
    <w:rsid w:val="000273F7"/>
    <w:rsid w:val="000274A7"/>
    <w:rsid w:val="000277AC"/>
    <w:rsid w:val="000279E6"/>
    <w:rsid w:val="00027AF6"/>
    <w:rsid w:val="00027D44"/>
    <w:rsid w:val="00030157"/>
    <w:rsid w:val="00030FC1"/>
    <w:rsid w:val="000312F4"/>
    <w:rsid w:val="0003130A"/>
    <w:rsid w:val="00031925"/>
    <w:rsid w:val="00031C65"/>
    <w:rsid w:val="00031E2A"/>
    <w:rsid w:val="0003263C"/>
    <w:rsid w:val="000331B7"/>
    <w:rsid w:val="000336FB"/>
    <w:rsid w:val="0003462B"/>
    <w:rsid w:val="000348BA"/>
    <w:rsid w:val="00034B51"/>
    <w:rsid w:val="000351F8"/>
    <w:rsid w:val="000358F3"/>
    <w:rsid w:val="00035A0A"/>
    <w:rsid w:val="00035D7F"/>
    <w:rsid w:val="000362D3"/>
    <w:rsid w:val="00036406"/>
    <w:rsid w:val="00036CFC"/>
    <w:rsid w:val="0003778F"/>
    <w:rsid w:val="00040998"/>
    <w:rsid w:val="00040C56"/>
    <w:rsid w:val="00040D91"/>
    <w:rsid w:val="00040D98"/>
    <w:rsid w:val="00041686"/>
    <w:rsid w:val="00041873"/>
    <w:rsid w:val="00041C31"/>
    <w:rsid w:val="00041EA8"/>
    <w:rsid w:val="000422F7"/>
    <w:rsid w:val="000423E2"/>
    <w:rsid w:val="00042B25"/>
    <w:rsid w:val="00043A0B"/>
    <w:rsid w:val="00043B32"/>
    <w:rsid w:val="00044DB2"/>
    <w:rsid w:val="000458F9"/>
    <w:rsid w:val="00046340"/>
    <w:rsid w:val="00046F41"/>
    <w:rsid w:val="0004770C"/>
    <w:rsid w:val="000477DA"/>
    <w:rsid w:val="00047E55"/>
    <w:rsid w:val="00050703"/>
    <w:rsid w:val="0005075F"/>
    <w:rsid w:val="00050F8D"/>
    <w:rsid w:val="000510E3"/>
    <w:rsid w:val="000511E1"/>
    <w:rsid w:val="00051C18"/>
    <w:rsid w:val="00052392"/>
    <w:rsid w:val="00052638"/>
    <w:rsid w:val="00052A96"/>
    <w:rsid w:val="00052DA6"/>
    <w:rsid w:val="000533D7"/>
    <w:rsid w:val="0005352F"/>
    <w:rsid w:val="00053A7B"/>
    <w:rsid w:val="00053AE7"/>
    <w:rsid w:val="00053CC6"/>
    <w:rsid w:val="00053F15"/>
    <w:rsid w:val="00054221"/>
    <w:rsid w:val="000549C3"/>
    <w:rsid w:val="00055709"/>
    <w:rsid w:val="00055923"/>
    <w:rsid w:val="000564B0"/>
    <w:rsid w:val="000564C4"/>
    <w:rsid w:val="000566DB"/>
    <w:rsid w:val="000570C4"/>
    <w:rsid w:val="000571EA"/>
    <w:rsid w:val="00057795"/>
    <w:rsid w:val="000577B9"/>
    <w:rsid w:val="00057B95"/>
    <w:rsid w:val="00060178"/>
    <w:rsid w:val="000606E8"/>
    <w:rsid w:val="0006187B"/>
    <w:rsid w:val="0006196E"/>
    <w:rsid w:val="00061A11"/>
    <w:rsid w:val="00062B90"/>
    <w:rsid w:val="00062ECB"/>
    <w:rsid w:val="000648B9"/>
    <w:rsid w:val="000649FF"/>
    <w:rsid w:val="00064A4A"/>
    <w:rsid w:val="00065F20"/>
    <w:rsid w:val="00065F2C"/>
    <w:rsid w:val="0006671C"/>
    <w:rsid w:val="00067352"/>
    <w:rsid w:val="00067D91"/>
    <w:rsid w:val="0007074F"/>
    <w:rsid w:val="00070899"/>
    <w:rsid w:val="00071349"/>
    <w:rsid w:val="00071B2B"/>
    <w:rsid w:val="00072593"/>
    <w:rsid w:val="00072885"/>
    <w:rsid w:val="00072936"/>
    <w:rsid w:val="00073885"/>
    <w:rsid w:val="000738B4"/>
    <w:rsid w:val="0007522C"/>
    <w:rsid w:val="000752FD"/>
    <w:rsid w:val="000759EA"/>
    <w:rsid w:val="000765F7"/>
    <w:rsid w:val="00076E6C"/>
    <w:rsid w:val="00077613"/>
    <w:rsid w:val="00077689"/>
    <w:rsid w:val="000778CB"/>
    <w:rsid w:val="00080205"/>
    <w:rsid w:val="00080963"/>
    <w:rsid w:val="00080D0F"/>
    <w:rsid w:val="0008149F"/>
    <w:rsid w:val="0008155D"/>
    <w:rsid w:val="00081C17"/>
    <w:rsid w:val="00081D85"/>
    <w:rsid w:val="00081E8E"/>
    <w:rsid w:val="00082995"/>
    <w:rsid w:val="00083026"/>
    <w:rsid w:val="00084300"/>
    <w:rsid w:val="00085518"/>
    <w:rsid w:val="000857A4"/>
    <w:rsid w:val="000859F8"/>
    <w:rsid w:val="00085B8F"/>
    <w:rsid w:val="00086094"/>
    <w:rsid w:val="00086A10"/>
    <w:rsid w:val="00086A67"/>
    <w:rsid w:val="00086F60"/>
    <w:rsid w:val="0008723E"/>
    <w:rsid w:val="00087BAF"/>
    <w:rsid w:val="00087EAC"/>
    <w:rsid w:val="00090F0C"/>
    <w:rsid w:val="0009104D"/>
    <w:rsid w:val="000910F6"/>
    <w:rsid w:val="000914B7"/>
    <w:rsid w:val="00091D7D"/>
    <w:rsid w:val="000920F3"/>
    <w:rsid w:val="00092CEB"/>
    <w:rsid w:val="00092E2A"/>
    <w:rsid w:val="00093064"/>
    <w:rsid w:val="00093634"/>
    <w:rsid w:val="000945BB"/>
    <w:rsid w:val="00094A1D"/>
    <w:rsid w:val="0009506E"/>
    <w:rsid w:val="0009531A"/>
    <w:rsid w:val="000954AE"/>
    <w:rsid w:val="00095791"/>
    <w:rsid w:val="00095B8C"/>
    <w:rsid w:val="0009623B"/>
    <w:rsid w:val="00096B16"/>
    <w:rsid w:val="00096C55"/>
    <w:rsid w:val="00096C60"/>
    <w:rsid w:val="00097198"/>
    <w:rsid w:val="000974C4"/>
    <w:rsid w:val="00097561"/>
    <w:rsid w:val="000A0299"/>
    <w:rsid w:val="000A0832"/>
    <w:rsid w:val="000A0D5E"/>
    <w:rsid w:val="000A1890"/>
    <w:rsid w:val="000A24D6"/>
    <w:rsid w:val="000A2712"/>
    <w:rsid w:val="000A28BD"/>
    <w:rsid w:val="000A32E0"/>
    <w:rsid w:val="000A353C"/>
    <w:rsid w:val="000A4368"/>
    <w:rsid w:val="000A4919"/>
    <w:rsid w:val="000A5486"/>
    <w:rsid w:val="000A5838"/>
    <w:rsid w:val="000A5FB0"/>
    <w:rsid w:val="000A6A4B"/>
    <w:rsid w:val="000A6DAE"/>
    <w:rsid w:val="000A708F"/>
    <w:rsid w:val="000A7895"/>
    <w:rsid w:val="000B01BD"/>
    <w:rsid w:val="000B0392"/>
    <w:rsid w:val="000B0EAC"/>
    <w:rsid w:val="000B0FE4"/>
    <w:rsid w:val="000B1384"/>
    <w:rsid w:val="000B183F"/>
    <w:rsid w:val="000B191E"/>
    <w:rsid w:val="000B21EF"/>
    <w:rsid w:val="000B31E3"/>
    <w:rsid w:val="000B37A5"/>
    <w:rsid w:val="000B3830"/>
    <w:rsid w:val="000B3877"/>
    <w:rsid w:val="000B4054"/>
    <w:rsid w:val="000B4168"/>
    <w:rsid w:val="000B419E"/>
    <w:rsid w:val="000B5B29"/>
    <w:rsid w:val="000B65C1"/>
    <w:rsid w:val="000B6A42"/>
    <w:rsid w:val="000B6DF1"/>
    <w:rsid w:val="000B7E74"/>
    <w:rsid w:val="000B7FFB"/>
    <w:rsid w:val="000C023A"/>
    <w:rsid w:val="000C029D"/>
    <w:rsid w:val="000C03B0"/>
    <w:rsid w:val="000C079F"/>
    <w:rsid w:val="000C0FB4"/>
    <w:rsid w:val="000C16C1"/>
    <w:rsid w:val="000C2587"/>
    <w:rsid w:val="000C3786"/>
    <w:rsid w:val="000C3910"/>
    <w:rsid w:val="000C425C"/>
    <w:rsid w:val="000C440C"/>
    <w:rsid w:val="000C4D86"/>
    <w:rsid w:val="000C50A6"/>
    <w:rsid w:val="000C5453"/>
    <w:rsid w:val="000C54ED"/>
    <w:rsid w:val="000C5D93"/>
    <w:rsid w:val="000C5E21"/>
    <w:rsid w:val="000C64C9"/>
    <w:rsid w:val="000C71D5"/>
    <w:rsid w:val="000C76E0"/>
    <w:rsid w:val="000C7A03"/>
    <w:rsid w:val="000C7AB8"/>
    <w:rsid w:val="000C7DEF"/>
    <w:rsid w:val="000C7E02"/>
    <w:rsid w:val="000C7EBA"/>
    <w:rsid w:val="000D0BA1"/>
    <w:rsid w:val="000D0D9C"/>
    <w:rsid w:val="000D1787"/>
    <w:rsid w:val="000D19FB"/>
    <w:rsid w:val="000D22D5"/>
    <w:rsid w:val="000D2876"/>
    <w:rsid w:val="000D349B"/>
    <w:rsid w:val="000D3A83"/>
    <w:rsid w:val="000D3C4E"/>
    <w:rsid w:val="000D3D0A"/>
    <w:rsid w:val="000D43C5"/>
    <w:rsid w:val="000D4C02"/>
    <w:rsid w:val="000D4CBB"/>
    <w:rsid w:val="000D5236"/>
    <w:rsid w:val="000D602D"/>
    <w:rsid w:val="000D65D3"/>
    <w:rsid w:val="000D6E03"/>
    <w:rsid w:val="000D70F3"/>
    <w:rsid w:val="000D74DF"/>
    <w:rsid w:val="000D7735"/>
    <w:rsid w:val="000D7908"/>
    <w:rsid w:val="000D7BB8"/>
    <w:rsid w:val="000D7E16"/>
    <w:rsid w:val="000D7F0C"/>
    <w:rsid w:val="000E03DC"/>
    <w:rsid w:val="000E0625"/>
    <w:rsid w:val="000E08D5"/>
    <w:rsid w:val="000E0C77"/>
    <w:rsid w:val="000E1464"/>
    <w:rsid w:val="000E14C1"/>
    <w:rsid w:val="000E15E2"/>
    <w:rsid w:val="000E1683"/>
    <w:rsid w:val="000E1BF4"/>
    <w:rsid w:val="000E29E9"/>
    <w:rsid w:val="000E2EA4"/>
    <w:rsid w:val="000E313A"/>
    <w:rsid w:val="000E31E4"/>
    <w:rsid w:val="000E3347"/>
    <w:rsid w:val="000E383C"/>
    <w:rsid w:val="000E3AA9"/>
    <w:rsid w:val="000E3BE7"/>
    <w:rsid w:val="000E40D8"/>
    <w:rsid w:val="000E4390"/>
    <w:rsid w:val="000E45D9"/>
    <w:rsid w:val="000E4999"/>
    <w:rsid w:val="000E4DCB"/>
    <w:rsid w:val="000E63CC"/>
    <w:rsid w:val="000E71B0"/>
    <w:rsid w:val="000E738E"/>
    <w:rsid w:val="000E746E"/>
    <w:rsid w:val="000E7701"/>
    <w:rsid w:val="000E7A54"/>
    <w:rsid w:val="000E7BBA"/>
    <w:rsid w:val="000E7E14"/>
    <w:rsid w:val="000F04BE"/>
    <w:rsid w:val="000F0836"/>
    <w:rsid w:val="000F0C2A"/>
    <w:rsid w:val="000F1083"/>
    <w:rsid w:val="000F11FC"/>
    <w:rsid w:val="000F1496"/>
    <w:rsid w:val="000F1913"/>
    <w:rsid w:val="000F19ED"/>
    <w:rsid w:val="000F1AC3"/>
    <w:rsid w:val="000F1B32"/>
    <w:rsid w:val="000F1C78"/>
    <w:rsid w:val="000F1E3F"/>
    <w:rsid w:val="000F2295"/>
    <w:rsid w:val="000F230D"/>
    <w:rsid w:val="000F2BBE"/>
    <w:rsid w:val="000F2E0B"/>
    <w:rsid w:val="000F2E4A"/>
    <w:rsid w:val="000F30DC"/>
    <w:rsid w:val="000F32D6"/>
    <w:rsid w:val="000F3437"/>
    <w:rsid w:val="000F376C"/>
    <w:rsid w:val="000F3A59"/>
    <w:rsid w:val="000F3E2A"/>
    <w:rsid w:val="000F4129"/>
    <w:rsid w:val="000F418F"/>
    <w:rsid w:val="000F41D8"/>
    <w:rsid w:val="000F4B5B"/>
    <w:rsid w:val="000F58A5"/>
    <w:rsid w:val="000F5BE4"/>
    <w:rsid w:val="000F5C28"/>
    <w:rsid w:val="000F6315"/>
    <w:rsid w:val="000F6D85"/>
    <w:rsid w:val="000F7144"/>
    <w:rsid w:val="000F724C"/>
    <w:rsid w:val="000F728B"/>
    <w:rsid w:val="000F7884"/>
    <w:rsid w:val="001000D2"/>
    <w:rsid w:val="0010065B"/>
    <w:rsid w:val="0010073E"/>
    <w:rsid w:val="0010077F"/>
    <w:rsid w:val="001007AE"/>
    <w:rsid w:val="00100C79"/>
    <w:rsid w:val="00101092"/>
    <w:rsid w:val="001016BD"/>
    <w:rsid w:val="00102564"/>
    <w:rsid w:val="00102896"/>
    <w:rsid w:val="00104130"/>
    <w:rsid w:val="001041D4"/>
    <w:rsid w:val="00104454"/>
    <w:rsid w:val="00104DE0"/>
    <w:rsid w:val="00104E4E"/>
    <w:rsid w:val="001050E0"/>
    <w:rsid w:val="00105641"/>
    <w:rsid w:val="001056B4"/>
    <w:rsid w:val="00105D8A"/>
    <w:rsid w:val="001064C4"/>
    <w:rsid w:val="00106871"/>
    <w:rsid w:val="00106874"/>
    <w:rsid w:val="00106BE7"/>
    <w:rsid w:val="001076A4"/>
    <w:rsid w:val="001077B3"/>
    <w:rsid w:val="00107E6C"/>
    <w:rsid w:val="00110CB9"/>
    <w:rsid w:val="00112564"/>
    <w:rsid w:val="00112988"/>
    <w:rsid w:val="00113440"/>
    <w:rsid w:val="0011558E"/>
    <w:rsid w:val="00115879"/>
    <w:rsid w:val="00116508"/>
    <w:rsid w:val="00116D97"/>
    <w:rsid w:val="00116E0B"/>
    <w:rsid w:val="00117842"/>
    <w:rsid w:val="00117C7C"/>
    <w:rsid w:val="001201C5"/>
    <w:rsid w:val="00120452"/>
    <w:rsid w:val="00121456"/>
    <w:rsid w:val="0012174F"/>
    <w:rsid w:val="00121832"/>
    <w:rsid w:val="00121F16"/>
    <w:rsid w:val="0012215B"/>
    <w:rsid w:val="00122279"/>
    <w:rsid w:val="00122788"/>
    <w:rsid w:val="00122B44"/>
    <w:rsid w:val="00122C4F"/>
    <w:rsid w:val="00122CA0"/>
    <w:rsid w:val="00122CD9"/>
    <w:rsid w:val="001230ED"/>
    <w:rsid w:val="001231A7"/>
    <w:rsid w:val="0012327F"/>
    <w:rsid w:val="001232E8"/>
    <w:rsid w:val="0012367F"/>
    <w:rsid w:val="001237D1"/>
    <w:rsid w:val="00123807"/>
    <w:rsid w:val="00123A48"/>
    <w:rsid w:val="00123F6F"/>
    <w:rsid w:val="0012442C"/>
    <w:rsid w:val="001248AB"/>
    <w:rsid w:val="00124A31"/>
    <w:rsid w:val="00124DC6"/>
    <w:rsid w:val="00124E79"/>
    <w:rsid w:val="00124F8D"/>
    <w:rsid w:val="00125108"/>
    <w:rsid w:val="00125268"/>
    <w:rsid w:val="001254F8"/>
    <w:rsid w:val="00126400"/>
    <w:rsid w:val="00126643"/>
    <w:rsid w:val="00126C8C"/>
    <w:rsid w:val="00127257"/>
    <w:rsid w:val="00130D0B"/>
    <w:rsid w:val="00131057"/>
    <w:rsid w:val="0013289C"/>
    <w:rsid w:val="00132CA3"/>
    <w:rsid w:val="0013353E"/>
    <w:rsid w:val="00133CA5"/>
    <w:rsid w:val="00134759"/>
    <w:rsid w:val="00134A11"/>
    <w:rsid w:val="00135AC9"/>
    <w:rsid w:val="00135CEF"/>
    <w:rsid w:val="00135FE8"/>
    <w:rsid w:val="001360D3"/>
    <w:rsid w:val="00136242"/>
    <w:rsid w:val="001362A2"/>
    <w:rsid w:val="00136515"/>
    <w:rsid w:val="0013675B"/>
    <w:rsid w:val="001367CC"/>
    <w:rsid w:val="00136C9C"/>
    <w:rsid w:val="00140235"/>
    <w:rsid w:val="0014030F"/>
    <w:rsid w:val="0014067D"/>
    <w:rsid w:val="001414BB"/>
    <w:rsid w:val="001414EA"/>
    <w:rsid w:val="00141ACD"/>
    <w:rsid w:val="00142394"/>
    <w:rsid w:val="0014333B"/>
    <w:rsid w:val="001438D5"/>
    <w:rsid w:val="00143A80"/>
    <w:rsid w:val="0014418B"/>
    <w:rsid w:val="00144430"/>
    <w:rsid w:val="00144638"/>
    <w:rsid w:val="00144B26"/>
    <w:rsid w:val="00145774"/>
    <w:rsid w:val="00145E41"/>
    <w:rsid w:val="00146043"/>
    <w:rsid w:val="0014625C"/>
    <w:rsid w:val="0014663F"/>
    <w:rsid w:val="00146AE8"/>
    <w:rsid w:val="001474B1"/>
    <w:rsid w:val="00147A66"/>
    <w:rsid w:val="001500E1"/>
    <w:rsid w:val="00150149"/>
    <w:rsid w:val="001502EB"/>
    <w:rsid w:val="0015063F"/>
    <w:rsid w:val="00150A79"/>
    <w:rsid w:val="00150BEB"/>
    <w:rsid w:val="00150F7A"/>
    <w:rsid w:val="00151507"/>
    <w:rsid w:val="001515FF"/>
    <w:rsid w:val="001520D9"/>
    <w:rsid w:val="001527EB"/>
    <w:rsid w:val="001536C9"/>
    <w:rsid w:val="001537A7"/>
    <w:rsid w:val="00153809"/>
    <w:rsid w:val="00153AA5"/>
    <w:rsid w:val="00153AAD"/>
    <w:rsid w:val="00153FCF"/>
    <w:rsid w:val="00154660"/>
    <w:rsid w:val="001556C2"/>
    <w:rsid w:val="0015634E"/>
    <w:rsid w:val="001571E1"/>
    <w:rsid w:val="00157459"/>
    <w:rsid w:val="0015771B"/>
    <w:rsid w:val="00157D3B"/>
    <w:rsid w:val="00160088"/>
    <w:rsid w:val="001604BD"/>
    <w:rsid w:val="00160A46"/>
    <w:rsid w:val="00160D37"/>
    <w:rsid w:val="00160E03"/>
    <w:rsid w:val="00160EF9"/>
    <w:rsid w:val="001610FD"/>
    <w:rsid w:val="0016155A"/>
    <w:rsid w:val="001615B3"/>
    <w:rsid w:val="0016174C"/>
    <w:rsid w:val="00161946"/>
    <w:rsid w:val="00161CD6"/>
    <w:rsid w:val="00162D90"/>
    <w:rsid w:val="00162E06"/>
    <w:rsid w:val="001634D6"/>
    <w:rsid w:val="00164046"/>
    <w:rsid w:val="001641DC"/>
    <w:rsid w:val="00164335"/>
    <w:rsid w:val="00165032"/>
    <w:rsid w:val="00165E24"/>
    <w:rsid w:val="00165F26"/>
    <w:rsid w:val="00166017"/>
    <w:rsid w:val="0016608C"/>
    <w:rsid w:val="00166677"/>
    <w:rsid w:val="001676A9"/>
    <w:rsid w:val="00167831"/>
    <w:rsid w:val="00167CA7"/>
    <w:rsid w:val="00170232"/>
    <w:rsid w:val="001704B4"/>
    <w:rsid w:val="001718DE"/>
    <w:rsid w:val="00171AF5"/>
    <w:rsid w:val="00171D18"/>
    <w:rsid w:val="0017201E"/>
    <w:rsid w:val="001727C8"/>
    <w:rsid w:val="001728D9"/>
    <w:rsid w:val="00172975"/>
    <w:rsid w:val="00172C02"/>
    <w:rsid w:val="0017325F"/>
    <w:rsid w:val="0017336A"/>
    <w:rsid w:val="00173632"/>
    <w:rsid w:val="0017382D"/>
    <w:rsid w:val="001739FE"/>
    <w:rsid w:val="00173B85"/>
    <w:rsid w:val="00173BF7"/>
    <w:rsid w:val="00174F34"/>
    <w:rsid w:val="001753EA"/>
    <w:rsid w:val="00176094"/>
    <w:rsid w:val="00176508"/>
    <w:rsid w:val="0017654F"/>
    <w:rsid w:val="001765A2"/>
    <w:rsid w:val="001766B8"/>
    <w:rsid w:val="00176753"/>
    <w:rsid w:val="00176C46"/>
    <w:rsid w:val="00176F58"/>
    <w:rsid w:val="001777A3"/>
    <w:rsid w:val="001777BD"/>
    <w:rsid w:val="00180055"/>
    <w:rsid w:val="001803AA"/>
    <w:rsid w:val="00180711"/>
    <w:rsid w:val="00180CF1"/>
    <w:rsid w:val="00180DBC"/>
    <w:rsid w:val="001811C4"/>
    <w:rsid w:val="00182237"/>
    <w:rsid w:val="001828C9"/>
    <w:rsid w:val="00183631"/>
    <w:rsid w:val="001837C9"/>
    <w:rsid w:val="00183CFE"/>
    <w:rsid w:val="0018489B"/>
    <w:rsid w:val="00184DD9"/>
    <w:rsid w:val="00185A4C"/>
    <w:rsid w:val="00185F85"/>
    <w:rsid w:val="00186478"/>
    <w:rsid w:val="00187AB5"/>
    <w:rsid w:val="00187CA1"/>
    <w:rsid w:val="00187FC4"/>
    <w:rsid w:val="00190621"/>
    <w:rsid w:val="00190E5F"/>
    <w:rsid w:val="001913C3"/>
    <w:rsid w:val="0019342F"/>
    <w:rsid w:val="0019428D"/>
    <w:rsid w:val="001953E4"/>
    <w:rsid w:val="001956F0"/>
    <w:rsid w:val="0019665F"/>
    <w:rsid w:val="00196BA3"/>
    <w:rsid w:val="00196D23"/>
    <w:rsid w:val="001975FF"/>
    <w:rsid w:val="001977A8"/>
    <w:rsid w:val="00197FC0"/>
    <w:rsid w:val="001A026A"/>
    <w:rsid w:val="001A0964"/>
    <w:rsid w:val="001A0A5E"/>
    <w:rsid w:val="001A0AA6"/>
    <w:rsid w:val="001A1BFA"/>
    <w:rsid w:val="001A1C2C"/>
    <w:rsid w:val="001A1EF5"/>
    <w:rsid w:val="001A2336"/>
    <w:rsid w:val="001A295F"/>
    <w:rsid w:val="001A2CC8"/>
    <w:rsid w:val="001A3172"/>
    <w:rsid w:val="001A35CE"/>
    <w:rsid w:val="001A37EB"/>
    <w:rsid w:val="001A3BBB"/>
    <w:rsid w:val="001A438F"/>
    <w:rsid w:val="001A4A04"/>
    <w:rsid w:val="001A546F"/>
    <w:rsid w:val="001A6EAA"/>
    <w:rsid w:val="001A7E3A"/>
    <w:rsid w:val="001B0C98"/>
    <w:rsid w:val="001B0DF2"/>
    <w:rsid w:val="001B12FE"/>
    <w:rsid w:val="001B13BD"/>
    <w:rsid w:val="001B1431"/>
    <w:rsid w:val="001B2B89"/>
    <w:rsid w:val="001B2F31"/>
    <w:rsid w:val="001B304E"/>
    <w:rsid w:val="001B31D2"/>
    <w:rsid w:val="001B3305"/>
    <w:rsid w:val="001B34DF"/>
    <w:rsid w:val="001B3632"/>
    <w:rsid w:val="001B383E"/>
    <w:rsid w:val="001B384B"/>
    <w:rsid w:val="001B396B"/>
    <w:rsid w:val="001B39C0"/>
    <w:rsid w:val="001B39C3"/>
    <w:rsid w:val="001B3F74"/>
    <w:rsid w:val="001B401F"/>
    <w:rsid w:val="001B4394"/>
    <w:rsid w:val="001B4552"/>
    <w:rsid w:val="001B47DF"/>
    <w:rsid w:val="001B4806"/>
    <w:rsid w:val="001B5476"/>
    <w:rsid w:val="001B552B"/>
    <w:rsid w:val="001B61A5"/>
    <w:rsid w:val="001B6753"/>
    <w:rsid w:val="001B6900"/>
    <w:rsid w:val="001B6AF9"/>
    <w:rsid w:val="001B7462"/>
    <w:rsid w:val="001C046B"/>
    <w:rsid w:val="001C052E"/>
    <w:rsid w:val="001C05B2"/>
    <w:rsid w:val="001C09E8"/>
    <w:rsid w:val="001C11DD"/>
    <w:rsid w:val="001C1A3F"/>
    <w:rsid w:val="001C1F66"/>
    <w:rsid w:val="001C2114"/>
    <w:rsid w:val="001C218C"/>
    <w:rsid w:val="001C2224"/>
    <w:rsid w:val="001C22A2"/>
    <w:rsid w:val="001C24E0"/>
    <w:rsid w:val="001C2A46"/>
    <w:rsid w:val="001C2D16"/>
    <w:rsid w:val="001C2E87"/>
    <w:rsid w:val="001C346A"/>
    <w:rsid w:val="001C3595"/>
    <w:rsid w:val="001C36CB"/>
    <w:rsid w:val="001C4467"/>
    <w:rsid w:val="001C4736"/>
    <w:rsid w:val="001C4DC6"/>
    <w:rsid w:val="001C54DA"/>
    <w:rsid w:val="001C5B97"/>
    <w:rsid w:val="001C5EF6"/>
    <w:rsid w:val="001C6253"/>
    <w:rsid w:val="001C67F1"/>
    <w:rsid w:val="001C69A7"/>
    <w:rsid w:val="001C6BA2"/>
    <w:rsid w:val="001C6CF0"/>
    <w:rsid w:val="001C6D84"/>
    <w:rsid w:val="001C7157"/>
    <w:rsid w:val="001C7772"/>
    <w:rsid w:val="001C787F"/>
    <w:rsid w:val="001C7894"/>
    <w:rsid w:val="001D04CE"/>
    <w:rsid w:val="001D06D5"/>
    <w:rsid w:val="001D0A64"/>
    <w:rsid w:val="001D0ABD"/>
    <w:rsid w:val="001D0B32"/>
    <w:rsid w:val="001D0BC1"/>
    <w:rsid w:val="001D1159"/>
    <w:rsid w:val="001D13BD"/>
    <w:rsid w:val="001D1832"/>
    <w:rsid w:val="001D186A"/>
    <w:rsid w:val="001D2004"/>
    <w:rsid w:val="001D2020"/>
    <w:rsid w:val="001D2238"/>
    <w:rsid w:val="001D2261"/>
    <w:rsid w:val="001D2283"/>
    <w:rsid w:val="001D2521"/>
    <w:rsid w:val="001D28D5"/>
    <w:rsid w:val="001D2914"/>
    <w:rsid w:val="001D3046"/>
    <w:rsid w:val="001D30F5"/>
    <w:rsid w:val="001D38B0"/>
    <w:rsid w:val="001D3E74"/>
    <w:rsid w:val="001D4565"/>
    <w:rsid w:val="001D45FB"/>
    <w:rsid w:val="001D4B63"/>
    <w:rsid w:val="001D51C5"/>
    <w:rsid w:val="001D5640"/>
    <w:rsid w:val="001D5A6B"/>
    <w:rsid w:val="001D5D76"/>
    <w:rsid w:val="001D5F6D"/>
    <w:rsid w:val="001D685C"/>
    <w:rsid w:val="001D7130"/>
    <w:rsid w:val="001D75C2"/>
    <w:rsid w:val="001D7D87"/>
    <w:rsid w:val="001D7F49"/>
    <w:rsid w:val="001E03EE"/>
    <w:rsid w:val="001E04E1"/>
    <w:rsid w:val="001E0C2D"/>
    <w:rsid w:val="001E10EC"/>
    <w:rsid w:val="001E131A"/>
    <w:rsid w:val="001E1462"/>
    <w:rsid w:val="001E16F9"/>
    <w:rsid w:val="001E18FF"/>
    <w:rsid w:val="001E19CC"/>
    <w:rsid w:val="001E23BD"/>
    <w:rsid w:val="001E29E0"/>
    <w:rsid w:val="001E3176"/>
    <w:rsid w:val="001E335F"/>
    <w:rsid w:val="001E33E5"/>
    <w:rsid w:val="001E3890"/>
    <w:rsid w:val="001E3FF7"/>
    <w:rsid w:val="001E4122"/>
    <w:rsid w:val="001E41AD"/>
    <w:rsid w:val="001E4600"/>
    <w:rsid w:val="001E4E67"/>
    <w:rsid w:val="001E51DE"/>
    <w:rsid w:val="001E58B9"/>
    <w:rsid w:val="001E5FAE"/>
    <w:rsid w:val="001E663C"/>
    <w:rsid w:val="001E6803"/>
    <w:rsid w:val="001E6D44"/>
    <w:rsid w:val="001E72D3"/>
    <w:rsid w:val="001E744C"/>
    <w:rsid w:val="001E79D1"/>
    <w:rsid w:val="001F0669"/>
    <w:rsid w:val="001F08E6"/>
    <w:rsid w:val="001F08EE"/>
    <w:rsid w:val="001F0CA6"/>
    <w:rsid w:val="001F13F9"/>
    <w:rsid w:val="001F1914"/>
    <w:rsid w:val="001F1ADE"/>
    <w:rsid w:val="001F2DD3"/>
    <w:rsid w:val="001F3ED5"/>
    <w:rsid w:val="001F47C2"/>
    <w:rsid w:val="001F530C"/>
    <w:rsid w:val="001F570D"/>
    <w:rsid w:val="001F5BD3"/>
    <w:rsid w:val="001F5FD5"/>
    <w:rsid w:val="001F6093"/>
    <w:rsid w:val="001F65AB"/>
    <w:rsid w:val="001F65D4"/>
    <w:rsid w:val="001F65E6"/>
    <w:rsid w:val="001F66E5"/>
    <w:rsid w:val="001F685A"/>
    <w:rsid w:val="001F6AE7"/>
    <w:rsid w:val="001F6D78"/>
    <w:rsid w:val="001F6F94"/>
    <w:rsid w:val="001F6FDC"/>
    <w:rsid w:val="001F737B"/>
    <w:rsid w:val="002001C3"/>
    <w:rsid w:val="0020035C"/>
    <w:rsid w:val="002008E1"/>
    <w:rsid w:val="00200D43"/>
    <w:rsid w:val="00201356"/>
    <w:rsid w:val="0020215A"/>
    <w:rsid w:val="0020216D"/>
    <w:rsid w:val="0020228E"/>
    <w:rsid w:val="0020270F"/>
    <w:rsid w:val="00202929"/>
    <w:rsid w:val="00202B00"/>
    <w:rsid w:val="00202BD8"/>
    <w:rsid w:val="00202C16"/>
    <w:rsid w:val="00203158"/>
    <w:rsid w:val="00203295"/>
    <w:rsid w:val="002033DE"/>
    <w:rsid w:val="00203625"/>
    <w:rsid w:val="00204278"/>
    <w:rsid w:val="00204295"/>
    <w:rsid w:val="0020448C"/>
    <w:rsid w:val="002045D9"/>
    <w:rsid w:val="00204F47"/>
    <w:rsid w:val="00205014"/>
    <w:rsid w:val="00205461"/>
    <w:rsid w:val="00205C72"/>
    <w:rsid w:val="002062A1"/>
    <w:rsid w:val="00206317"/>
    <w:rsid w:val="00206B65"/>
    <w:rsid w:val="002073DA"/>
    <w:rsid w:val="0020742D"/>
    <w:rsid w:val="0020770F"/>
    <w:rsid w:val="002078B9"/>
    <w:rsid w:val="00207A32"/>
    <w:rsid w:val="00207FEE"/>
    <w:rsid w:val="0021002A"/>
    <w:rsid w:val="002104CC"/>
    <w:rsid w:val="0021116E"/>
    <w:rsid w:val="002111C8"/>
    <w:rsid w:val="00211774"/>
    <w:rsid w:val="002119BE"/>
    <w:rsid w:val="00211C31"/>
    <w:rsid w:val="00211D10"/>
    <w:rsid w:val="0021203B"/>
    <w:rsid w:val="00213776"/>
    <w:rsid w:val="00213965"/>
    <w:rsid w:val="002143B8"/>
    <w:rsid w:val="002147F6"/>
    <w:rsid w:val="002149F8"/>
    <w:rsid w:val="00214C2D"/>
    <w:rsid w:val="002151D6"/>
    <w:rsid w:val="00215D05"/>
    <w:rsid w:val="00216122"/>
    <w:rsid w:val="00216545"/>
    <w:rsid w:val="0022032A"/>
    <w:rsid w:val="0022038D"/>
    <w:rsid w:val="00220FEC"/>
    <w:rsid w:val="0022191D"/>
    <w:rsid w:val="00221A9E"/>
    <w:rsid w:val="002221CB"/>
    <w:rsid w:val="0022230A"/>
    <w:rsid w:val="00222E9C"/>
    <w:rsid w:val="00222EC4"/>
    <w:rsid w:val="0022317F"/>
    <w:rsid w:val="002233AF"/>
    <w:rsid w:val="00223738"/>
    <w:rsid w:val="002237CC"/>
    <w:rsid w:val="002242F7"/>
    <w:rsid w:val="00224894"/>
    <w:rsid w:val="00224F34"/>
    <w:rsid w:val="00225089"/>
    <w:rsid w:val="002252E5"/>
    <w:rsid w:val="00225F01"/>
    <w:rsid w:val="00225F91"/>
    <w:rsid w:val="00227914"/>
    <w:rsid w:val="002302A6"/>
    <w:rsid w:val="002309A8"/>
    <w:rsid w:val="00231558"/>
    <w:rsid w:val="00231D62"/>
    <w:rsid w:val="00231EE4"/>
    <w:rsid w:val="002322EA"/>
    <w:rsid w:val="0023292C"/>
    <w:rsid w:val="00232A33"/>
    <w:rsid w:val="002336C3"/>
    <w:rsid w:val="002337AE"/>
    <w:rsid w:val="00233CAC"/>
    <w:rsid w:val="00234178"/>
    <w:rsid w:val="00234390"/>
    <w:rsid w:val="00234BBB"/>
    <w:rsid w:val="00235617"/>
    <w:rsid w:val="00235B6B"/>
    <w:rsid w:val="00235D0A"/>
    <w:rsid w:val="00235FF4"/>
    <w:rsid w:val="00236FF8"/>
    <w:rsid w:val="00237217"/>
    <w:rsid w:val="002405EA"/>
    <w:rsid w:val="00240A70"/>
    <w:rsid w:val="00241377"/>
    <w:rsid w:val="002413FD"/>
    <w:rsid w:val="00242095"/>
    <w:rsid w:val="00242709"/>
    <w:rsid w:val="00242D24"/>
    <w:rsid w:val="0024407C"/>
    <w:rsid w:val="0024420C"/>
    <w:rsid w:val="002446E1"/>
    <w:rsid w:val="002447EE"/>
    <w:rsid w:val="00244D24"/>
    <w:rsid w:val="002454C3"/>
    <w:rsid w:val="00245CFC"/>
    <w:rsid w:val="00245EA5"/>
    <w:rsid w:val="00246064"/>
    <w:rsid w:val="0024622C"/>
    <w:rsid w:val="0024630E"/>
    <w:rsid w:val="00246651"/>
    <w:rsid w:val="00246C6E"/>
    <w:rsid w:val="00246D9C"/>
    <w:rsid w:val="0024729D"/>
    <w:rsid w:val="0024764C"/>
    <w:rsid w:val="00247A2B"/>
    <w:rsid w:val="00247B6C"/>
    <w:rsid w:val="00250504"/>
    <w:rsid w:val="002511BC"/>
    <w:rsid w:val="002521F8"/>
    <w:rsid w:val="002525B1"/>
    <w:rsid w:val="00252801"/>
    <w:rsid w:val="00253655"/>
    <w:rsid w:val="002545E5"/>
    <w:rsid w:val="002547F0"/>
    <w:rsid w:val="00255295"/>
    <w:rsid w:val="00255352"/>
    <w:rsid w:val="00255918"/>
    <w:rsid w:val="00256EBD"/>
    <w:rsid w:val="00256ECC"/>
    <w:rsid w:val="00257536"/>
    <w:rsid w:val="00257ADF"/>
    <w:rsid w:val="002605EC"/>
    <w:rsid w:val="0026061C"/>
    <w:rsid w:val="002608AF"/>
    <w:rsid w:val="002612B9"/>
    <w:rsid w:val="0026186D"/>
    <w:rsid w:val="00261D40"/>
    <w:rsid w:val="00261E8D"/>
    <w:rsid w:val="00261F17"/>
    <w:rsid w:val="00262256"/>
    <w:rsid w:val="002628CE"/>
    <w:rsid w:val="00262EDD"/>
    <w:rsid w:val="00263767"/>
    <w:rsid w:val="0026396D"/>
    <w:rsid w:val="00263A42"/>
    <w:rsid w:val="00263F26"/>
    <w:rsid w:val="00264731"/>
    <w:rsid w:val="002647AA"/>
    <w:rsid w:val="00265240"/>
    <w:rsid w:val="0026539A"/>
    <w:rsid w:val="00265CDE"/>
    <w:rsid w:val="00265D2F"/>
    <w:rsid w:val="00265D49"/>
    <w:rsid w:val="00266090"/>
    <w:rsid w:val="0026625A"/>
    <w:rsid w:val="00266481"/>
    <w:rsid w:val="00266582"/>
    <w:rsid w:val="002667B2"/>
    <w:rsid w:val="002669FC"/>
    <w:rsid w:val="00266FD4"/>
    <w:rsid w:val="00267923"/>
    <w:rsid w:val="002679FB"/>
    <w:rsid w:val="00267F8E"/>
    <w:rsid w:val="00270795"/>
    <w:rsid w:val="00270A4B"/>
    <w:rsid w:val="00270DCD"/>
    <w:rsid w:val="00271550"/>
    <w:rsid w:val="0027197E"/>
    <w:rsid w:val="00271A0A"/>
    <w:rsid w:val="00271F31"/>
    <w:rsid w:val="00272995"/>
    <w:rsid w:val="00272CB4"/>
    <w:rsid w:val="00272D1F"/>
    <w:rsid w:val="00272EFB"/>
    <w:rsid w:val="002731AB"/>
    <w:rsid w:val="00273735"/>
    <w:rsid w:val="00273CC6"/>
    <w:rsid w:val="00274141"/>
    <w:rsid w:val="00274201"/>
    <w:rsid w:val="00274897"/>
    <w:rsid w:val="00274C7A"/>
    <w:rsid w:val="00274DC7"/>
    <w:rsid w:val="002751B8"/>
    <w:rsid w:val="002762AA"/>
    <w:rsid w:val="002768F1"/>
    <w:rsid w:val="0027725B"/>
    <w:rsid w:val="00277D3F"/>
    <w:rsid w:val="0028025A"/>
    <w:rsid w:val="0028064D"/>
    <w:rsid w:val="00280DBE"/>
    <w:rsid w:val="00280FB4"/>
    <w:rsid w:val="00281406"/>
    <w:rsid w:val="00281AA3"/>
    <w:rsid w:val="00281FDD"/>
    <w:rsid w:val="00282997"/>
    <w:rsid w:val="00283B23"/>
    <w:rsid w:val="002844E5"/>
    <w:rsid w:val="00284748"/>
    <w:rsid w:val="00284F8F"/>
    <w:rsid w:val="002851AF"/>
    <w:rsid w:val="00285554"/>
    <w:rsid w:val="0028567C"/>
    <w:rsid w:val="00285FFE"/>
    <w:rsid w:val="0028607E"/>
    <w:rsid w:val="0028701C"/>
    <w:rsid w:val="0029021D"/>
    <w:rsid w:val="002904CC"/>
    <w:rsid w:val="00290874"/>
    <w:rsid w:val="00290C49"/>
    <w:rsid w:val="00291963"/>
    <w:rsid w:val="00291A6B"/>
    <w:rsid w:val="00292717"/>
    <w:rsid w:val="00292976"/>
    <w:rsid w:val="00293C03"/>
    <w:rsid w:val="00293E75"/>
    <w:rsid w:val="00293EB8"/>
    <w:rsid w:val="00293EFC"/>
    <w:rsid w:val="00293F13"/>
    <w:rsid w:val="00293FD2"/>
    <w:rsid w:val="00294180"/>
    <w:rsid w:val="00294287"/>
    <w:rsid w:val="002945B3"/>
    <w:rsid w:val="002945CC"/>
    <w:rsid w:val="00294CEE"/>
    <w:rsid w:val="002951AD"/>
    <w:rsid w:val="00295927"/>
    <w:rsid w:val="00295A04"/>
    <w:rsid w:val="00295A5E"/>
    <w:rsid w:val="00296088"/>
    <w:rsid w:val="0029690F"/>
    <w:rsid w:val="00296DF4"/>
    <w:rsid w:val="00296E3F"/>
    <w:rsid w:val="002972DD"/>
    <w:rsid w:val="0029765A"/>
    <w:rsid w:val="00297FBC"/>
    <w:rsid w:val="002A0405"/>
    <w:rsid w:val="002A0C2F"/>
    <w:rsid w:val="002A0D74"/>
    <w:rsid w:val="002A0DD3"/>
    <w:rsid w:val="002A1261"/>
    <w:rsid w:val="002A1416"/>
    <w:rsid w:val="002A1614"/>
    <w:rsid w:val="002A358C"/>
    <w:rsid w:val="002A3874"/>
    <w:rsid w:val="002A3895"/>
    <w:rsid w:val="002A3FBC"/>
    <w:rsid w:val="002A441D"/>
    <w:rsid w:val="002A4737"/>
    <w:rsid w:val="002A4AC9"/>
    <w:rsid w:val="002A5644"/>
    <w:rsid w:val="002A58EA"/>
    <w:rsid w:val="002A5F7B"/>
    <w:rsid w:val="002A6068"/>
    <w:rsid w:val="002A606B"/>
    <w:rsid w:val="002A638A"/>
    <w:rsid w:val="002B1054"/>
    <w:rsid w:val="002B1070"/>
    <w:rsid w:val="002B108A"/>
    <w:rsid w:val="002B144D"/>
    <w:rsid w:val="002B1E29"/>
    <w:rsid w:val="002B24FE"/>
    <w:rsid w:val="002B389B"/>
    <w:rsid w:val="002B4DD0"/>
    <w:rsid w:val="002B5344"/>
    <w:rsid w:val="002B546F"/>
    <w:rsid w:val="002B581A"/>
    <w:rsid w:val="002B5947"/>
    <w:rsid w:val="002B6287"/>
    <w:rsid w:val="002B63C3"/>
    <w:rsid w:val="002B7232"/>
    <w:rsid w:val="002B749E"/>
    <w:rsid w:val="002B75FE"/>
    <w:rsid w:val="002B7714"/>
    <w:rsid w:val="002B777C"/>
    <w:rsid w:val="002C05F2"/>
    <w:rsid w:val="002C072A"/>
    <w:rsid w:val="002C0B8B"/>
    <w:rsid w:val="002C14DA"/>
    <w:rsid w:val="002C164C"/>
    <w:rsid w:val="002C26F4"/>
    <w:rsid w:val="002C278A"/>
    <w:rsid w:val="002C2ED5"/>
    <w:rsid w:val="002C334B"/>
    <w:rsid w:val="002C4312"/>
    <w:rsid w:val="002C5277"/>
    <w:rsid w:val="002C52D2"/>
    <w:rsid w:val="002C57E9"/>
    <w:rsid w:val="002C5FFF"/>
    <w:rsid w:val="002C6474"/>
    <w:rsid w:val="002C6B71"/>
    <w:rsid w:val="002C7730"/>
    <w:rsid w:val="002C78BC"/>
    <w:rsid w:val="002C7AD6"/>
    <w:rsid w:val="002D01E9"/>
    <w:rsid w:val="002D154C"/>
    <w:rsid w:val="002D1680"/>
    <w:rsid w:val="002D1708"/>
    <w:rsid w:val="002D193E"/>
    <w:rsid w:val="002D1A12"/>
    <w:rsid w:val="002D1D21"/>
    <w:rsid w:val="002D1E81"/>
    <w:rsid w:val="002D1FCF"/>
    <w:rsid w:val="002D2037"/>
    <w:rsid w:val="002D24CD"/>
    <w:rsid w:val="002D2FF0"/>
    <w:rsid w:val="002D348D"/>
    <w:rsid w:val="002D35F3"/>
    <w:rsid w:val="002D3845"/>
    <w:rsid w:val="002D4389"/>
    <w:rsid w:val="002D4501"/>
    <w:rsid w:val="002D47B3"/>
    <w:rsid w:val="002D5828"/>
    <w:rsid w:val="002D65B7"/>
    <w:rsid w:val="002D669F"/>
    <w:rsid w:val="002D68C7"/>
    <w:rsid w:val="002D74B0"/>
    <w:rsid w:val="002D7DE0"/>
    <w:rsid w:val="002E0701"/>
    <w:rsid w:val="002E07A0"/>
    <w:rsid w:val="002E0906"/>
    <w:rsid w:val="002E09B2"/>
    <w:rsid w:val="002E1128"/>
    <w:rsid w:val="002E1727"/>
    <w:rsid w:val="002E1B6A"/>
    <w:rsid w:val="002E1ED4"/>
    <w:rsid w:val="002E264C"/>
    <w:rsid w:val="002E2B04"/>
    <w:rsid w:val="002E2F81"/>
    <w:rsid w:val="002E3202"/>
    <w:rsid w:val="002E3577"/>
    <w:rsid w:val="002E3F06"/>
    <w:rsid w:val="002E405E"/>
    <w:rsid w:val="002E49AB"/>
    <w:rsid w:val="002E4C58"/>
    <w:rsid w:val="002E4CB5"/>
    <w:rsid w:val="002E4FEC"/>
    <w:rsid w:val="002E52AD"/>
    <w:rsid w:val="002E58E4"/>
    <w:rsid w:val="002E5C86"/>
    <w:rsid w:val="002E63ED"/>
    <w:rsid w:val="002E6680"/>
    <w:rsid w:val="002E66E7"/>
    <w:rsid w:val="002E6D1E"/>
    <w:rsid w:val="002E6FAF"/>
    <w:rsid w:val="002E71D0"/>
    <w:rsid w:val="002E78A6"/>
    <w:rsid w:val="002F0444"/>
    <w:rsid w:val="002F09E2"/>
    <w:rsid w:val="002F0FB7"/>
    <w:rsid w:val="002F1228"/>
    <w:rsid w:val="002F205F"/>
    <w:rsid w:val="002F2A64"/>
    <w:rsid w:val="002F2E5F"/>
    <w:rsid w:val="002F2F17"/>
    <w:rsid w:val="002F2F63"/>
    <w:rsid w:val="002F3009"/>
    <w:rsid w:val="002F31D5"/>
    <w:rsid w:val="002F32CC"/>
    <w:rsid w:val="002F344B"/>
    <w:rsid w:val="002F3BDA"/>
    <w:rsid w:val="002F4098"/>
    <w:rsid w:val="002F41A0"/>
    <w:rsid w:val="002F4456"/>
    <w:rsid w:val="002F4673"/>
    <w:rsid w:val="002F46C9"/>
    <w:rsid w:val="002F52BC"/>
    <w:rsid w:val="002F5858"/>
    <w:rsid w:val="002F5A3C"/>
    <w:rsid w:val="002F5B82"/>
    <w:rsid w:val="002F5EF6"/>
    <w:rsid w:val="002F63A5"/>
    <w:rsid w:val="002F6C6D"/>
    <w:rsid w:val="002F6EAA"/>
    <w:rsid w:val="002F6FF0"/>
    <w:rsid w:val="002F76D5"/>
    <w:rsid w:val="002F7A5F"/>
    <w:rsid w:val="002F7DED"/>
    <w:rsid w:val="0030057E"/>
    <w:rsid w:val="0030091B"/>
    <w:rsid w:val="00300A40"/>
    <w:rsid w:val="00300A43"/>
    <w:rsid w:val="003012FC"/>
    <w:rsid w:val="00301396"/>
    <w:rsid w:val="003013F3"/>
    <w:rsid w:val="00301825"/>
    <w:rsid w:val="003026D0"/>
    <w:rsid w:val="00302C83"/>
    <w:rsid w:val="00304134"/>
    <w:rsid w:val="0030422F"/>
    <w:rsid w:val="00304EF9"/>
    <w:rsid w:val="0030553D"/>
    <w:rsid w:val="00305A68"/>
    <w:rsid w:val="00305B73"/>
    <w:rsid w:val="00306788"/>
    <w:rsid w:val="00306A8A"/>
    <w:rsid w:val="00307035"/>
    <w:rsid w:val="003070C6"/>
    <w:rsid w:val="003070FD"/>
    <w:rsid w:val="00307169"/>
    <w:rsid w:val="00307420"/>
    <w:rsid w:val="003102D7"/>
    <w:rsid w:val="00310AD2"/>
    <w:rsid w:val="0031186C"/>
    <w:rsid w:val="00311A12"/>
    <w:rsid w:val="00311ADC"/>
    <w:rsid w:val="00311B46"/>
    <w:rsid w:val="003121BD"/>
    <w:rsid w:val="003122A9"/>
    <w:rsid w:val="00312AED"/>
    <w:rsid w:val="00313978"/>
    <w:rsid w:val="00313F80"/>
    <w:rsid w:val="00314600"/>
    <w:rsid w:val="00314B81"/>
    <w:rsid w:val="00314FFC"/>
    <w:rsid w:val="00315997"/>
    <w:rsid w:val="00315EBC"/>
    <w:rsid w:val="00315FC9"/>
    <w:rsid w:val="0031605C"/>
    <w:rsid w:val="0031723E"/>
    <w:rsid w:val="003175A6"/>
    <w:rsid w:val="00317768"/>
    <w:rsid w:val="003177B4"/>
    <w:rsid w:val="00320504"/>
    <w:rsid w:val="00320889"/>
    <w:rsid w:val="00321753"/>
    <w:rsid w:val="00321F69"/>
    <w:rsid w:val="00322091"/>
    <w:rsid w:val="00322693"/>
    <w:rsid w:val="003226F7"/>
    <w:rsid w:val="00322AC1"/>
    <w:rsid w:val="0032390B"/>
    <w:rsid w:val="00323B2B"/>
    <w:rsid w:val="00323F18"/>
    <w:rsid w:val="00325280"/>
    <w:rsid w:val="00325C6C"/>
    <w:rsid w:val="00325DAF"/>
    <w:rsid w:val="00326349"/>
    <w:rsid w:val="00326A57"/>
    <w:rsid w:val="003270BB"/>
    <w:rsid w:val="003277C7"/>
    <w:rsid w:val="00327C2F"/>
    <w:rsid w:val="00327DFB"/>
    <w:rsid w:val="00327E12"/>
    <w:rsid w:val="00330902"/>
    <w:rsid w:val="00330905"/>
    <w:rsid w:val="00330B95"/>
    <w:rsid w:val="00330E88"/>
    <w:rsid w:val="00331811"/>
    <w:rsid w:val="00331D81"/>
    <w:rsid w:val="00331E50"/>
    <w:rsid w:val="0033287A"/>
    <w:rsid w:val="00332FF5"/>
    <w:rsid w:val="00333041"/>
    <w:rsid w:val="003340E2"/>
    <w:rsid w:val="00334695"/>
    <w:rsid w:val="00334957"/>
    <w:rsid w:val="00335454"/>
    <w:rsid w:val="00335B22"/>
    <w:rsid w:val="003366E7"/>
    <w:rsid w:val="00336953"/>
    <w:rsid w:val="00336B0F"/>
    <w:rsid w:val="00336C3D"/>
    <w:rsid w:val="00336F38"/>
    <w:rsid w:val="003377BA"/>
    <w:rsid w:val="00337C21"/>
    <w:rsid w:val="00337C2B"/>
    <w:rsid w:val="0034001F"/>
    <w:rsid w:val="00340648"/>
    <w:rsid w:val="0034072B"/>
    <w:rsid w:val="003408F4"/>
    <w:rsid w:val="00340E54"/>
    <w:rsid w:val="003414CC"/>
    <w:rsid w:val="00341C87"/>
    <w:rsid w:val="00342816"/>
    <w:rsid w:val="00342A82"/>
    <w:rsid w:val="00342C51"/>
    <w:rsid w:val="00344007"/>
    <w:rsid w:val="0034424D"/>
    <w:rsid w:val="0034523E"/>
    <w:rsid w:val="00345653"/>
    <w:rsid w:val="003457C7"/>
    <w:rsid w:val="00345D02"/>
    <w:rsid w:val="00345ED6"/>
    <w:rsid w:val="0034628F"/>
    <w:rsid w:val="00346D37"/>
    <w:rsid w:val="00346D9C"/>
    <w:rsid w:val="00346D9D"/>
    <w:rsid w:val="00346DFD"/>
    <w:rsid w:val="003478C7"/>
    <w:rsid w:val="00347A66"/>
    <w:rsid w:val="0035026F"/>
    <w:rsid w:val="003505C4"/>
    <w:rsid w:val="00350978"/>
    <w:rsid w:val="00351074"/>
    <w:rsid w:val="003514C6"/>
    <w:rsid w:val="00351737"/>
    <w:rsid w:val="00351896"/>
    <w:rsid w:val="0035197A"/>
    <w:rsid w:val="00351DB5"/>
    <w:rsid w:val="00352650"/>
    <w:rsid w:val="00352D12"/>
    <w:rsid w:val="00353162"/>
    <w:rsid w:val="003537D3"/>
    <w:rsid w:val="00353AEB"/>
    <w:rsid w:val="00354C09"/>
    <w:rsid w:val="00355464"/>
    <w:rsid w:val="003555D3"/>
    <w:rsid w:val="003561CB"/>
    <w:rsid w:val="003565EA"/>
    <w:rsid w:val="00356B8E"/>
    <w:rsid w:val="00357F6D"/>
    <w:rsid w:val="00360172"/>
    <w:rsid w:val="00360522"/>
    <w:rsid w:val="00360960"/>
    <w:rsid w:val="00360AE5"/>
    <w:rsid w:val="0036119B"/>
    <w:rsid w:val="003615D3"/>
    <w:rsid w:val="00361746"/>
    <w:rsid w:val="00361918"/>
    <w:rsid w:val="00361BCA"/>
    <w:rsid w:val="00362136"/>
    <w:rsid w:val="003622B7"/>
    <w:rsid w:val="003623BB"/>
    <w:rsid w:val="00362512"/>
    <w:rsid w:val="00362532"/>
    <w:rsid w:val="003626AB"/>
    <w:rsid w:val="003627F9"/>
    <w:rsid w:val="00362805"/>
    <w:rsid w:val="00362AD2"/>
    <w:rsid w:val="00363303"/>
    <w:rsid w:val="003635EF"/>
    <w:rsid w:val="003639CA"/>
    <w:rsid w:val="003639F6"/>
    <w:rsid w:val="00363C11"/>
    <w:rsid w:val="00363E1B"/>
    <w:rsid w:val="00364937"/>
    <w:rsid w:val="00364A2D"/>
    <w:rsid w:val="00364B71"/>
    <w:rsid w:val="00364D77"/>
    <w:rsid w:val="00365768"/>
    <w:rsid w:val="00365D35"/>
    <w:rsid w:val="00365FEE"/>
    <w:rsid w:val="003669D5"/>
    <w:rsid w:val="00367095"/>
    <w:rsid w:val="00367170"/>
    <w:rsid w:val="003671A3"/>
    <w:rsid w:val="00367995"/>
    <w:rsid w:val="003700B5"/>
    <w:rsid w:val="003701EB"/>
    <w:rsid w:val="00370842"/>
    <w:rsid w:val="00371000"/>
    <w:rsid w:val="0037154E"/>
    <w:rsid w:val="003716ED"/>
    <w:rsid w:val="00371B41"/>
    <w:rsid w:val="00371F83"/>
    <w:rsid w:val="0037234B"/>
    <w:rsid w:val="003724C5"/>
    <w:rsid w:val="003725C4"/>
    <w:rsid w:val="00372B5A"/>
    <w:rsid w:val="00373E64"/>
    <w:rsid w:val="003746B3"/>
    <w:rsid w:val="003762ED"/>
    <w:rsid w:val="0037640B"/>
    <w:rsid w:val="00376A74"/>
    <w:rsid w:val="003770B6"/>
    <w:rsid w:val="0037713F"/>
    <w:rsid w:val="00377E5B"/>
    <w:rsid w:val="00377FB4"/>
    <w:rsid w:val="0038010C"/>
    <w:rsid w:val="0038015B"/>
    <w:rsid w:val="00380A14"/>
    <w:rsid w:val="00380F58"/>
    <w:rsid w:val="00380F67"/>
    <w:rsid w:val="00381288"/>
    <w:rsid w:val="0038138E"/>
    <w:rsid w:val="00381911"/>
    <w:rsid w:val="00381A0B"/>
    <w:rsid w:val="00381B29"/>
    <w:rsid w:val="00381C53"/>
    <w:rsid w:val="00381CB8"/>
    <w:rsid w:val="00381ED9"/>
    <w:rsid w:val="00381FFF"/>
    <w:rsid w:val="00382D43"/>
    <w:rsid w:val="00382D87"/>
    <w:rsid w:val="00382F0A"/>
    <w:rsid w:val="0038369F"/>
    <w:rsid w:val="0038482F"/>
    <w:rsid w:val="00384C08"/>
    <w:rsid w:val="00384F49"/>
    <w:rsid w:val="00385118"/>
    <w:rsid w:val="003851A0"/>
    <w:rsid w:val="003853BE"/>
    <w:rsid w:val="003855BA"/>
    <w:rsid w:val="003856EF"/>
    <w:rsid w:val="0038576E"/>
    <w:rsid w:val="00386364"/>
    <w:rsid w:val="003864A5"/>
    <w:rsid w:val="00386C29"/>
    <w:rsid w:val="00386D12"/>
    <w:rsid w:val="00387391"/>
    <w:rsid w:val="00387D9B"/>
    <w:rsid w:val="00390206"/>
    <w:rsid w:val="0039052F"/>
    <w:rsid w:val="003907B3"/>
    <w:rsid w:val="00390B79"/>
    <w:rsid w:val="00390F70"/>
    <w:rsid w:val="00391627"/>
    <w:rsid w:val="003916FA"/>
    <w:rsid w:val="00391819"/>
    <w:rsid w:val="0039220D"/>
    <w:rsid w:val="00392541"/>
    <w:rsid w:val="003927DB"/>
    <w:rsid w:val="00392F74"/>
    <w:rsid w:val="00393218"/>
    <w:rsid w:val="003933D5"/>
    <w:rsid w:val="003949B3"/>
    <w:rsid w:val="00394A5F"/>
    <w:rsid w:val="00394AA8"/>
    <w:rsid w:val="00394EFE"/>
    <w:rsid w:val="0039537C"/>
    <w:rsid w:val="003956E8"/>
    <w:rsid w:val="00396077"/>
    <w:rsid w:val="00396B53"/>
    <w:rsid w:val="00396B66"/>
    <w:rsid w:val="00396DC2"/>
    <w:rsid w:val="0039719A"/>
    <w:rsid w:val="00397A2C"/>
    <w:rsid w:val="003A0429"/>
    <w:rsid w:val="003A097B"/>
    <w:rsid w:val="003A0FB4"/>
    <w:rsid w:val="003A224B"/>
    <w:rsid w:val="003A2411"/>
    <w:rsid w:val="003A25C0"/>
    <w:rsid w:val="003A2CAB"/>
    <w:rsid w:val="003A31DB"/>
    <w:rsid w:val="003A37F1"/>
    <w:rsid w:val="003A38BB"/>
    <w:rsid w:val="003A4AE2"/>
    <w:rsid w:val="003A5423"/>
    <w:rsid w:val="003A55E0"/>
    <w:rsid w:val="003A5AE2"/>
    <w:rsid w:val="003A5EDF"/>
    <w:rsid w:val="003A627F"/>
    <w:rsid w:val="003A66FB"/>
    <w:rsid w:val="003A75CE"/>
    <w:rsid w:val="003A7858"/>
    <w:rsid w:val="003B03A2"/>
    <w:rsid w:val="003B06EC"/>
    <w:rsid w:val="003B170A"/>
    <w:rsid w:val="003B1DD6"/>
    <w:rsid w:val="003B1E0E"/>
    <w:rsid w:val="003B25D4"/>
    <w:rsid w:val="003B275A"/>
    <w:rsid w:val="003B2848"/>
    <w:rsid w:val="003B2EF8"/>
    <w:rsid w:val="003B2F5A"/>
    <w:rsid w:val="003B36C2"/>
    <w:rsid w:val="003B4013"/>
    <w:rsid w:val="003B4180"/>
    <w:rsid w:val="003B41A6"/>
    <w:rsid w:val="003B4C1B"/>
    <w:rsid w:val="003B4DB2"/>
    <w:rsid w:val="003B4F09"/>
    <w:rsid w:val="003B5099"/>
    <w:rsid w:val="003B5299"/>
    <w:rsid w:val="003B591A"/>
    <w:rsid w:val="003B6637"/>
    <w:rsid w:val="003B7580"/>
    <w:rsid w:val="003B7C2C"/>
    <w:rsid w:val="003C04F3"/>
    <w:rsid w:val="003C054B"/>
    <w:rsid w:val="003C06EC"/>
    <w:rsid w:val="003C0994"/>
    <w:rsid w:val="003C0CDD"/>
    <w:rsid w:val="003C1285"/>
    <w:rsid w:val="003C16B5"/>
    <w:rsid w:val="003C2EBB"/>
    <w:rsid w:val="003C3778"/>
    <w:rsid w:val="003C3C40"/>
    <w:rsid w:val="003C45E7"/>
    <w:rsid w:val="003C4DCD"/>
    <w:rsid w:val="003C5520"/>
    <w:rsid w:val="003C5A47"/>
    <w:rsid w:val="003C5E8D"/>
    <w:rsid w:val="003C6329"/>
    <w:rsid w:val="003C6676"/>
    <w:rsid w:val="003C66B6"/>
    <w:rsid w:val="003C675A"/>
    <w:rsid w:val="003C6A22"/>
    <w:rsid w:val="003C6D10"/>
    <w:rsid w:val="003C6D5C"/>
    <w:rsid w:val="003C6FC8"/>
    <w:rsid w:val="003C7386"/>
    <w:rsid w:val="003C74E1"/>
    <w:rsid w:val="003D0382"/>
    <w:rsid w:val="003D04ED"/>
    <w:rsid w:val="003D05C0"/>
    <w:rsid w:val="003D0CDB"/>
    <w:rsid w:val="003D0F94"/>
    <w:rsid w:val="003D177A"/>
    <w:rsid w:val="003D1976"/>
    <w:rsid w:val="003D1AC3"/>
    <w:rsid w:val="003D1F08"/>
    <w:rsid w:val="003D229F"/>
    <w:rsid w:val="003D26A1"/>
    <w:rsid w:val="003D26EA"/>
    <w:rsid w:val="003D2C98"/>
    <w:rsid w:val="003D2D43"/>
    <w:rsid w:val="003D3107"/>
    <w:rsid w:val="003D3512"/>
    <w:rsid w:val="003D36CE"/>
    <w:rsid w:val="003D371F"/>
    <w:rsid w:val="003D398E"/>
    <w:rsid w:val="003D3A15"/>
    <w:rsid w:val="003D3F61"/>
    <w:rsid w:val="003D4150"/>
    <w:rsid w:val="003D4EE2"/>
    <w:rsid w:val="003D5521"/>
    <w:rsid w:val="003D63E1"/>
    <w:rsid w:val="003D67EE"/>
    <w:rsid w:val="003D6882"/>
    <w:rsid w:val="003D70FC"/>
    <w:rsid w:val="003D75D5"/>
    <w:rsid w:val="003D762A"/>
    <w:rsid w:val="003D78C9"/>
    <w:rsid w:val="003D7D41"/>
    <w:rsid w:val="003D7FB6"/>
    <w:rsid w:val="003E0006"/>
    <w:rsid w:val="003E07FF"/>
    <w:rsid w:val="003E0968"/>
    <w:rsid w:val="003E0A59"/>
    <w:rsid w:val="003E13E7"/>
    <w:rsid w:val="003E17C8"/>
    <w:rsid w:val="003E17CA"/>
    <w:rsid w:val="003E1DA2"/>
    <w:rsid w:val="003E29FD"/>
    <w:rsid w:val="003E2B6B"/>
    <w:rsid w:val="003E2DD9"/>
    <w:rsid w:val="003E344C"/>
    <w:rsid w:val="003E4E4F"/>
    <w:rsid w:val="003E529F"/>
    <w:rsid w:val="003E546D"/>
    <w:rsid w:val="003E5AD6"/>
    <w:rsid w:val="003E5D97"/>
    <w:rsid w:val="003E625D"/>
    <w:rsid w:val="003E64C7"/>
    <w:rsid w:val="003E6EA5"/>
    <w:rsid w:val="003E7529"/>
    <w:rsid w:val="003E7D5F"/>
    <w:rsid w:val="003F01AA"/>
    <w:rsid w:val="003F077F"/>
    <w:rsid w:val="003F0A7A"/>
    <w:rsid w:val="003F0BCC"/>
    <w:rsid w:val="003F1429"/>
    <w:rsid w:val="003F16B8"/>
    <w:rsid w:val="003F16E3"/>
    <w:rsid w:val="003F23B0"/>
    <w:rsid w:val="003F2446"/>
    <w:rsid w:val="003F2A35"/>
    <w:rsid w:val="003F2C77"/>
    <w:rsid w:val="003F2D5C"/>
    <w:rsid w:val="003F2F78"/>
    <w:rsid w:val="003F3614"/>
    <w:rsid w:val="003F3B87"/>
    <w:rsid w:val="003F4ADD"/>
    <w:rsid w:val="003F4DAF"/>
    <w:rsid w:val="003F669E"/>
    <w:rsid w:val="003F6BBD"/>
    <w:rsid w:val="003F6DA8"/>
    <w:rsid w:val="003F7FFD"/>
    <w:rsid w:val="00400539"/>
    <w:rsid w:val="004005F4"/>
    <w:rsid w:val="00400B8E"/>
    <w:rsid w:val="00401415"/>
    <w:rsid w:val="00401873"/>
    <w:rsid w:val="004019DA"/>
    <w:rsid w:val="00401A7E"/>
    <w:rsid w:val="00401F73"/>
    <w:rsid w:val="0040311D"/>
    <w:rsid w:val="0040343F"/>
    <w:rsid w:val="004034FF"/>
    <w:rsid w:val="00403AD2"/>
    <w:rsid w:val="00404192"/>
    <w:rsid w:val="004042AC"/>
    <w:rsid w:val="004044EC"/>
    <w:rsid w:val="004045E3"/>
    <w:rsid w:val="00404698"/>
    <w:rsid w:val="00404780"/>
    <w:rsid w:val="00404A95"/>
    <w:rsid w:val="00404B64"/>
    <w:rsid w:val="004053CC"/>
    <w:rsid w:val="0040599C"/>
    <w:rsid w:val="004060D9"/>
    <w:rsid w:val="00406364"/>
    <w:rsid w:val="00406766"/>
    <w:rsid w:val="00407129"/>
    <w:rsid w:val="004073F2"/>
    <w:rsid w:val="00407E25"/>
    <w:rsid w:val="00410DD4"/>
    <w:rsid w:val="00410E88"/>
    <w:rsid w:val="004115C6"/>
    <w:rsid w:val="00411682"/>
    <w:rsid w:val="004117F9"/>
    <w:rsid w:val="004122ED"/>
    <w:rsid w:val="00412326"/>
    <w:rsid w:val="00412553"/>
    <w:rsid w:val="004127F7"/>
    <w:rsid w:val="00412D8F"/>
    <w:rsid w:val="00412E7A"/>
    <w:rsid w:val="004132C2"/>
    <w:rsid w:val="00414376"/>
    <w:rsid w:val="00414C42"/>
    <w:rsid w:val="00414FEC"/>
    <w:rsid w:val="00415164"/>
    <w:rsid w:val="004151FA"/>
    <w:rsid w:val="00415220"/>
    <w:rsid w:val="00415600"/>
    <w:rsid w:val="00415CEB"/>
    <w:rsid w:val="00416843"/>
    <w:rsid w:val="00416F04"/>
    <w:rsid w:val="00417E8C"/>
    <w:rsid w:val="00420002"/>
    <w:rsid w:val="00420984"/>
    <w:rsid w:val="004216BD"/>
    <w:rsid w:val="00421FBD"/>
    <w:rsid w:val="00422264"/>
    <w:rsid w:val="00422314"/>
    <w:rsid w:val="004223DB"/>
    <w:rsid w:val="004226C9"/>
    <w:rsid w:val="004230BE"/>
    <w:rsid w:val="0042330E"/>
    <w:rsid w:val="00423927"/>
    <w:rsid w:val="00424CD2"/>
    <w:rsid w:val="00425BB5"/>
    <w:rsid w:val="004260C4"/>
    <w:rsid w:val="004262B8"/>
    <w:rsid w:val="00426AA9"/>
    <w:rsid w:val="00426BFA"/>
    <w:rsid w:val="00427086"/>
    <w:rsid w:val="004270BE"/>
    <w:rsid w:val="004272DE"/>
    <w:rsid w:val="004278D1"/>
    <w:rsid w:val="00430499"/>
    <w:rsid w:val="00431150"/>
    <w:rsid w:val="0043184C"/>
    <w:rsid w:val="004334E2"/>
    <w:rsid w:val="0043356B"/>
    <w:rsid w:val="00433A94"/>
    <w:rsid w:val="00433EBF"/>
    <w:rsid w:val="0043404B"/>
    <w:rsid w:val="004341AD"/>
    <w:rsid w:val="00434964"/>
    <w:rsid w:val="0043543B"/>
    <w:rsid w:val="004354C1"/>
    <w:rsid w:val="004360C3"/>
    <w:rsid w:val="0043620F"/>
    <w:rsid w:val="0043623E"/>
    <w:rsid w:val="004362B4"/>
    <w:rsid w:val="00436EBF"/>
    <w:rsid w:val="00437994"/>
    <w:rsid w:val="004403B3"/>
    <w:rsid w:val="00440C3B"/>
    <w:rsid w:val="00440EB7"/>
    <w:rsid w:val="0044133F"/>
    <w:rsid w:val="00441D0D"/>
    <w:rsid w:val="00441FF4"/>
    <w:rsid w:val="00442182"/>
    <w:rsid w:val="0044351B"/>
    <w:rsid w:val="00443811"/>
    <w:rsid w:val="004438C2"/>
    <w:rsid w:val="00443C18"/>
    <w:rsid w:val="00445329"/>
    <w:rsid w:val="00445388"/>
    <w:rsid w:val="0044575D"/>
    <w:rsid w:val="004465EF"/>
    <w:rsid w:val="0044683E"/>
    <w:rsid w:val="00447612"/>
    <w:rsid w:val="00447906"/>
    <w:rsid w:val="004503E3"/>
    <w:rsid w:val="004506CF"/>
    <w:rsid w:val="00450707"/>
    <w:rsid w:val="00450980"/>
    <w:rsid w:val="00450AC4"/>
    <w:rsid w:val="00450ECC"/>
    <w:rsid w:val="0045176B"/>
    <w:rsid w:val="004517DA"/>
    <w:rsid w:val="004517FB"/>
    <w:rsid w:val="00452010"/>
    <w:rsid w:val="004521D1"/>
    <w:rsid w:val="0045300A"/>
    <w:rsid w:val="00453423"/>
    <w:rsid w:val="00454A54"/>
    <w:rsid w:val="00454F50"/>
    <w:rsid w:val="00456061"/>
    <w:rsid w:val="00456636"/>
    <w:rsid w:val="00456991"/>
    <w:rsid w:val="00457C9D"/>
    <w:rsid w:val="0046024F"/>
    <w:rsid w:val="00460619"/>
    <w:rsid w:val="00460798"/>
    <w:rsid w:val="00460C45"/>
    <w:rsid w:val="0046153C"/>
    <w:rsid w:val="0046164D"/>
    <w:rsid w:val="00461871"/>
    <w:rsid w:val="00461EC2"/>
    <w:rsid w:val="00462046"/>
    <w:rsid w:val="00462076"/>
    <w:rsid w:val="00462482"/>
    <w:rsid w:val="004625A3"/>
    <w:rsid w:val="0046277E"/>
    <w:rsid w:val="00462C02"/>
    <w:rsid w:val="00462CA9"/>
    <w:rsid w:val="0046346B"/>
    <w:rsid w:val="00463687"/>
    <w:rsid w:val="00464096"/>
    <w:rsid w:val="00464280"/>
    <w:rsid w:val="0046489A"/>
    <w:rsid w:val="00465472"/>
    <w:rsid w:val="0046566C"/>
    <w:rsid w:val="00465F87"/>
    <w:rsid w:val="00466066"/>
    <w:rsid w:val="00466752"/>
    <w:rsid w:val="00466D7A"/>
    <w:rsid w:val="00466E85"/>
    <w:rsid w:val="00466ED4"/>
    <w:rsid w:val="00467817"/>
    <w:rsid w:val="00467C77"/>
    <w:rsid w:val="00467C90"/>
    <w:rsid w:val="00467E5E"/>
    <w:rsid w:val="004706DD"/>
    <w:rsid w:val="0047140B"/>
    <w:rsid w:val="00471560"/>
    <w:rsid w:val="00471B58"/>
    <w:rsid w:val="00472270"/>
    <w:rsid w:val="00472664"/>
    <w:rsid w:val="00472745"/>
    <w:rsid w:val="0047367A"/>
    <w:rsid w:val="00474161"/>
    <w:rsid w:val="004749E4"/>
    <w:rsid w:val="00474AFC"/>
    <w:rsid w:val="004752E7"/>
    <w:rsid w:val="00475BC7"/>
    <w:rsid w:val="00477845"/>
    <w:rsid w:val="00477A4D"/>
    <w:rsid w:val="00477B5C"/>
    <w:rsid w:val="004807CD"/>
    <w:rsid w:val="00480E26"/>
    <w:rsid w:val="004812DB"/>
    <w:rsid w:val="0048138A"/>
    <w:rsid w:val="00482723"/>
    <w:rsid w:val="0048325F"/>
    <w:rsid w:val="00483B6B"/>
    <w:rsid w:val="00483DAF"/>
    <w:rsid w:val="0048458A"/>
    <w:rsid w:val="00484C8D"/>
    <w:rsid w:val="00484E0A"/>
    <w:rsid w:val="00485500"/>
    <w:rsid w:val="00485F50"/>
    <w:rsid w:val="0048638A"/>
    <w:rsid w:val="004864FE"/>
    <w:rsid w:val="00486BC1"/>
    <w:rsid w:val="00486F46"/>
    <w:rsid w:val="00487A0B"/>
    <w:rsid w:val="00487D2D"/>
    <w:rsid w:val="00490174"/>
    <w:rsid w:val="00490C47"/>
    <w:rsid w:val="00490FD2"/>
    <w:rsid w:val="00491123"/>
    <w:rsid w:val="00491745"/>
    <w:rsid w:val="00491CA6"/>
    <w:rsid w:val="00492462"/>
    <w:rsid w:val="00492BD0"/>
    <w:rsid w:val="00493141"/>
    <w:rsid w:val="00493428"/>
    <w:rsid w:val="00493BD9"/>
    <w:rsid w:val="00493CAC"/>
    <w:rsid w:val="00494269"/>
    <w:rsid w:val="00495195"/>
    <w:rsid w:val="0049534C"/>
    <w:rsid w:val="0049549E"/>
    <w:rsid w:val="004954BC"/>
    <w:rsid w:val="00495C45"/>
    <w:rsid w:val="0049603A"/>
    <w:rsid w:val="004961CF"/>
    <w:rsid w:val="00496468"/>
    <w:rsid w:val="00496A58"/>
    <w:rsid w:val="00496F2F"/>
    <w:rsid w:val="00497938"/>
    <w:rsid w:val="00497976"/>
    <w:rsid w:val="004A033D"/>
    <w:rsid w:val="004A09D9"/>
    <w:rsid w:val="004A0EE0"/>
    <w:rsid w:val="004A2495"/>
    <w:rsid w:val="004A3AA0"/>
    <w:rsid w:val="004A3AC7"/>
    <w:rsid w:val="004A3E4F"/>
    <w:rsid w:val="004A4C70"/>
    <w:rsid w:val="004A4F4B"/>
    <w:rsid w:val="004A4FD1"/>
    <w:rsid w:val="004A5232"/>
    <w:rsid w:val="004A5260"/>
    <w:rsid w:val="004A5351"/>
    <w:rsid w:val="004A5763"/>
    <w:rsid w:val="004A5D6B"/>
    <w:rsid w:val="004A5F47"/>
    <w:rsid w:val="004A5FA1"/>
    <w:rsid w:val="004A6062"/>
    <w:rsid w:val="004A6146"/>
    <w:rsid w:val="004A697C"/>
    <w:rsid w:val="004A6C9D"/>
    <w:rsid w:val="004A6C9E"/>
    <w:rsid w:val="004A6FD5"/>
    <w:rsid w:val="004A7047"/>
    <w:rsid w:val="004A77CD"/>
    <w:rsid w:val="004A77EA"/>
    <w:rsid w:val="004A7B72"/>
    <w:rsid w:val="004A7BA6"/>
    <w:rsid w:val="004A7D13"/>
    <w:rsid w:val="004A7F24"/>
    <w:rsid w:val="004B0528"/>
    <w:rsid w:val="004B0ACD"/>
    <w:rsid w:val="004B0B96"/>
    <w:rsid w:val="004B239C"/>
    <w:rsid w:val="004B281B"/>
    <w:rsid w:val="004B2E1C"/>
    <w:rsid w:val="004B3E48"/>
    <w:rsid w:val="004B4E03"/>
    <w:rsid w:val="004B55B3"/>
    <w:rsid w:val="004B583E"/>
    <w:rsid w:val="004B58C3"/>
    <w:rsid w:val="004B63F2"/>
    <w:rsid w:val="004B726D"/>
    <w:rsid w:val="004B77F1"/>
    <w:rsid w:val="004C0C13"/>
    <w:rsid w:val="004C0EEF"/>
    <w:rsid w:val="004C13E6"/>
    <w:rsid w:val="004C147C"/>
    <w:rsid w:val="004C2285"/>
    <w:rsid w:val="004C26DB"/>
    <w:rsid w:val="004C2ED9"/>
    <w:rsid w:val="004C2FFF"/>
    <w:rsid w:val="004C3395"/>
    <w:rsid w:val="004C379A"/>
    <w:rsid w:val="004C3AB5"/>
    <w:rsid w:val="004C3B7A"/>
    <w:rsid w:val="004C40B6"/>
    <w:rsid w:val="004C423E"/>
    <w:rsid w:val="004C44ED"/>
    <w:rsid w:val="004C471E"/>
    <w:rsid w:val="004C4B05"/>
    <w:rsid w:val="004C54B3"/>
    <w:rsid w:val="004C54BE"/>
    <w:rsid w:val="004C554F"/>
    <w:rsid w:val="004C59E0"/>
    <w:rsid w:val="004C5A8A"/>
    <w:rsid w:val="004C5AFF"/>
    <w:rsid w:val="004C628E"/>
    <w:rsid w:val="004C63B8"/>
    <w:rsid w:val="004C6818"/>
    <w:rsid w:val="004C6B44"/>
    <w:rsid w:val="004C7261"/>
    <w:rsid w:val="004C75FD"/>
    <w:rsid w:val="004C7CE9"/>
    <w:rsid w:val="004D0505"/>
    <w:rsid w:val="004D090A"/>
    <w:rsid w:val="004D0CFF"/>
    <w:rsid w:val="004D1D47"/>
    <w:rsid w:val="004D22B8"/>
    <w:rsid w:val="004D24AC"/>
    <w:rsid w:val="004D2B62"/>
    <w:rsid w:val="004D3321"/>
    <w:rsid w:val="004D3518"/>
    <w:rsid w:val="004D369E"/>
    <w:rsid w:val="004D36CD"/>
    <w:rsid w:val="004D3AE1"/>
    <w:rsid w:val="004D40EB"/>
    <w:rsid w:val="004D446F"/>
    <w:rsid w:val="004D4DAA"/>
    <w:rsid w:val="004D4FD0"/>
    <w:rsid w:val="004D5231"/>
    <w:rsid w:val="004D5BFA"/>
    <w:rsid w:val="004D5E68"/>
    <w:rsid w:val="004D60C0"/>
    <w:rsid w:val="004D6365"/>
    <w:rsid w:val="004D6BFB"/>
    <w:rsid w:val="004D70BA"/>
    <w:rsid w:val="004D749A"/>
    <w:rsid w:val="004D7571"/>
    <w:rsid w:val="004E0976"/>
    <w:rsid w:val="004E0DF8"/>
    <w:rsid w:val="004E1404"/>
    <w:rsid w:val="004E197E"/>
    <w:rsid w:val="004E2490"/>
    <w:rsid w:val="004E251E"/>
    <w:rsid w:val="004E25CF"/>
    <w:rsid w:val="004E2827"/>
    <w:rsid w:val="004E2A36"/>
    <w:rsid w:val="004E351E"/>
    <w:rsid w:val="004E3546"/>
    <w:rsid w:val="004E3986"/>
    <w:rsid w:val="004E39D3"/>
    <w:rsid w:val="004E4F45"/>
    <w:rsid w:val="004E51D5"/>
    <w:rsid w:val="004E5859"/>
    <w:rsid w:val="004E60D9"/>
    <w:rsid w:val="004E618F"/>
    <w:rsid w:val="004E6978"/>
    <w:rsid w:val="004E6EAE"/>
    <w:rsid w:val="004E70BA"/>
    <w:rsid w:val="004E7C07"/>
    <w:rsid w:val="004E7DB5"/>
    <w:rsid w:val="004E7F2F"/>
    <w:rsid w:val="004F0B93"/>
    <w:rsid w:val="004F0DEB"/>
    <w:rsid w:val="004F150D"/>
    <w:rsid w:val="004F1656"/>
    <w:rsid w:val="004F1E5A"/>
    <w:rsid w:val="004F22E9"/>
    <w:rsid w:val="004F238D"/>
    <w:rsid w:val="004F26FA"/>
    <w:rsid w:val="004F29B6"/>
    <w:rsid w:val="004F3872"/>
    <w:rsid w:val="004F3BFB"/>
    <w:rsid w:val="004F3F2D"/>
    <w:rsid w:val="004F4078"/>
    <w:rsid w:val="004F4627"/>
    <w:rsid w:val="004F5CFD"/>
    <w:rsid w:val="004F5EA1"/>
    <w:rsid w:val="004F60FD"/>
    <w:rsid w:val="004F6B46"/>
    <w:rsid w:val="004F72D2"/>
    <w:rsid w:val="004F7809"/>
    <w:rsid w:val="004F7D52"/>
    <w:rsid w:val="004F7F83"/>
    <w:rsid w:val="00500223"/>
    <w:rsid w:val="005004C8"/>
    <w:rsid w:val="0050087A"/>
    <w:rsid w:val="005009CE"/>
    <w:rsid w:val="005014C8"/>
    <w:rsid w:val="005014FA"/>
    <w:rsid w:val="00501521"/>
    <w:rsid w:val="005016DC"/>
    <w:rsid w:val="005019E4"/>
    <w:rsid w:val="00501B40"/>
    <w:rsid w:val="00501CF6"/>
    <w:rsid w:val="00502104"/>
    <w:rsid w:val="00503009"/>
    <w:rsid w:val="00503503"/>
    <w:rsid w:val="005039F1"/>
    <w:rsid w:val="00503AD9"/>
    <w:rsid w:val="00503AFD"/>
    <w:rsid w:val="00503BAA"/>
    <w:rsid w:val="00503F17"/>
    <w:rsid w:val="00504276"/>
    <w:rsid w:val="0050457F"/>
    <w:rsid w:val="005049C1"/>
    <w:rsid w:val="00504CF2"/>
    <w:rsid w:val="00506093"/>
    <w:rsid w:val="005060F3"/>
    <w:rsid w:val="005064E1"/>
    <w:rsid w:val="0050661F"/>
    <w:rsid w:val="00506AC9"/>
    <w:rsid w:val="00507118"/>
    <w:rsid w:val="00507B2A"/>
    <w:rsid w:val="005102DE"/>
    <w:rsid w:val="0051031F"/>
    <w:rsid w:val="00510325"/>
    <w:rsid w:val="005106B5"/>
    <w:rsid w:val="005111A8"/>
    <w:rsid w:val="0051130A"/>
    <w:rsid w:val="00511398"/>
    <w:rsid w:val="00511783"/>
    <w:rsid w:val="005122B9"/>
    <w:rsid w:val="00512392"/>
    <w:rsid w:val="00512BBD"/>
    <w:rsid w:val="00512EB7"/>
    <w:rsid w:val="0051322A"/>
    <w:rsid w:val="00513341"/>
    <w:rsid w:val="00513815"/>
    <w:rsid w:val="00513B41"/>
    <w:rsid w:val="005141FB"/>
    <w:rsid w:val="0051430B"/>
    <w:rsid w:val="005155A7"/>
    <w:rsid w:val="00515C0A"/>
    <w:rsid w:val="00515D6F"/>
    <w:rsid w:val="00516303"/>
    <w:rsid w:val="00516312"/>
    <w:rsid w:val="00516344"/>
    <w:rsid w:val="00517405"/>
    <w:rsid w:val="005178B0"/>
    <w:rsid w:val="005206AD"/>
    <w:rsid w:val="00520A8C"/>
    <w:rsid w:val="00521181"/>
    <w:rsid w:val="005218C2"/>
    <w:rsid w:val="00521C33"/>
    <w:rsid w:val="00522ACA"/>
    <w:rsid w:val="00523360"/>
    <w:rsid w:val="0052368C"/>
    <w:rsid w:val="00523779"/>
    <w:rsid w:val="00523B44"/>
    <w:rsid w:val="00523D6F"/>
    <w:rsid w:val="00524449"/>
    <w:rsid w:val="00525090"/>
    <w:rsid w:val="00525A4B"/>
    <w:rsid w:val="00525A7F"/>
    <w:rsid w:val="00525D2C"/>
    <w:rsid w:val="00525DF8"/>
    <w:rsid w:val="005260BA"/>
    <w:rsid w:val="005262F0"/>
    <w:rsid w:val="00526657"/>
    <w:rsid w:val="00526683"/>
    <w:rsid w:val="005267B2"/>
    <w:rsid w:val="00526E3E"/>
    <w:rsid w:val="0052718A"/>
    <w:rsid w:val="00527203"/>
    <w:rsid w:val="0052758B"/>
    <w:rsid w:val="00527616"/>
    <w:rsid w:val="00527712"/>
    <w:rsid w:val="00527802"/>
    <w:rsid w:val="00527905"/>
    <w:rsid w:val="00527B59"/>
    <w:rsid w:val="00527F6C"/>
    <w:rsid w:val="00531F59"/>
    <w:rsid w:val="00532496"/>
    <w:rsid w:val="00533208"/>
    <w:rsid w:val="005332EB"/>
    <w:rsid w:val="00533508"/>
    <w:rsid w:val="00533B15"/>
    <w:rsid w:val="00533CBD"/>
    <w:rsid w:val="00533F85"/>
    <w:rsid w:val="005341AA"/>
    <w:rsid w:val="00534583"/>
    <w:rsid w:val="00534849"/>
    <w:rsid w:val="005349C6"/>
    <w:rsid w:val="00535E64"/>
    <w:rsid w:val="00536073"/>
    <w:rsid w:val="0053635F"/>
    <w:rsid w:val="005365ED"/>
    <w:rsid w:val="00536FF9"/>
    <w:rsid w:val="005373C3"/>
    <w:rsid w:val="005374AA"/>
    <w:rsid w:val="00537515"/>
    <w:rsid w:val="00537940"/>
    <w:rsid w:val="005379F7"/>
    <w:rsid w:val="00537BBD"/>
    <w:rsid w:val="00537EB0"/>
    <w:rsid w:val="005400CB"/>
    <w:rsid w:val="005402CA"/>
    <w:rsid w:val="005407E1"/>
    <w:rsid w:val="005412EA"/>
    <w:rsid w:val="005416AD"/>
    <w:rsid w:val="0054172E"/>
    <w:rsid w:val="00541C9D"/>
    <w:rsid w:val="00541D98"/>
    <w:rsid w:val="005427D3"/>
    <w:rsid w:val="005431B1"/>
    <w:rsid w:val="00543CF8"/>
    <w:rsid w:val="005443C5"/>
    <w:rsid w:val="00544876"/>
    <w:rsid w:val="00544C25"/>
    <w:rsid w:val="00545084"/>
    <w:rsid w:val="005453CE"/>
    <w:rsid w:val="005464C5"/>
    <w:rsid w:val="005465C4"/>
    <w:rsid w:val="005466BA"/>
    <w:rsid w:val="00546A7E"/>
    <w:rsid w:val="005470F1"/>
    <w:rsid w:val="0054739B"/>
    <w:rsid w:val="005474E2"/>
    <w:rsid w:val="0054776C"/>
    <w:rsid w:val="0055018A"/>
    <w:rsid w:val="0055023A"/>
    <w:rsid w:val="005504FE"/>
    <w:rsid w:val="00551005"/>
    <w:rsid w:val="0055149A"/>
    <w:rsid w:val="00551F60"/>
    <w:rsid w:val="005526FD"/>
    <w:rsid w:val="00553606"/>
    <w:rsid w:val="005538C8"/>
    <w:rsid w:val="0055396F"/>
    <w:rsid w:val="00553CA5"/>
    <w:rsid w:val="00554B07"/>
    <w:rsid w:val="00554B7A"/>
    <w:rsid w:val="005558AD"/>
    <w:rsid w:val="00555A4C"/>
    <w:rsid w:val="00555A65"/>
    <w:rsid w:val="00556322"/>
    <w:rsid w:val="005566C8"/>
    <w:rsid w:val="005568AA"/>
    <w:rsid w:val="00556D3F"/>
    <w:rsid w:val="00556E7E"/>
    <w:rsid w:val="00556ED0"/>
    <w:rsid w:val="00556F82"/>
    <w:rsid w:val="00557193"/>
    <w:rsid w:val="00557266"/>
    <w:rsid w:val="005573F7"/>
    <w:rsid w:val="005574C9"/>
    <w:rsid w:val="00557699"/>
    <w:rsid w:val="005578F3"/>
    <w:rsid w:val="00557A86"/>
    <w:rsid w:val="00560733"/>
    <w:rsid w:val="00561534"/>
    <w:rsid w:val="00561B12"/>
    <w:rsid w:val="00561BD8"/>
    <w:rsid w:val="00561D7F"/>
    <w:rsid w:val="005620F4"/>
    <w:rsid w:val="005629F6"/>
    <w:rsid w:val="00563211"/>
    <w:rsid w:val="00563EBD"/>
    <w:rsid w:val="00564CEC"/>
    <w:rsid w:val="005651C9"/>
    <w:rsid w:val="005659A1"/>
    <w:rsid w:val="00566174"/>
    <w:rsid w:val="005663F9"/>
    <w:rsid w:val="00566451"/>
    <w:rsid w:val="00566F34"/>
    <w:rsid w:val="0056704B"/>
    <w:rsid w:val="00567398"/>
    <w:rsid w:val="00571413"/>
    <w:rsid w:val="005725A8"/>
    <w:rsid w:val="005732F3"/>
    <w:rsid w:val="00573478"/>
    <w:rsid w:val="00573876"/>
    <w:rsid w:val="005742F9"/>
    <w:rsid w:val="00574B08"/>
    <w:rsid w:val="00574E99"/>
    <w:rsid w:val="00575309"/>
    <w:rsid w:val="00575623"/>
    <w:rsid w:val="00575D9B"/>
    <w:rsid w:val="005760C3"/>
    <w:rsid w:val="0057626A"/>
    <w:rsid w:val="00576638"/>
    <w:rsid w:val="00577591"/>
    <w:rsid w:val="0057783C"/>
    <w:rsid w:val="00577CC8"/>
    <w:rsid w:val="00577DFD"/>
    <w:rsid w:val="005805CA"/>
    <w:rsid w:val="00580C1E"/>
    <w:rsid w:val="00580E73"/>
    <w:rsid w:val="00580F8A"/>
    <w:rsid w:val="005811CE"/>
    <w:rsid w:val="005811D8"/>
    <w:rsid w:val="00581352"/>
    <w:rsid w:val="00581641"/>
    <w:rsid w:val="0058171A"/>
    <w:rsid w:val="0058250E"/>
    <w:rsid w:val="00582A71"/>
    <w:rsid w:val="00582B78"/>
    <w:rsid w:val="005837A8"/>
    <w:rsid w:val="00583910"/>
    <w:rsid w:val="00583A16"/>
    <w:rsid w:val="00583C23"/>
    <w:rsid w:val="00583D0B"/>
    <w:rsid w:val="00584372"/>
    <w:rsid w:val="00584408"/>
    <w:rsid w:val="005849A8"/>
    <w:rsid w:val="00585102"/>
    <w:rsid w:val="005857AF"/>
    <w:rsid w:val="00585957"/>
    <w:rsid w:val="00585CF3"/>
    <w:rsid w:val="00585D79"/>
    <w:rsid w:val="00586023"/>
    <w:rsid w:val="0058621D"/>
    <w:rsid w:val="0059058A"/>
    <w:rsid w:val="005905AF"/>
    <w:rsid w:val="00591979"/>
    <w:rsid w:val="00591DF4"/>
    <w:rsid w:val="00591E2E"/>
    <w:rsid w:val="00591FF1"/>
    <w:rsid w:val="005923D9"/>
    <w:rsid w:val="00592A83"/>
    <w:rsid w:val="00592D66"/>
    <w:rsid w:val="00592EE3"/>
    <w:rsid w:val="0059312E"/>
    <w:rsid w:val="0059403A"/>
    <w:rsid w:val="00594042"/>
    <w:rsid w:val="005944DB"/>
    <w:rsid w:val="00594979"/>
    <w:rsid w:val="00594BA3"/>
    <w:rsid w:val="00594F99"/>
    <w:rsid w:val="00595453"/>
    <w:rsid w:val="005956E8"/>
    <w:rsid w:val="005957DA"/>
    <w:rsid w:val="00595D7A"/>
    <w:rsid w:val="00596109"/>
    <w:rsid w:val="005A043D"/>
    <w:rsid w:val="005A04E3"/>
    <w:rsid w:val="005A0730"/>
    <w:rsid w:val="005A11B2"/>
    <w:rsid w:val="005A147C"/>
    <w:rsid w:val="005A1CF4"/>
    <w:rsid w:val="005A1FFE"/>
    <w:rsid w:val="005A23F5"/>
    <w:rsid w:val="005A2B7C"/>
    <w:rsid w:val="005A2D20"/>
    <w:rsid w:val="005A2F7F"/>
    <w:rsid w:val="005A359C"/>
    <w:rsid w:val="005A387E"/>
    <w:rsid w:val="005A417F"/>
    <w:rsid w:val="005A4666"/>
    <w:rsid w:val="005A4A84"/>
    <w:rsid w:val="005A4C65"/>
    <w:rsid w:val="005A5801"/>
    <w:rsid w:val="005A5828"/>
    <w:rsid w:val="005A5A0D"/>
    <w:rsid w:val="005A5A1F"/>
    <w:rsid w:val="005A5C56"/>
    <w:rsid w:val="005A5DFF"/>
    <w:rsid w:val="005A5FBE"/>
    <w:rsid w:val="005A606B"/>
    <w:rsid w:val="005A6098"/>
    <w:rsid w:val="005A6129"/>
    <w:rsid w:val="005A61FE"/>
    <w:rsid w:val="005A6627"/>
    <w:rsid w:val="005A68E6"/>
    <w:rsid w:val="005A6D1B"/>
    <w:rsid w:val="005A6E1E"/>
    <w:rsid w:val="005A7372"/>
    <w:rsid w:val="005A778E"/>
    <w:rsid w:val="005A789D"/>
    <w:rsid w:val="005A7F8B"/>
    <w:rsid w:val="005B036D"/>
    <w:rsid w:val="005B07C2"/>
    <w:rsid w:val="005B1006"/>
    <w:rsid w:val="005B16FD"/>
    <w:rsid w:val="005B179D"/>
    <w:rsid w:val="005B19BA"/>
    <w:rsid w:val="005B2080"/>
    <w:rsid w:val="005B247A"/>
    <w:rsid w:val="005B2895"/>
    <w:rsid w:val="005B2FD7"/>
    <w:rsid w:val="005B30E5"/>
    <w:rsid w:val="005B33EB"/>
    <w:rsid w:val="005B38FD"/>
    <w:rsid w:val="005B3991"/>
    <w:rsid w:val="005B4025"/>
    <w:rsid w:val="005B49F5"/>
    <w:rsid w:val="005B4D2E"/>
    <w:rsid w:val="005B5CF5"/>
    <w:rsid w:val="005B670C"/>
    <w:rsid w:val="005B71FE"/>
    <w:rsid w:val="005B778A"/>
    <w:rsid w:val="005C06C3"/>
    <w:rsid w:val="005C0F87"/>
    <w:rsid w:val="005C1033"/>
    <w:rsid w:val="005C1734"/>
    <w:rsid w:val="005C173D"/>
    <w:rsid w:val="005C1B45"/>
    <w:rsid w:val="005C23EF"/>
    <w:rsid w:val="005C2536"/>
    <w:rsid w:val="005C28E4"/>
    <w:rsid w:val="005C3079"/>
    <w:rsid w:val="005C3598"/>
    <w:rsid w:val="005C3867"/>
    <w:rsid w:val="005C38C2"/>
    <w:rsid w:val="005C4821"/>
    <w:rsid w:val="005C4AEB"/>
    <w:rsid w:val="005C4B83"/>
    <w:rsid w:val="005C5935"/>
    <w:rsid w:val="005C630C"/>
    <w:rsid w:val="005C70B3"/>
    <w:rsid w:val="005C74BA"/>
    <w:rsid w:val="005C75EF"/>
    <w:rsid w:val="005C7857"/>
    <w:rsid w:val="005C7A68"/>
    <w:rsid w:val="005D0ECE"/>
    <w:rsid w:val="005D126F"/>
    <w:rsid w:val="005D1482"/>
    <w:rsid w:val="005D1601"/>
    <w:rsid w:val="005D1729"/>
    <w:rsid w:val="005D1929"/>
    <w:rsid w:val="005D1E8F"/>
    <w:rsid w:val="005D2D52"/>
    <w:rsid w:val="005D31AE"/>
    <w:rsid w:val="005D39BE"/>
    <w:rsid w:val="005D449F"/>
    <w:rsid w:val="005D5D49"/>
    <w:rsid w:val="005D5F2A"/>
    <w:rsid w:val="005D610F"/>
    <w:rsid w:val="005D6177"/>
    <w:rsid w:val="005D6299"/>
    <w:rsid w:val="005D629D"/>
    <w:rsid w:val="005D65BF"/>
    <w:rsid w:val="005D6819"/>
    <w:rsid w:val="005D6B6A"/>
    <w:rsid w:val="005D703E"/>
    <w:rsid w:val="005D7365"/>
    <w:rsid w:val="005D7D9F"/>
    <w:rsid w:val="005E0213"/>
    <w:rsid w:val="005E0247"/>
    <w:rsid w:val="005E0B95"/>
    <w:rsid w:val="005E1C54"/>
    <w:rsid w:val="005E1E37"/>
    <w:rsid w:val="005E1FC9"/>
    <w:rsid w:val="005E2081"/>
    <w:rsid w:val="005E3104"/>
    <w:rsid w:val="005E36C0"/>
    <w:rsid w:val="005E3828"/>
    <w:rsid w:val="005E4249"/>
    <w:rsid w:val="005E4983"/>
    <w:rsid w:val="005E502C"/>
    <w:rsid w:val="005E53A9"/>
    <w:rsid w:val="005E5C0D"/>
    <w:rsid w:val="005E5D76"/>
    <w:rsid w:val="005E5EF5"/>
    <w:rsid w:val="005E64BB"/>
    <w:rsid w:val="005E65B4"/>
    <w:rsid w:val="005E67A5"/>
    <w:rsid w:val="005E6AC7"/>
    <w:rsid w:val="005E792B"/>
    <w:rsid w:val="005E7BCC"/>
    <w:rsid w:val="005E7FDB"/>
    <w:rsid w:val="005F0636"/>
    <w:rsid w:val="005F0A1D"/>
    <w:rsid w:val="005F0C3D"/>
    <w:rsid w:val="005F12AA"/>
    <w:rsid w:val="005F254A"/>
    <w:rsid w:val="005F2E96"/>
    <w:rsid w:val="005F3727"/>
    <w:rsid w:val="005F379F"/>
    <w:rsid w:val="005F4147"/>
    <w:rsid w:val="005F51EA"/>
    <w:rsid w:val="005F5602"/>
    <w:rsid w:val="005F5803"/>
    <w:rsid w:val="005F5825"/>
    <w:rsid w:val="005F60F3"/>
    <w:rsid w:val="005F6249"/>
    <w:rsid w:val="005F6F74"/>
    <w:rsid w:val="005F6FBE"/>
    <w:rsid w:val="005F70A2"/>
    <w:rsid w:val="005F7403"/>
    <w:rsid w:val="00600087"/>
    <w:rsid w:val="00600D94"/>
    <w:rsid w:val="00600DA9"/>
    <w:rsid w:val="00600FE2"/>
    <w:rsid w:val="00601496"/>
    <w:rsid w:val="00601DC5"/>
    <w:rsid w:val="0060214B"/>
    <w:rsid w:val="00602CE8"/>
    <w:rsid w:val="00602DB7"/>
    <w:rsid w:val="00603709"/>
    <w:rsid w:val="006037B6"/>
    <w:rsid w:val="00603869"/>
    <w:rsid w:val="00603C34"/>
    <w:rsid w:val="00604109"/>
    <w:rsid w:val="0060438A"/>
    <w:rsid w:val="006044AC"/>
    <w:rsid w:val="006050D0"/>
    <w:rsid w:val="00605133"/>
    <w:rsid w:val="00605C0B"/>
    <w:rsid w:val="00605DC9"/>
    <w:rsid w:val="00606176"/>
    <w:rsid w:val="00606915"/>
    <w:rsid w:val="006072C5"/>
    <w:rsid w:val="00607854"/>
    <w:rsid w:val="00610A43"/>
    <w:rsid w:val="00611834"/>
    <w:rsid w:val="00612171"/>
    <w:rsid w:val="006121C6"/>
    <w:rsid w:val="00612461"/>
    <w:rsid w:val="00612595"/>
    <w:rsid w:val="00612CC8"/>
    <w:rsid w:val="0061300A"/>
    <w:rsid w:val="006130DC"/>
    <w:rsid w:val="0061354E"/>
    <w:rsid w:val="006136E7"/>
    <w:rsid w:val="00613BA2"/>
    <w:rsid w:val="00613BD6"/>
    <w:rsid w:val="00614168"/>
    <w:rsid w:val="006149D2"/>
    <w:rsid w:val="00615ED6"/>
    <w:rsid w:val="006161F3"/>
    <w:rsid w:val="0061623E"/>
    <w:rsid w:val="006173D4"/>
    <w:rsid w:val="00617553"/>
    <w:rsid w:val="0062151D"/>
    <w:rsid w:val="00621CBB"/>
    <w:rsid w:val="00621D29"/>
    <w:rsid w:val="006221AA"/>
    <w:rsid w:val="00622C2C"/>
    <w:rsid w:val="00622D34"/>
    <w:rsid w:val="00624546"/>
    <w:rsid w:val="006245D7"/>
    <w:rsid w:val="00624C2E"/>
    <w:rsid w:val="00624F34"/>
    <w:rsid w:val="0062529B"/>
    <w:rsid w:val="006254CA"/>
    <w:rsid w:val="006258AF"/>
    <w:rsid w:val="00625A66"/>
    <w:rsid w:val="00625D4C"/>
    <w:rsid w:val="006260BC"/>
    <w:rsid w:val="00627C14"/>
    <w:rsid w:val="006300EA"/>
    <w:rsid w:val="0063018D"/>
    <w:rsid w:val="006301CD"/>
    <w:rsid w:val="006301F6"/>
    <w:rsid w:val="00630733"/>
    <w:rsid w:val="006307FB"/>
    <w:rsid w:val="00630B91"/>
    <w:rsid w:val="00631075"/>
    <w:rsid w:val="0063140F"/>
    <w:rsid w:val="00631556"/>
    <w:rsid w:val="0063253A"/>
    <w:rsid w:val="00632C65"/>
    <w:rsid w:val="00633329"/>
    <w:rsid w:val="006335C0"/>
    <w:rsid w:val="00633CB5"/>
    <w:rsid w:val="00634033"/>
    <w:rsid w:val="0063457E"/>
    <w:rsid w:val="00634FFB"/>
    <w:rsid w:val="00635154"/>
    <w:rsid w:val="00635AD2"/>
    <w:rsid w:val="006366AC"/>
    <w:rsid w:val="00636719"/>
    <w:rsid w:val="00636B3C"/>
    <w:rsid w:val="00636C4F"/>
    <w:rsid w:val="00636DE8"/>
    <w:rsid w:val="00637B54"/>
    <w:rsid w:val="006401D3"/>
    <w:rsid w:val="0064080C"/>
    <w:rsid w:val="006408C7"/>
    <w:rsid w:val="006408D0"/>
    <w:rsid w:val="00640988"/>
    <w:rsid w:val="00640B02"/>
    <w:rsid w:val="00641358"/>
    <w:rsid w:val="006413BF"/>
    <w:rsid w:val="006414C5"/>
    <w:rsid w:val="006414C8"/>
    <w:rsid w:val="0064243D"/>
    <w:rsid w:val="0064244D"/>
    <w:rsid w:val="006426A4"/>
    <w:rsid w:val="00643BE1"/>
    <w:rsid w:val="00643C4A"/>
    <w:rsid w:val="00643CF0"/>
    <w:rsid w:val="006451EB"/>
    <w:rsid w:val="00645991"/>
    <w:rsid w:val="00645ABB"/>
    <w:rsid w:val="00645AC8"/>
    <w:rsid w:val="00645D75"/>
    <w:rsid w:val="006462F5"/>
    <w:rsid w:val="006465AF"/>
    <w:rsid w:val="006466EE"/>
    <w:rsid w:val="006468E8"/>
    <w:rsid w:val="00646C82"/>
    <w:rsid w:val="00646F5D"/>
    <w:rsid w:val="00647032"/>
    <w:rsid w:val="006472B0"/>
    <w:rsid w:val="006478BD"/>
    <w:rsid w:val="00647908"/>
    <w:rsid w:val="006479CD"/>
    <w:rsid w:val="006508A9"/>
    <w:rsid w:val="00651799"/>
    <w:rsid w:val="006517B9"/>
    <w:rsid w:val="00651DD9"/>
    <w:rsid w:val="006523F1"/>
    <w:rsid w:val="006526B9"/>
    <w:rsid w:val="0065276C"/>
    <w:rsid w:val="00652B23"/>
    <w:rsid w:val="006536BD"/>
    <w:rsid w:val="0065380F"/>
    <w:rsid w:val="006546B0"/>
    <w:rsid w:val="0065481E"/>
    <w:rsid w:val="00654EAD"/>
    <w:rsid w:val="006553D7"/>
    <w:rsid w:val="006557F9"/>
    <w:rsid w:val="00655D62"/>
    <w:rsid w:val="00656069"/>
    <w:rsid w:val="0065614D"/>
    <w:rsid w:val="006561B0"/>
    <w:rsid w:val="00656282"/>
    <w:rsid w:val="006566BA"/>
    <w:rsid w:val="00656B21"/>
    <w:rsid w:val="00656FE7"/>
    <w:rsid w:val="006572FE"/>
    <w:rsid w:val="00657A50"/>
    <w:rsid w:val="00657C2E"/>
    <w:rsid w:val="00657CB7"/>
    <w:rsid w:val="006600FE"/>
    <w:rsid w:val="00660380"/>
    <w:rsid w:val="00660398"/>
    <w:rsid w:val="00660EFA"/>
    <w:rsid w:val="006618F8"/>
    <w:rsid w:val="00661B1A"/>
    <w:rsid w:val="00661BA6"/>
    <w:rsid w:val="00661C90"/>
    <w:rsid w:val="00662185"/>
    <w:rsid w:val="00662DD5"/>
    <w:rsid w:val="00662DEC"/>
    <w:rsid w:val="0066311E"/>
    <w:rsid w:val="00663580"/>
    <w:rsid w:val="006635D3"/>
    <w:rsid w:val="00663625"/>
    <w:rsid w:val="00664A7B"/>
    <w:rsid w:val="00664AF6"/>
    <w:rsid w:val="00664B7E"/>
    <w:rsid w:val="006652CA"/>
    <w:rsid w:val="006655EB"/>
    <w:rsid w:val="00665CE2"/>
    <w:rsid w:val="00666425"/>
    <w:rsid w:val="00666A4D"/>
    <w:rsid w:val="00667095"/>
    <w:rsid w:val="00667674"/>
    <w:rsid w:val="00667691"/>
    <w:rsid w:val="00667D8F"/>
    <w:rsid w:val="00670428"/>
    <w:rsid w:val="0067044C"/>
    <w:rsid w:val="00670810"/>
    <w:rsid w:val="00670FEC"/>
    <w:rsid w:val="00671237"/>
    <w:rsid w:val="006719C6"/>
    <w:rsid w:val="0067204A"/>
    <w:rsid w:val="0067231F"/>
    <w:rsid w:val="0067242F"/>
    <w:rsid w:val="00672793"/>
    <w:rsid w:val="00673446"/>
    <w:rsid w:val="00673509"/>
    <w:rsid w:val="00674145"/>
    <w:rsid w:val="006741F9"/>
    <w:rsid w:val="0067444F"/>
    <w:rsid w:val="00674503"/>
    <w:rsid w:val="00675480"/>
    <w:rsid w:val="006756AE"/>
    <w:rsid w:val="006762DF"/>
    <w:rsid w:val="00676FBF"/>
    <w:rsid w:val="00677786"/>
    <w:rsid w:val="00677B85"/>
    <w:rsid w:val="00677F69"/>
    <w:rsid w:val="00681855"/>
    <w:rsid w:val="006824E3"/>
    <w:rsid w:val="00682565"/>
    <w:rsid w:val="006826F5"/>
    <w:rsid w:val="006827F7"/>
    <w:rsid w:val="00682F1A"/>
    <w:rsid w:val="00682FA6"/>
    <w:rsid w:val="006830CA"/>
    <w:rsid w:val="00683236"/>
    <w:rsid w:val="00683484"/>
    <w:rsid w:val="00683D44"/>
    <w:rsid w:val="006840B8"/>
    <w:rsid w:val="006843B4"/>
    <w:rsid w:val="006845AF"/>
    <w:rsid w:val="00684972"/>
    <w:rsid w:val="00684BEB"/>
    <w:rsid w:val="00684F29"/>
    <w:rsid w:val="00684FA9"/>
    <w:rsid w:val="0068540C"/>
    <w:rsid w:val="0068556F"/>
    <w:rsid w:val="006855AB"/>
    <w:rsid w:val="00685CAC"/>
    <w:rsid w:val="006865D9"/>
    <w:rsid w:val="006868EB"/>
    <w:rsid w:val="00686AAC"/>
    <w:rsid w:val="006875E4"/>
    <w:rsid w:val="00687B72"/>
    <w:rsid w:val="00690661"/>
    <w:rsid w:val="00690B40"/>
    <w:rsid w:val="006910E0"/>
    <w:rsid w:val="00691268"/>
    <w:rsid w:val="006914BA"/>
    <w:rsid w:val="006917E4"/>
    <w:rsid w:val="00691A5E"/>
    <w:rsid w:val="006920C2"/>
    <w:rsid w:val="006921D0"/>
    <w:rsid w:val="006923A6"/>
    <w:rsid w:val="00692FCD"/>
    <w:rsid w:val="00693059"/>
    <w:rsid w:val="00693516"/>
    <w:rsid w:val="006935AF"/>
    <w:rsid w:val="006936DD"/>
    <w:rsid w:val="006939DF"/>
    <w:rsid w:val="00693B89"/>
    <w:rsid w:val="00693D69"/>
    <w:rsid w:val="00693E49"/>
    <w:rsid w:val="006940BF"/>
    <w:rsid w:val="006940F7"/>
    <w:rsid w:val="00694AD2"/>
    <w:rsid w:val="00696736"/>
    <w:rsid w:val="00696B79"/>
    <w:rsid w:val="00696E50"/>
    <w:rsid w:val="0069733E"/>
    <w:rsid w:val="00697345"/>
    <w:rsid w:val="006973FB"/>
    <w:rsid w:val="0069753E"/>
    <w:rsid w:val="00697DAE"/>
    <w:rsid w:val="006A10F4"/>
    <w:rsid w:val="006A14F2"/>
    <w:rsid w:val="006A1834"/>
    <w:rsid w:val="006A22AC"/>
    <w:rsid w:val="006A237D"/>
    <w:rsid w:val="006A25F2"/>
    <w:rsid w:val="006A2C08"/>
    <w:rsid w:val="006A2E30"/>
    <w:rsid w:val="006A2FDC"/>
    <w:rsid w:val="006A3B5F"/>
    <w:rsid w:val="006A3F89"/>
    <w:rsid w:val="006A4A98"/>
    <w:rsid w:val="006A4BD4"/>
    <w:rsid w:val="006A4BFB"/>
    <w:rsid w:val="006A598D"/>
    <w:rsid w:val="006A5DE2"/>
    <w:rsid w:val="006A676E"/>
    <w:rsid w:val="006A6B80"/>
    <w:rsid w:val="006A7BEE"/>
    <w:rsid w:val="006A7C8E"/>
    <w:rsid w:val="006B062F"/>
    <w:rsid w:val="006B07DC"/>
    <w:rsid w:val="006B0D2E"/>
    <w:rsid w:val="006B11B5"/>
    <w:rsid w:val="006B1B37"/>
    <w:rsid w:val="006B2547"/>
    <w:rsid w:val="006B258A"/>
    <w:rsid w:val="006B3407"/>
    <w:rsid w:val="006B37F8"/>
    <w:rsid w:val="006B3C1B"/>
    <w:rsid w:val="006B47CB"/>
    <w:rsid w:val="006B48F5"/>
    <w:rsid w:val="006B4D99"/>
    <w:rsid w:val="006B4DBA"/>
    <w:rsid w:val="006B4F11"/>
    <w:rsid w:val="006B5CC0"/>
    <w:rsid w:val="006B6798"/>
    <w:rsid w:val="006B6C89"/>
    <w:rsid w:val="006B75F1"/>
    <w:rsid w:val="006B7AFF"/>
    <w:rsid w:val="006C061C"/>
    <w:rsid w:val="006C0794"/>
    <w:rsid w:val="006C0D37"/>
    <w:rsid w:val="006C1254"/>
    <w:rsid w:val="006C12AC"/>
    <w:rsid w:val="006C158D"/>
    <w:rsid w:val="006C18BC"/>
    <w:rsid w:val="006C1FC8"/>
    <w:rsid w:val="006C2318"/>
    <w:rsid w:val="006C23A9"/>
    <w:rsid w:val="006C2DED"/>
    <w:rsid w:val="006C3233"/>
    <w:rsid w:val="006C33AB"/>
    <w:rsid w:val="006C4306"/>
    <w:rsid w:val="006C4DE4"/>
    <w:rsid w:val="006C50D1"/>
    <w:rsid w:val="006C5425"/>
    <w:rsid w:val="006C55C1"/>
    <w:rsid w:val="006C55D7"/>
    <w:rsid w:val="006C56FA"/>
    <w:rsid w:val="006C59AE"/>
    <w:rsid w:val="006C5E08"/>
    <w:rsid w:val="006C6F37"/>
    <w:rsid w:val="006C752C"/>
    <w:rsid w:val="006D04EB"/>
    <w:rsid w:val="006D0CAF"/>
    <w:rsid w:val="006D27DC"/>
    <w:rsid w:val="006D280F"/>
    <w:rsid w:val="006D2CBA"/>
    <w:rsid w:val="006D3020"/>
    <w:rsid w:val="006D31DC"/>
    <w:rsid w:val="006D32B6"/>
    <w:rsid w:val="006D3CF8"/>
    <w:rsid w:val="006D4B35"/>
    <w:rsid w:val="006D4E95"/>
    <w:rsid w:val="006D5EC3"/>
    <w:rsid w:val="006D64A7"/>
    <w:rsid w:val="006D6F90"/>
    <w:rsid w:val="006D7035"/>
    <w:rsid w:val="006D7A46"/>
    <w:rsid w:val="006D7EBB"/>
    <w:rsid w:val="006D7F63"/>
    <w:rsid w:val="006E1254"/>
    <w:rsid w:val="006E1265"/>
    <w:rsid w:val="006E135E"/>
    <w:rsid w:val="006E14B5"/>
    <w:rsid w:val="006E1552"/>
    <w:rsid w:val="006E1A15"/>
    <w:rsid w:val="006E1BDD"/>
    <w:rsid w:val="006E1C7F"/>
    <w:rsid w:val="006E261A"/>
    <w:rsid w:val="006E2A2E"/>
    <w:rsid w:val="006E2A7B"/>
    <w:rsid w:val="006E3368"/>
    <w:rsid w:val="006E3417"/>
    <w:rsid w:val="006E366F"/>
    <w:rsid w:val="006E382A"/>
    <w:rsid w:val="006E3B73"/>
    <w:rsid w:val="006E4167"/>
    <w:rsid w:val="006E431E"/>
    <w:rsid w:val="006E4445"/>
    <w:rsid w:val="006E4464"/>
    <w:rsid w:val="006E4595"/>
    <w:rsid w:val="006E526F"/>
    <w:rsid w:val="006E58C3"/>
    <w:rsid w:val="006E58E5"/>
    <w:rsid w:val="006E5C96"/>
    <w:rsid w:val="006E6449"/>
    <w:rsid w:val="006E6E5E"/>
    <w:rsid w:val="006E7296"/>
    <w:rsid w:val="006E74BB"/>
    <w:rsid w:val="006E7708"/>
    <w:rsid w:val="006E7CDD"/>
    <w:rsid w:val="006F06B9"/>
    <w:rsid w:val="006F159C"/>
    <w:rsid w:val="006F1A05"/>
    <w:rsid w:val="006F2260"/>
    <w:rsid w:val="006F3182"/>
    <w:rsid w:val="006F358F"/>
    <w:rsid w:val="006F4135"/>
    <w:rsid w:val="006F447E"/>
    <w:rsid w:val="006F4580"/>
    <w:rsid w:val="006F4CBC"/>
    <w:rsid w:val="006F4F42"/>
    <w:rsid w:val="006F522F"/>
    <w:rsid w:val="006F5C00"/>
    <w:rsid w:val="006F621A"/>
    <w:rsid w:val="006F67CD"/>
    <w:rsid w:val="006F6983"/>
    <w:rsid w:val="006F69D6"/>
    <w:rsid w:val="006F73C5"/>
    <w:rsid w:val="00700325"/>
    <w:rsid w:val="007003CA"/>
    <w:rsid w:val="00701DC6"/>
    <w:rsid w:val="007023F3"/>
    <w:rsid w:val="00702694"/>
    <w:rsid w:val="00702B7C"/>
    <w:rsid w:val="007033AD"/>
    <w:rsid w:val="00703D17"/>
    <w:rsid w:val="00704222"/>
    <w:rsid w:val="007046E2"/>
    <w:rsid w:val="0070539D"/>
    <w:rsid w:val="007055DF"/>
    <w:rsid w:val="00705693"/>
    <w:rsid w:val="00705A06"/>
    <w:rsid w:val="0070695A"/>
    <w:rsid w:val="00706F1F"/>
    <w:rsid w:val="007071BC"/>
    <w:rsid w:val="0070730E"/>
    <w:rsid w:val="007102BF"/>
    <w:rsid w:val="0071062E"/>
    <w:rsid w:val="007108F3"/>
    <w:rsid w:val="00711230"/>
    <w:rsid w:val="007112AE"/>
    <w:rsid w:val="0071132D"/>
    <w:rsid w:val="0071135B"/>
    <w:rsid w:val="00711CEB"/>
    <w:rsid w:val="00712508"/>
    <w:rsid w:val="00712855"/>
    <w:rsid w:val="007129D7"/>
    <w:rsid w:val="00712A8A"/>
    <w:rsid w:val="00712BEC"/>
    <w:rsid w:val="00713697"/>
    <w:rsid w:val="00713BE0"/>
    <w:rsid w:val="00713D17"/>
    <w:rsid w:val="00713D30"/>
    <w:rsid w:val="007141EE"/>
    <w:rsid w:val="0071467F"/>
    <w:rsid w:val="00714D6E"/>
    <w:rsid w:val="00715169"/>
    <w:rsid w:val="0071539B"/>
    <w:rsid w:val="007154D8"/>
    <w:rsid w:val="0071612D"/>
    <w:rsid w:val="00716C6B"/>
    <w:rsid w:val="00716C7B"/>
    <w:rsid w:val="00716E5C"/>
    <w:rsid w:val="00717669"/>
    <w:rsid w:val="0071797A"/>
    <w:rsid w:val="00720044"/>
    <w:rsid w:val="007209E8"/>
    <w:rsid w:val="00720BDA"/>
    <w:rsid w:val="00720E05"/>
    <w:rsid w:val="00721EEE"/>
    <w:rsid w:val="00722BA0"/>
    <w:rsid w:val="0072370A"/>
    <w:rsid w:val="007238C1"/>
    <w:rsid w:val="00723DD6"/>
    <w:rsid w:val="007241BA"/>
    <w:rsid w:val="00724E08"/>
    <w:rsid w:val="0072536A"/>
    <w:rsid w:val="00725466"/>
    <w:rsid w:val="00725998"/>
    <w:rsid w:val="00725FF3"/>
    <w:rsid w:val="00726091"/>
    <w:rsid w:val="007261AA"/>
    <w:rsid w:val="00726237"/>
    <w:rsid w:val="00726321"/>
    <w:rsid w:val="00726831"/>
    <w:rsid w:val="007268E7"/>
    <w:rsid w:val="00727448"/>
    <w:rsid w:val="00727510"/>
    <w:rsid w:val="0072764D"/>
    <w:rsid w:val="007277DB"/>
    <w:rsid w:val="007278A8"/>
    <w:rsid w:val="00727B54"/>
    <w:rsid w:val="00727B9F"/>
    <w:rsid w:val="0073026E"/>
    <w:rsid w:val="0073056C"/>
    <w:rsid w:val="007305D9"/>
    <w:rsid w:val="00730672"/>
    <w:rsid w:val="00731373"/>
    <w:rsid w:val="00731846"/>
    <w:rsid w:val="0073235D"/>
    <w:rsid w:val="0073297B"/>
    <w:rsid w:val="00732C57"/>
    <w:rsid w:val="00735131"/>
    <w:rsid w:val="00736030"/>
    <w:rsid w:val="00736F05"/>
    <w:rsid w:val="00737954"/>
    <w:rsid w:val="007406B2"/>
    <w:rsid w:val="00740FF3"/>
    <w:rsid w:val="00741530"/>
    <w:rsid w:val="00741B17"/>
    <w:rsid w:val="00741C33"/>
    <w:rsid w:val="00742815"/>
    <w:rsid w:val="00742EA7"/>
    <w:rsid w:val="0074301A"/>
    <w:rsid w:val="00743F8E"/>
    <w:rsid w:val="00744573"/>
    <w:rsid w:val="007445F1"/>
    <w:rsid w:val="00744BF6"/>
    <w:rsid w:val="00745059"/>
    <w:rsid w:val="00745323"/>
    <w:rsid w:val="0074573E"/>
    <w:rsid w:val="007459F8"/>
    <w:rsid w:val="00745A97"/>
    <w:rsid w:val="00746098"/>
    <w:rsid w:val="007465DB"/>
    <w:rsid w:val="00747032"/>
    <w:rsid w:val="00747061"/>
    <w:rsid w:val="00747FC0"/>
    <w:rsid w:val="007507D4"/>
    <w:rsid w:val="00750A24"/>
    <w:rsid w:val="00750B86"/>
    <w:rsid w:val="00750D8F"/>
    <w:rsid w:val="00750E8F"/>
    <w:rsid w:val="00751093"/>
    <w:rsid w:val="00751242"/>
    <w:rsid w:val="00751305"/>
    <w:rsid w:val="00752343"/>
    <w:rsid w:val="007527C8"/>
    <w:rsid w:val="0075331C"/>
    <w:rsid w:val="00753458"/>
    <w:rsid w:val="0075365E"/>
    <w:rsid w:val="007536EC"/>
    <w:rsid w:val="007538CE"/>
    <w:rsid w:val="00753A6E"/>
    <w:rsid w:val="00753C94"/>
    <w:rsid w:val="00753F94"/>
    <w:rsid w:val="0075437E"/>
    <w:rsid w:val="007544D1"/>
    <w:rsid w:val="00754B4D"/>
    <w:rsid w:val="0075516A"/>
    <w:rsid w:val="00755E61"/>
    <w:rsid w:val="00755EEF"/>
    <w:rsid w:val="00755F1F"/>
    <w:rsid w:val="00755F68"/>
    <w:rsid w:val="00756168"/>
    <w:rsid w:val="007565B5"/>
    <w:rsid w:val="0075677A"/>
    <w:rsid w:val="0075750E"/>
    <w:rsid w:val="007610AD"/>
    <w:rsid w:val="00761D77"/>
    <w:rsid w:val="00762584"/>
    <w:rsid w:val="007636BE"/>
    <w:rsid w:val="007637C3"/>
    <w:rsid w:val="007639BC"/>
    <w:rsid w:val="00763C9C"/>
    <w:rsid w:val="00763DBA"/>
    <w:rsid w:val="00764396"/>
    <w:rsid w:val="00764883"/>
    <w:rsid w:val="00764A06"/>
    <w:rsid w:val="007652E3"/>
    <w:rsid w:val="007653AE"/>
    <w:rsid w:val="00765536"/>
    <w:rsid w:val="00766362"/>
    <w:rsid w:val="00766C5D"/>
    <w:rsid w:val="007670C0"/>
    <w:rsid w:val="00767159"/>
    <w:rsid w:val="007700EB"/>
    <w:rsid w:val="007703D1"/>
    <w:rsid w:val="00770D82"/>
    <w:rsid w:val="00771D50"/>
    <w:rsid w:val="00772F7D"/>
    <w:rsid w:val="00772FC7"/>
    <w:rsid w:val="0077334C"/>
    <w:rsid w:val="0077497C"/>
    <w:rsid w:val="00774C29"/>
    <w:rsid w:val="00775330"/>
    <w:rsid w:val="00775646"/>
    <w:rsid w:val="0077571F"/>
    <w:rsid w:val="007764CB"/>
    <w:rsid w:val="00776622"/>
    <w:rsid w:val="00777399"/>
    <w:rsid w:val="007778D7"/>
    <w:rsid w:val="00777A54"/>
    <w:rsid w:val="00777ADA"/>
    <w:rsid w:val="00777B59"/>
    <w:rsid w:val="00777BF8"/>
    <w:rsid w:val="007801B4"/>
    <w:rsid w:val="00780509"/>
    <w:rsid w:val="0078091A"/>
    <w:rsid w:val="00780E91"/>
    <w:rsid w:val="00781089"/>
    <w:rsid w:val="007821F8"/>
    <w:rsid w:val="00782603"/>
    <w:rsid w:val="00782D00"/>
    <w:rsid w:val="00782E1F"/>
    <w:rsid w:val="00783063"/>
    <w:rsid w:val="00783092"/>
    <w:rsid w:val="00783A43"/>
    <w:rsid w:val="00783C93"/>
    <w:rsid w:val="007841F1"/>
    <w:rsid w:val="007842A8"/>
    <w:rsid w:val="00784B26"/>
    <w:rsid w:val="00784B43"/>
    <w:rsid w:val="007850BC"/>
    <w:rsid w:val="0078588F"/>
    <w:rsid w:val="00785A58"/>
    <w:rsid w:val="00785F1F"/>
    <w:rsid w:val="00786A77"/>
    <w:rsid w:val="00786ADE"/>
    <w:rsid w:val="00787356"/>
    <w:rsid w:val="007873C8"/>
    <w:rsid w:val="007874A2"/>
    <w:rsid w:val="007877E6"/>
    <w:rsid w:val="00790E86"/>
    <w:rsid w:val="00791224"/>
    <w:rsid w:val="007916B7"/>
    <w:rsid w:val="00791B5F"/>
    <w:rsid w:val="00791CE3"/>
    <w:rsid w:val="00791EDE"/>
    <w:rsid w:val="00792535"/>
    <w:rsid w:val="007928E1"/>
    <w:rsid w:val="007928F6"/>
    <w:rsid w:val="00792E65"/>
    <w:rsid w:val="007932D7"/>
    <w:rsid w:val="007933B4"/>
    <w:rsid w:val="007934A7"/>
    <w:rsid w:val="00793C6D"/>
    <w:rsid w:val="007947AA"/>
    <w:rsid w:val="00794ED6"/>
    <w:rsid w:val="007953E4"/>
    <w:rsid w:val="00795FA4"/>
    <w:rsid w:val="007962A1"/>
    <w:rsid w:val="00796496"/>
    <w:rsid w:val="00796D78"/>
    <w:rsid w:val="0079764F"/>
    <w:rsid w:val="00797A15"/>
    <w:rsid w:val="007A0379"/>
    <w:rsid w:val="007A050E"/>
    <w:rsid w:val="007A08DA"/>
    <w:rsid w:val="007A0BB7"/>
    <w:rsid w:val="007A11EA"/>
    <w:rsid w:val="007A170C"/>
    <w:rsid w:val="007A1FAC"/>
    <w:rsid w:val="007A20A8"/>
    <w:rsid w:val="007A2AE2"/>
    <w:rsid w:val="007A2E87"/>
    <w:rsid w:val="007A3554"/>
    <w:rsid w:val="007A51B4"/>
    <w:rsid w:val="007A53E3"/>
    <w:rsid w:val="007A558D"/>
    <w:rsid w:val="007A684C"/>
    <w:rsid w:val="007A72D8"/>
    <w:rsid w:val="007A7762"/>
    <w:rsid w:val="007A7A51"/>
    <w:rsid w:val="007B03FD"/>
    <w:rsid w:val="007B0477"/>
    <w:rsid w:val="007B0487"/>
    <w:rsid w:val="007B0649"/>
    <w:rsid w:val="007B08CE"/>
    <w:rsid w:val="007B0B0A"/>
    <w:rsid w:val="007B0D5F"/>
    <w:rsid w:val="007B13D0"/>
    <w:rsid w:val="007B19E8"/>
    <w:rsid w:val="007B1CD9"/>
    <w:rsid w:val="007B1CEA"/>
    <w:rsid w:val="007B24E4"/>
    <w:rsid w:val="007B3516"/>
    <w:rsid w:val="007B3B11"/>
    <w:rsid w:val="007B53A3"/>
    <w:rsid w:val="007B58A6"/>
    <w:rsid w:val="007B5BD0"/>
    <w:rsid w:val="007B68A7"/>
    <w:rsid w:val="007B698C"/>
    <w:rsid w:val="007B71C2"/>
    <w:rsid w:val="007B797F"/>
    <w:rsid w:val="007B7D45"/>
    <w:rsid w:val="007C02DD"/>
    <w:rsid w:val="007C0E2C"/>
    <w:rsid w:val="007C0F7B"/>
    <w:rsid w:val="007C0FDA"/>
    <w:rsid w:val="007C1182"/>
    <w:rsid w:val="007C13D4"/>
    <w:rsid w:val="007C1A65"/>
    <w:rsid w:val="007C2425"/>
    <w:rsid w:val="007C29ED"/>
    <w:rsid w:val="007C3E46"/>
    <w:rsid w:val="007C3F42"/>
    <w:rsid w:val="007C3FA7"/>
    <w:rsid w:val="007C4328"/>
    <w:rsid w:val="007C5506"/>
    <w:rsid w:val="007C57B1"/>
    <w:rsid w:val="007C5A05"/>
    <w:rsid w:val="007C653F"/>
    <w:rsid w:val="007C6D50"/>
    <w:rsid w:val="007C6DC8"/>
    <w:rsid w:val="007C6EE2"/>
    <w:rsid w:val="007C6FE5"/>
    <w:rsid w:val="007D02E0"/>
    <w:rsid w:val="007D0A13"/>
    <w:rsid w:val="007D0B06"/>
    <w:rsid w:val="007D1741"/>
    <w:rsid w:val="007D18B6"/>
    <w:rsid w:val="007D19FA"/>
    <w:rsid w:val="007D1AF6"/>
    <w:rsid w:val="007D2038"/>
    <w:rsid w:val="007D2479"/>
    <w:rsid w:val="007D2CCE"/>
    <w:rsid w:val="007D306E"/>
    <w:rsid w:val="007D3B59"/>
    <w:rsid w:val="007D3F82"/>
    <w:rsid w:val="007D41B1"/>
    <w:rsid w:val="007D4BBB"/>
    <w:rsid w:val="007D5010"/>
    <w:rsid w:val="007D53C1"/>
    <w:rsid w:val="007D5607"/>
    <w:rsid w:val="007D5C95"/>
    <w:rsid w:val="007D6129"/>
    <w:rsid w:val="007D6212"/>
    <w:rsid w:val="007D6DF1"/>
    <w:rsid w:val="007D722F"/>
    <w:rsid w:val="007D775F"/>
    <w:rsid w:val="007E0704"/>
    <w:rsid w:val="007E0B7B"/>
    <w:rsid w:val="007E17EC"/>
    <w:rsid w:val="007E1A10"/>
    <w:rsid w:val="007E1A3E"/>
    <w:rsid w:val="007E22BA"/>
    <w:rsid w:val="007E2629"/>
    <w:rsid w:val="007E3051"/>
    <w:rsid w:val="007E3880"/>
    <w:rsid w:val="007E4001"/>
    <w:rsid w:val="007E43D4"/>
    <w:rsid w:val="007E4435"/>
    <w:rsid w:val="007E4AE2"/>
    <w:rsid w:val="007E4B27"/>
    <w:rsid w:val="007E4E4E"/>
    <w:rsid w:val="007E4FB1"/>
    <w:rsid w:val="007E51D0"/>
    <w:rsid w:val="007E5224"/>
    <w:rsid w:val="007E5ACB"/>
    <w:rsid w:val="007E6192"/>
    <w:rsid w:val="007E7D00"/>
    <w:rsid w:val="007E7E7E"/>
    <w:rsid w:val="007F0266"/>
    <w:rsid w:val="007F047B"/>
    <w:rsid w:val="007F0CEC"/>
    <w:rsid w:val="007F13FC"/>
    <w:rsid w:val="007F1EE3"/>
    <w:rsid w:val="007F202A"/>
    <w:rsid w:val="007F2CBC"/>
    <w:rsid w:val="007F34B8"/>
    <w:rsid w:val="007F5AB7"/>
    <w:rsid w:val="007F5AD7"/>
    <w:rsid w:val="007F6346"/>
    <w:rsid w:val="007F6563"/>
    <w:rsid w:val="007F67A3"/>
    <w:rsid w:val="007F6BAB"/>
    <w:rsid w:val="007F7D06"/>
    <w:rsid w:val="007F7F03"/>
    <w:rsid w:val="00800AA9"/>
    <w:rsid w:val="00800B04"/>
    <w:rsid w:val="00800B27"/>
    <w:rsid w:val="00800ED9"/>
    <w:rsid w:val="00801607"/>
    <w:rsid w:val="008016FE"/>
    <w:rsid w:val="00801898"/>
    <w:rsid w:val="00801B54"/>
    <w:rsid w:val="008022AC"/>
    <w:rsid w:val="00802749"/>
    <w:rsid w:val="00802D26"/>
    <w:rsid w:val="00803D5D"/>
    <w:rsid w:val="008044F0"/>
    <w:rsid w:val="0080455F"/>
    <w:rsid w:val="0080486E"/>
    <w:rsid w:val="00804EF4"/>
    <w:rsid w:val="0080523D"/>
    <w:rsid w:val="00805881"/>
    <w:rsid w:val="0080639A"/>
    <w:rsid w:val="00806503"/>
    <w:rsid w:val="00806C82"/>
    <w:rsid w:val="008070E8"/>
    <w:rsid w:val="00807835"/>
    <w:rsid w:val="00807938"/>
    <w:rsid w:val="00807C6E"/>
    <w:rsid w:val="00807D59"/>
    <w:rsid w:val="00810055"/>
    <w:rsid w:val="0081033D"/>
    <w:rsid w:val="008107FE"/>
    <w:rsid w:val="0081125D"/>
    <w:rsid w:val="008117F2"/>
    <w:rsid w:val="008126DD"/>
    <w:rsid w:val="00812AF3"/>
    <w:rsid w:val="00812DD4"/>
    <w:rsid w:val="00812FD4"/>
    <w:rsid w:val="0081348E"/>
    <w:rsid w:val="0081353A"/>
    <w:rsid w:val="0081388E"/>
    <w:rsid w:val="008138CB"/>
    <w:rsid w:val="008139D2"/>
    <w:rsid w:val="00813B21"/>
    <w:rsid w:val="008143BA"/>
    <w:rsid w:val="00814778"/>
    <w:rsid w:val="008150A9"/>
    <w:rsid w:val="008156DF"/>
    <w:rsid w:val="00815F6E"/>
    <w:rsid w:val="008161E9"/>
    <w:rsid w:val="00816202"/>
    <w:rsid w:val="00816349"/>
    <w:rsid w:val="00816566"/>
    <w:rsid w:val="00816D3B"/>
    <w:rsid w:val="00816EA6"/>
    <w:rsid w:val="008170C3"/>
    <w:rsid w:val="00817569"/>
    <w:rsid w:val="00817CA2"/>
    <w:rsid w:val="00817D8B"/>
    <w:rsid w:val="00817E54"/>
    <w:rsid w:val="00820226"/>
    <w:rsid w:val="008202B4"/>
    <w:rsid w:val="00820434"/>
    <w:rsid w:val="00820635"/>
    <w:rsid w:val="0082076A"/>
    <w:rsid w:val="0082123B"/>
    <w:rsid w:val="0082198E"/>
    <w:rsid w:val="00821A6E"/>
    <w:rsid w:val="00821A7C"/>
    <w:rsid w:val="00821D9B"/>
    <w:rsid w:val="00821FC3"/>
    <w:rsid w:val="008222B9"/>
    <w:rsid w:val="0082241F"/>
    <w:rsid w:val="008224C4"/>
    <w:rsid w:val="008229EE"/>
    <w:rsid w:val="008237F6"/>
    <w:rsid w:val="0082382F"/>
    <w:rsid w:val="00823A4A"/>
    <w:rsid w:val="00823CDE"/>
    <w:rsid w:val="0082445A"/>
    <w:rsid w:val="0082698E"/>
    <w:rsid w:val="00827BD2"/>
    <w:rsid w:val="0083013A"/>
    <w:rsid w:val="0083048A"/>
    <w:rsid w:val="00830D65"/>
    <w:rsid w:val="00831275"/>
    <w:rsid w:val="0083181B"/>
    <w:rsid w:val="00831919"/>
    <w:rsid w:val="00831B3E"/>
    <w:rsid w:val="00831E08"/>
    <w:rsid w:val="008321D2"/>
    <w:rsid w:val="00832F78"/>
    <w:rsid w:val="00833502"/>
    <w:rsid w:val="00833B6F"/>
    <w:rsid w:val="008340E9"/>
    <w:rsid w:val="0083415A"/>
    <w:rsid w:val="008345F6"/>
    <w:rsid w:val="00834896"/>
    <w:rsid w:val="008348FF"/>
    <w:rsid w:val="00835993"/>
    <w:rsid w:val="00835E4C"/>
    <w:rsid w:val="00836390"/>
    <w:rsid w:val="008368A0"/>
    <w:rsid w:val="00836C04"/>
    <w:rsid w:val="0083756C"/>
    <w:rsid w:val="00837F1E"/>
    <w:rsid w:val="00837FCB"/>
    <w:rsid w:val="00840027"/>
    <w:rsid w:val="00840F98"/>
    <w:rsid w:val="008411D7"/>
    <w:rsid w:val="00841B70"/>
    <w:rsid w:val="00842517"/>
    <w:rsid w:val="008431EC"/>
    <w:rsid w:val="00843757"/>
    <w:rsid w:val="00843D87"/>
    <w:rsid w:val="00844577"/>
    <w:rsid w:val="00844B2F"/>
    <w:rsid w:val="00844B54"/>
    <w:rsid w:val="00844C9F"/>
    <w:rsid w:val="00844EA1"/>
    <w:rsid w:val="008455FC"/>
    <w:rsid w:val="00845A5D"/>
    <w:rsid w:val="00845A69"/>
    <w:rsid w:val="00845AFE"/>
    <w:rsid w:val="00845E04"/>
    <w:rsid w:val="00846666"/>
    <w:rsid w:val="008466A4"/>
    <w:rsid w:val="00846DCC"/>
    <w:rsid w:val="00846DD4"/>
    <w:rsid w:val="008474A6"/>
    <w:rsid w:val="008476CE"/>
    <w:rsid w:val="008478A3"/>
    <w:rsid w:val="008478D7"/>
    <w:rsid w:val="00847A43"/>
    <w:rsid w:val="00847A4A"/>
    <w:rsid w:val="00847F8E"/>
    <w:rsid w:val="00850498"/>
    <w:rsid w:val="0085088F"/>
    <w:rsid w:val="008508AD"/>
    <w:rsid w:val="00851664"/>
    <w:rsid w:val="0085222D"/>
    <w:rsid w:val="00852741"/>
    <w:rsid w:val="00852C4E"/>
    <w:rsid w:val="00853409"/>
    <w:rsid w:val="00853570"/>
    <w:rsid w:val="00853A0E"/>
    <w:rsid w:val="008542CF"/>
    <w:rsid w:val="00854402"/>
    <w:rsid w:val="0085498D"/>
    <w:rsid w:val="00854E04"/>
    <w:rsid w:val="00855114"/>
    <w:rsid w:val="00855273"/>
    <w:rsid w:val="00856058"/>
    <w:rsid w:val="00856ACB"/>
    <w:rsid w:val="00856D24"/>
    <w:rsid w:val="00856D2E"/>
    <w:rsid w:val="00856E7E"/>
    <w:rsid w:val="00856F04"/>
    <w:rsid w:val="00857043"/>
    <w:rsid w:val="008602B1"/>
    <w:rsid w:val="00860E0D"/>
    <w:rsid w:val="0086132E"/>
    <w:rsid w:val="008618A2"/>
    <w:rsid w:val="0086210A"/>
    <w:rsid w:val="00862456"/>
    <w:rsid w:val="008632B8"/>
    <w:rsid w:val="008636A3"/>
    <w:rsid w:val="008637BC"/>
    <w:rsid w:val="0086415E"/>
    <w:rsid w:val="00864E69"/>
    <w:rsid w:val="00866311"/>
    <w:rsid w:val="008663EC"/>
    <w:rsid w:val="00867233"/>
    <w:rsid w:val="0086778F"/>
    <w:rsid w:val="008677A3"/>
    <w:rsid w:val="00867B05"/>
    <w:rsid w:val="00867CFF"/>
    <w:rsid w:val="00867E41"/>
    <w:rsid w:val="00870256"/>
    <w:rsid w:val="00870367"/>
    <w:rsid w:val="0087096C"/>
    <w:rsid w:val="00870E8C"/>
    <w:rsid w:val="008712BC"/>
    <w:rsid w:val="0087158F"/>
    <w:rsid w:val="008717A6"/>
    <w:rsid w:val="00871864"/>
    <w:rsid w:val="00871D0F"/>
    <w:rsid w:val="00871F8A"/>
    <w:rsid w:val="00873898"/>
    <w:rsid w:val="00873A26"/>
    <w:rsid w:val="00873AE8"/>
    <w:rsid w:val="00873EFE"/>
    <w:rsid w:val="00875099"/>
    <w:rsid w:val="00875477"/>
    <w:rsid w:val="008756E5"/>
    <w:rsid w:val="00875AED"/>
    <w:rsid w:val="00875C10"/>
    <w:rsid w:val="0087682B"/>
    <w:rsid w:val="00876AC6"/>
    <w:rsid w:val="00876C85"/>
    <w:rsid w:val="00876D96"/>
    <w:rsid w:val="00876DBD"/>
    <w:rsid w:val="008770C6"/>
    <w:rsid w:val="00877A3B"/>
    <w:rsid w:val="00877E3F"/>
    <w:rsid w:val="00880114"/>
    <w:rsid w:val="00880D0D"/>
    <w:rsid w:val="00880D34"/>
    <w:rsid w:val="00881AD9"/>
    <w:rsid w:val="0088240E"/>
    <w:rsid w:val="00882587"/>
    <w:rsid w:val="00882DE7"/>
    <w:rsid w:val="00883B34"/>
    <w:rsid w:val="00883D8E"/>
    <w:rsid w:val="00883E0D"/>
    <w:rsid w:val="008848A5"/>
    <w:rsid w:val="00884C7B"/>
    <w:rsid w:val="00884D2A"/>
    <w:rsid w:val="00884DA4"/>
    <w:rsid w:val="0088528B"/>
    <w:rsid w:val="00885EB0"/>
    <w:rsid w:val="00886351"/>
    <w:rsid w:val="00886570"/>
    <w:rsid w:val="00886887"/>
    <w:rsid w:val="008874DE"/>
    <w:rsid w:val="008877B6"/>
    <w:rsid w:val="0088799E"/>
    <w:rsid w:val="0089010D"/>
    <w:rsid w:val="008916E4"/>
    <w:rsid w:val="00892040"/>
    <w:rsid w:val="0089223C"/>
    <w:rsid w:val="00892250"/>
    <w:rsid w:val="0089229B"/>
    <w:rsid w:val="00892DDA"/>
    <w:rsid w:val="0089330F"/>
    <w:rsid w:val="0089344D"/>
    <w:rsid w:val="0089392A"/>
    <w:rsid w:val="00894079"/>
    <w:rsid w:val="0089537D"/>
    <w:rsid w:val="00895C3B"/>
    <w:rsid w:val="00895E0F"/>
    <w:rsid w:val="008960AB"/>
    <w:rsid w:val="008963F4"/>
    <w:rsid w:val="00897427"/>
    <w:rsid w:val="008976B9"/>
    <w:rsid w:val="00897811"/>
    <w:rsid w:val="00897F43"/>
    <w:rsid w:val="008A0E1A"/>
    <w:rsid w:val="008A10DC"/>
    <w:rsid w:val="008A11C7"/>
    <w:rsid w:val="008A1330"/>
    <w:rsid w:val="008A1B51"/>
    <w:rsid w:val="008A1E5D"/>
    <w:rsid w:val="008A1FEC"/>
    <w:rsid w:val="008A3766"/>
    <w:rsid w:val="008A4269"/>
    <w:rsid w:val="008A4417"/>
    <w:rsid w:val="008A4ADB"/>
    <w:rsid w:val="008A4E39"/>
    <w:rsid w:val="008A5037"/>
    <w:rsid w:val="008A70CF"/>
    <w:rsid w:val="008A71A6"/>
    <w:rsid w:val="008A75D4"/>
    <w:rsid w:val="008A7C61"/>
    <w:rsid w:val="008A7CF1"/>
    <w:rsid w:val="008B087D"/>
    <w:rsid w:val="008B0F26"/>
    <w:rsid w:val="008B0F72"/>
    <w:rsid w:val="008B1D11"/>
    <w:rsid w:val="008B1F91"/>
    <w:rsid w:val="008B200C"/>
    <w:rsid w:val="008B243A"/>
    <w:rsid w:val="008B25AE"/>
    <w:rsid w:val="008B28FD"/>
    <w:rsid w:val="008B2E20"/>
    <w:rsid w:val="008B3626"/>
    <w:rsid w:val="008B3D60"/>
    <w:rsid w:val="008B44E6"/>
    <w:rsid w:val="008B4BAB"/>
    <w:rsid w:val="008B4D66"/>
    <w:rsid w:val="008B5C1A"/>
    <w:rsid w:val="008B6426"/>
    <w:rsid w:val="008B6D70"/>
    <w:rsid w:val="008B70CD"/>
    <w:rsid w:val="008B74A9"/>
    <w:rsid w:val="008B7790"/>
    <w:rsid w:val="008B7EB6"/>
    <w:rsid w:val="008C084B"/>
    <w:rsid w:val="008C0E95"/>
    <w:rsid w:val="008C1236"/>
    <w:rsid w:val="008C12E3"/>
    <w:rsid w:val="008C14BA"/>
    <w:rsid w:val="008C16B8"/>
    <w:rsid w:val="008C1901"/>
    <w:rsid w:val="008C1C06"/>
    <w:rsid w:val="008C1D6C"/>
    <w:rsid w:val="008C1F57"/>
    <w:rsid w:val="008C2E09"/>
    <w:rsid w:val="008C30C7"/>
    <w:rsid w:val="008C3171"/>
    <w:rsid w:val="008C3AA9"/>
    <w:rsid w:val="008C3B72"/>
    <w:rsid w:val="008C3BC0"/>
    <w:rsid w:val="008C3C6F"/>
    <w:rsid w:val="008C408A"/>
    <w:rsid w:val="008C43F2"/>
    <w:rsid w:val="008C4482"/>
    <w:rsid w:val="008C455E"/>
    <w:rsid w:val="008C4F9F"/>
    <w:rsid w:val="008C5045"/>
    <w:rsid w:val="008C5438"/>
    <w:rsid w:val="008C5BE3"/>
    <w:rsid w:val="008C5C5A"/>
    <w:rsid w:val="008C5C89"/>
    <w:rsid w:val="008C5F11"/>
    <w:rsid w:val="008C6244"/>
    <w:rsid w:val="008C6C91"/>
    <w:rsid w:val="008C6F6E"/>
    <w:rsid w:val="008C7FDD"/>
    <w:rsid w:val="008D04C1"/>
    <w:rsid w:val="008D0671"/>
    <w:rsid w:val="008D1566"/>
    <w:rsid w:val="008D1892"/>
    <w:rsid w:val="008D226D"/>
    <w:rsid w:val="008D27B2"/>
    <w:rsid w:val="008D31A5"/>
    <w:rsid w:val="008D33DD"/>
    <w:rsid w:val="008D3914"/>
    <w:rsid w:val="008D3CF4"/>
    <w:rsid w:val="008D49DA"/>
    <w:rsid w:val="008D5571"/>
    <w:rsid w:val="008D60BC"/>
    <w:rsid w:val="008D67CA"/>
    <w:rsid w:val="008D6C7E"/>
    <w:rsid w:val="008D7694"/>
    <w:rsid w:val="008E0853"/>
    <w:rsid w:val="008E0DE6"/>
    <w:rsid w:val="008E1295"/>
    <w:rsid w:val="008E1310"/>
    <w:rsid w:val="008E1DA3"/>
    <w:rsid w:val="008E3421"/>
    <w:rsid w:val="008E342D"/>
    <w:rsid w:val="008E356E"/>
    <w:rsid w:val="008E3CF2"/>
    <w:rsid w:val="008E3FF9"/>
    <w:rsid w:val="008E53C8"/>
    <w:rsid w:val="008E5F68"/>
    <w:rsid w:val="008E601B"/>
    <w:rsid w:val="008E65EB"/>
    <w:rsid w:val="008E6DED"/>
    <w:rsid w:val="008E70D9"/>
    <w:rsid w:val="008E7A1D"/>
    <w:rsid w:val="008E7AE7"/>
    <w:rsid w:val="008F0525"/>
    <w:rsid w:val="008F0A76"/>
    <w:rsid w:val="008F1395"/>
    <w:rsid w:val="008F1790"/>
    <w:rsid w:val="008F17A0"/>
    <w:rsid w:val="008F1808"/>
    <w:rsid w:val="008F1850"/>
    <w:rsid w:val="008F1A40"/>
    <w:rsid w:val="008F1A86"/>
    <w:rsid w:val="008F1DD4"/>
    <w:rsid w:val="008F21CD"/>
    <w:rsid w:val="008F2924"/>
    <w:rsid w:val="008F2ED6"/>
    <w:rsid w:val="008F2F9E"/>
    <w:rsid w:val="008F2FBD"/>
    <w:rsid w:val="008F40EC"/>
    <w:rsid w:val="008F40FC"/>
    <w:rsid w:val="008F425B"/>
    <w:rsid w:val="008F467B"/>
    <w:rsid w:val="008F4E64"/>
    <w:rsid w:val="008F580F"/>
    <w:rsid w:val="008F5BF4"/>
    <w:rsid w:val="008F5C04"/>
    <w:rsid w:val="008F6435"/>
    <w:rsid w:val="008F65FC"/>
    <w:rsid w:val="008F6A39"/>
    <w:rsid w:val="008F70AF"/>
    <w:rsid w:val="008F79EF"/>
    <w:rsid w:val="00900D7F"/>
    <w:rsid w:val="00900F93"/>
    <w:rsid w:val="009015E8"/>
    <w:rsid w:val="0090193E"/>
    <w:rsid w:val="00901F58"/>
    <w:rsid w:val="00902A3F"/>
    <w:rsid w:val="00902EE3"/>
    <w:rsid w:val="0090335C"/>
    <w:rsid w:val="00903764"/>
    <w:rsid w:val="00903DD3"/>
    <w:rsid w:val="00903F19"/>
    <w:rsid w:val="009041B2"/>
    <w:rsid w:val="0090719F"/>
    <w:rsid w:val="009072AC"/>
    <w:rsid w:val="0090741E"/>
    <w:rsid w:val="00907540"/>
    <w:rsid w:val="00907B8E"/>
    <w:rsid w:val="00907D94"/>
    <w:rsid w:val="009100BA"/>
    <w:rsid w:val="009105A1"/>
    <w:rsid w:val="00910DA6"/>
    <w:rsid w:val="00911210"/>
    <w:rsid w:val="00911705"/>
    <w:rsid w:val="00911769"/>
    <w:rsid w:val="00911885"/>
    <w:rsid w:val="009119EB"/>
    <w:rsid w:val="00911BAD"/>
    <w:rsid w:val="00911F7A"/>
    <w:rsid w:val="00913227"/>
    <w:rsid w:val="009134D7"/>
    <w:rsid w:val="0091375C"/>
    <w:rsid w:val="00914002"/>
    <w:rsid w:val="00914AAF"/>
    <w:rsid w:val="00915C9B"/>
    <w:rsid w:val="00916032"/>
    <w:rsid w:val="00916115"/>
    <w:rsid w:val="00916270"/>
    <w:rsid w:val="009162CC"/>
    <w:rsid w:val="00916DB3"/>
    <w:rsid w:val="00916F55"/>
    <w:rsid w:val="009171A0"/>
    <w:rsid w:val="009178AF"/>
    <w:rsid w:val="00917D36"/>
    <w:rsid w:val="00917D6F"/>
    <w:rsid w:val="009209A4"/>
    <w:rsid w:val="00920D52"/>
    <w:rsid w:val="0092133A"/>
    <w:rsid w:val="00921DD0"/>
    <w:rsid w:val="00921E04"/>
    <w:rsid w:val="00922117"/>
    <w:rsid w:val="009229C7"/>
    <w:rsid w:val="009234D4"/>
    <w:rsid w:val="00923951"/>
    <w:rsid w:val="00923A4F"/>
    <w:rsid w:val="00923F89"/>
    <w:rsid w:val="009243FC"/>
    <w:rsid w:val="0092492C"/>
    <w:rsid w:val="00924BFC"/>
    <w:rsid w:val="00924E52"/>
    <w:rsid w:val="00925259"/>
    <w:rsid w:val="00927096"/>
    <w:rsid w:val="00927140"/>
    <w:rsid w:val="0092738B"/>
    <w:rsid w:val="0092756A"/>
    <w:rsid w:val="0093075D"/>
    <w:rsid w:val="0093091B"/>
    <w:rsid w:val="0093098F"/>
    <w:rsid w:val="00930C59"/>
    <w:rsid w:val="00931070"/>
    <w:rsid w:val="0093146F"/>
    <w:rsid w:val="009319DD"/>
    <w:rsid w:val="009319F8"/>
    <w:rsid w:val="00931A40"/>
    <w:rsid w:val="00932287"/>
    <w:rsid w:val="00932386"/>
    <w:rsid w:val="00932543"/>
    <w:rsid w:val="00932DC7"/>
    <w:rsid w:val="0093300C"/>
    <w:rsid w:val="0093331D"/>
    <w:rsid w:val="0093356A"/>
    <w:rsid w:val="009335F3"/>
    <w:rsid w:val="00933742"/>
    <w:rsid w:val="009347FC"/>
    <w:rsid w:val="00934963"/>
    <w:rsid w:val="00934E75"/>
    <w:rsid w:val="009350EE"/>
    <w:rsid w:val="009354B9"/>
    <w:rsid w:val="009356DB"/>
    <w:rsid w:val="00935E68"/>
    <w:rsid w:val="00936117"/>
    <w:rsid w:val="00936721"/>
    <w:rsid w:val="00936D24"/>
    <w:rsid w:val="00936F6E"/>
    <w:rsid w:val="00937123"/>
    <w:rsid w:val="0094043E"/>
    <w:rsid w:val="00940DE2"/>
    <w:rsid w:val="009411AB"/>
    <w:rsid w:val="00941340"/>
    <w:rsid w:val="0094145F"/>
    <w:rsid w:val="00941832"/>
    <w:rsid w:val="00941A3F"/>
    <w:rsid w:val="00941D8B"/>
    <w:rsid w:val="00942316"/>
    <w:rsid w:val="009426A1"/>
    <w:rsid w:val="00942E77"/>
    <w:rsid w:val="0094382A"/>
    <w:rsid w:val="00943966"/>
    <w:rsid w:val="00943C11"/>
    <w:rsid w:val="00943D43"/>
    <w:rsid w:val="00943DCB"/>
    <w:rsid w:val="0094440C"/>
    <w:rsid w:val="0094525D"/>
    <w:rsid w:val="00945900"/>
    <w:rsid w:val="00945CBE"/>
    <w:rsid w:val="00945EC4"/>
    <w:rsid w:val="00945ECD"/>
    <w:rsid w:val="0094627F"/>
    <w:rsid w:val="00946614"/>
    <w:rsid w:val="00946734"/>
    <w:rsid w:val="0094683B"/>
    <w:rsid w:val="0094778C"/>
    <w:rsid w:val="00947C70"/>
    <w:rsid w:val="00947E6A"/>
    <w:rsid w:val="009510E0"/>
    <w:rsid w:val="00951144"/>
    <w:rsid w:val="00951665"/>
    <w:rsid w:val="00951B91"/>
    <w:rsid w:val="0095207C"/>
    <w:rsid w:val="0095284F"/>
    <w:rsid w:val="00952BC3"/>
    <w:rsid w:val="00953931"/>
    <w:rsid w:val="0095399F"/>
    <w:rsid w:val="00953AC5"/>
    <w:rsid w:val="00953C63"/>
    <w:rsid w:val="0095530B"/>
    <w:rsid w:val="00955413"/>
    <w:rsid w:val="00955676"/>
    <w:rsid w:val="00955AE4"/>
    <w:rsid w:val="00956305"/>
    <w:rsid w:val="009566D4"/>
    <w:rsid w:val="00956F8F"/>
    <w:rsid w:val="009572F0"/>
    <w:rsid w:val="009576CD"/>
    <w:rsid w:val="009578AD"/>
    <w:rsid w:val="0095796E"/>
    <w:rsid w:val="009600B4"/>
    <w:rsid w:val="00960409"/>
    <w:rsid w:val="00960953"/>
    <w:rsid w:val="00961315"/>
    <w:rsid w:val="009617BC"/>
    <w:rsid w:val="00961C3C"/>
    <w:rsid w:val="00962024"/>
    <w:rsid w:val="00962820"/>
    <w:rsid w:val="00963073"/>
    <w:rsid w:val="0096327E"/>
    <w:rsid w:val="009639A9"/>
    <w:rsid w:val="009643B7"/>
    <w:rsid w:val="0096486F"/>
    <w:rsid w:val="00964B7F"/>
    <w:rsid w:val="0096519E"/>
    <w:rsid w:val="00965481"/>
    <w:rsid w:val="009659F2"/>
    <w:rsid w:val="00965BDD"/>
    <w:rsid w:val="00965F1E"/>
    <w:rsid w:val="00966300"/>
    <w:rsid w:val="00966FF3"/>
    <w:rsid w:val="009673C4"/>
    <w:rsid w:val="00970124"/>
    <w:rsid w:val="009704AF"/>
    <w:rsid w:val="009704F6"/>
    <w:rsid w:val="00970D9E"/>
    <w:rsid w:val="00970FB3"/>
    <w:rsid w:val="009711CC"/>
    <w:rsid w:val="0097154B"/>
    <w:rsid w:val="00971B29"/>
    <w:rsid w:val="00972083"/>
    <w:rsid w:val="00972110"/>
    <w:rsid w:val="0097235E"/>
    <w:rsid w:val="00972378"/>
    <w:rsid w:val="009724D7"/>
    <w:rsid w:val="009729D5"/>
    <w:rsid w:val="009731C5"/>
    <w:rsid w:val="009733EB"/>
    <w:rsid w:val="009740E1"/>
    <w:rsid w:val="0097446C"/>
    <w:rsid w:val="00974BD3"/>
    <w:rsid w:val="0097599C"/>
    <w:rsid w:val="00975A25"/>
    <w:rsid w:val="00976695"/>
    <w:rsid w:val="00976F52"/>
    <w:rsid w:val="0097738B"/>
    <w:rsid w:val="009773B1"/>
    <w:rsid w:val="00977833"/>
    <w:rsid w:val="00977D95"/>
    <w:rsid w:val="00981050"/>
    <w:rsid w:val="0098179E"/>
    <w:rsid w:val="00981B26"/>
    <w:rsid w:val="009821C1"/>
    <w:rsid w:val="0098275E"/>
    <w:rsid w:val="00982F6C"/>
    <w:rsid w:val="00983616"/>
    <w:rsid w:val="00983706"/>
    <w:rsid w:val="00984896"/>
    <w:rsid w:val="00984952"/>
    <w:rsid w:val="00984FDB"/>
    <w:rsid w:val="009850AB"/>
    <w:rsid w:val="00985249"/>
    <w:rsid w:val="00985309"/>
    <w:rsid w:val="0098545C"/>
    <w:rsid w:val="0098555B"/>
    <w:rsid w:val="0098588A"/>
    <w:rsid w:val="00985DF7"/>
    <w:rsid w:val="00985F69"/>
    <w:rsid w:val="00986CEB"/>
    <w:rsid w:val="00987174"/>
    <w:rsid w:val="00987A31"/>
    <w:rsid w:val="00987D5F"/>
    <w:rsid w:val="00987FB4"/>
    <w:rsid w:val="00990038"/>
    <w:rsid w:val="00990451"/>
    <w:rsid w:val="00990591"/>
    <w:rsid w:val="00990ED7"/>
    <w:rsid w:val="009910A2"/>
    <w:rsid w:val="00991550"/>
    <w:rsid w:val="0099215A"/>
    <w:rsid w:val="00992289"/>
    <w:rsid w:val="00992623"/>
    <w:rsid w:val="00992C7A"/>
    <w:rsid w:val="00993081"/>
    <w:rsid w:val="009935B6"/>
    <w:rsid w:val="00993B0F"/>
    <w:rsid w:val="00993BDD"/>
    <w:rsid w:val="00993DF9"/>
    <w:rsid w:val="00993F89"/>
    <w:rsid w:val="00994203"/>
    <w:rsid w:val="0099439F"/>
    <w:rsid w:val="00994F68"/>
    <w:rsid w:val="00995474"/>
    <w:rsid w:val="0099578B"/>
    <w:rsid w:val="00996024"/>
    <w:rsid w:val="00996267"/>
    <w:rsid w:val="009963B8"/>
    <w:rsid w:val="009965D1"/>
    <w:rsid w:val="00996616"/>
    <w:rsid w:val="009967D8"/>
    <w:rsid w:val="00996960"/>
    <w:rsid w:val="009969EB"/>
    <w:rsid w:val="00996B96"/>
    <w:rsid w:val="00996E52"/>
    <w:rsid w:val="0099784C"/>
    <w:rsid w:val="00997861"/>
    <w:rsid w:val="009979CB"/>
    <w:rsid w:val="009A041C"/>
    <w:rsid w:val="009A075C"/>
    <w:rsid w:val="009A0967"/>
    <w:rsid w:val="009A0D22"/>
    <w:rsid w:val="009A0DF9"/>
    <w:rsid w:val="009A1165"/>
    <w:rsid w:val="009A197C"/>
    <w:rsid w:val="009A1EE2"/>
    <w:rsid w:val="009A23AC"/>
    <w:rsid w:val="009A2537"/>
    <w:rsid w:val="009A28AC"/>
    <w:rsid w:val="009A2B88"/>
    <w:rsid w:val="009A3E36"/>
    <w:rsid w:val="009A4022"/>
    <w:rsid w:val="009A42BE"/>
    <w:rsid w:val="009A4459"/>
    <w:rsid w:val="009A4CAE"/>
    <w:rsid w:val="009A529B"/>
    <w:rsid w:val="009A5352"/>
    <w:rsid w:val="009A589B"/>
    <w:rsid w:val="009A5D8E"/>
    <w:rsid w:val="009A68A7"/>
    <w:rsid w:val="009A6C7E"/>
    <w:rsid w:val="009A7745"/>
    <w:rsid w:val="009A7869"/>
    <w:rsid w:val="009B0494"/>
    <w:rsid w:val="009B05C1"/>
    <w:rsid w:val="009B0993"/>
    <w:rsid w:val="009B0B09"/>
    <w:rsid w:val="009B160A"/>
    <w:rsid w:val="009B30B6"/>
    <w:rsid w:val="009B384E"/>
    <w:rsid w:val="009B3FD6"/>
    <w:rsid w:val="009B4CA5"/>
    <w:rsid w:val="009B5D9E"/>
    <w:rsid w:val="009B5F8B"/>
    <w:rsid w:val="009B6538"/>
    <w:rsid w:val="009B68D1"/>
    <w:rsid w:val="009B6A4E"/>
    <w:rsid w:val="009B76EA"/>
    <w:rsid w:val="009B7983"/>
    <w:rsid w:val="009C0A69"/>
    <w:rsid w:val="009C11E3"/>
    <w:rsid w:val="009C1504"/>
    <w:rsid w:val="009C1EE4"/>
    <w:rsid w:val="009C333C"/>
    <w:rsid w:val="009C377C"/>
    <w:rsid w:val="009C41C3"/>
    <w:rsid w:val="009C437E"/>
    <w:rsid w:val="009C4A7B"/>
    <w:rsid w:val="009C5CD8"/>
    <w:rsid w:val="009C5F10"/>
    <w:rsid w:val="009C652D"/>
    <w:rsid w:val="009C68BA"/>
    <w:rsid w:val="009C6C50"/>
    <w:rsid w:val="009C7677"/>
    <w:rsid w:val="009D0F32"/>
    <w:rsid w:val="009D11B1"/>
    <w:rsid w:val="009D1232"/>
    <w:rsid w:val="009D1F5A"/>
    <w:rsid w:val="009D2245"/>
    <w:rsid w:val="009D249D"/>
    <w:rsid w:val="009D2505"/>
    <w:rsid w:val="009D2D7C"/>
    <w:rsid w:val="009D35EC"/>
    <w:rsid w:val="009D3A2F"/>
    <w:rsid w:val="009D3ADA"/>
    <w:rsid w:val="009D40C1"/>
    <w:rsid w:val="009D43E8"/>
    <w:rsid w:val="009D45C9"/>
    <w:rsid w:val="009D67D2"/>
    <w:rsid w:val="009D6965"/>
    <w:rsid w:val="009D6B8A"/>
    <w:rsid w:val="009D6C63"/>
    <w:rsid w:val="009D730A"/>
    <w:rsid w:val="009D73B5"/>
    <w:rsid w:val="009D77F3"/>
    <w:rsid w:val="009D7A7A"/>
    <w:rsid w:val="009D7D19"/>
    <w:rsid w:val="009E0275"/>
    <w:rsid w:val="009E0981"/>
    <w:rsid w:val="009E0A7A"/>
    <w:rsid w:val="009E10FA"/>
    <w:rsid w:val="009E1B52"/>
    <w:rsid w:val="009E1CB8"/>
    <w:rsid w:val="009E227D"/>
    <w:rsid w:val="009E2949"/>
    <w:rsid w:val="009E2C48"/>
    <w:rsid w:val="009E2F52"/>
    <w:rsid w:val="009E3401"/>
    <w:rsid w:val="009E3474"/>
    <w:rsid w:val="009E3520"/>
    <w:rsid w:val="009E3540"/>
    <w:rsid w:val="009E401F"/>
    <w:rsid w:val="009E4074"/>
    <w:rsid w:val="009E4247"/>
    <w:rsid w:val="009E495F"/>
    <w:rsid w:val="009E4A9E"/>
    <w:rsid w:val="009E525B"/>
    <w:rsid w:val="009E6B27"/>
    <w:rsid w:val="009E716B"/>
    <w:rsid w:val="009E760E"/>
    <w:rsid w:val="009E7831"/>
    <w:rsid w:val="009E7FD2"/>
    <w:rsid w:val="009F0216"/>
    <w:rsid w:val="009F07FF"/>
    <w:rsid w:val="009F0F00"/>
    <w:rsid w:val="009F1298"/>
    <w:rsid w:val="009F1E43"/>
    <w:rsid w:val="009F1F7A"/>
    <w:rsid w:val="009F2047"/>
    <w:rsid w:val="009F240C"/>
    <w:rsid w:val="009F2B2F"/>
    <w:rsid w:val="009F2DCC"/>
    <w:rsid w:val="009F31E2"/>
    <w:rsid w:val="009F33CC"/>
    <w:rsid w:val="009F3643"/>
    <w:rsid w:val="009F3ABE"/>
    <w:rsid w:val="009F3E95"/>
    <w:rsid w:val="009F3E99"/>
    <w:rsid w:val="009F40F2"/>
    <w:rsid w:val="009F46A9"/>
    <w:rsid w:val="009F53C2"/>
    <w:rsid w:val="009F5B10"/>
    <w:rsid w:val="009F5CC5"/>
    <w:rsid w:val="009F6005"/>
    <w:rsid w:val="009F6798"/>
    <w:rsid w:val="009F69D3"/>
    <w:rsid w:val="009F704F"/>
    <w:rsid w:val="009F711D"/>
    <w:rsid w:val="009F712A"/>
    <w:rsid w:val="009F7386"/>
    <w:rsid w:val="00A00285"/>
    <w:rsid w:val="00A0114E"/>
    <w:rsid w:val="00A01168"/>
    <w:rsid w:val="00A015AD"/>
    <w:rsid w:val="00A02042"/>
    <w:rsid w:val="00A02072"/>
    <w:rsid w:val="00A02611"/>
    <w:rsid w:val="00A02935"/>
    <w:rsid w:val="00A040E8"/>
    <w:rsid w:val="00A046D2"/>
    <w:rsid w:val="00A04CD1"/>
    <w:rsid w:val="00A0527B"/>
    <w:rsid w:val="00A055CC"/>
    <w:rsid w:val="00A057F0"/>
    <w:rsid w:val="00A05A2E"/>
    <w:rsid w:val="00A06128"/>
    <w:rsid w:val="00A0672C"/>
    <w:rsid w:val="00A06B93"/>
    <w:rsid w:val="00A06C3B"/>
    <w:rsid w:val="00A06EAA"/>
    <w:rsid w:val="00A0733E"/>
    <w:rsid w:val="00A076AE"/>
    <w:rsid w:val="00A07A17"/>
    <w:rsid w:val="00A1024D"/>
    <w:rsid w:val="00A113C4"/>
    <w:rsid w:val="00A11995"/>
    <w:rsid w:val="00A12655"/>
    <w:rsid w:val="00A12A95"/>
    <w:rsid w:val="00A132A6"/>
    <w:rsid w:val="00A1402B"/>
    <w:rsid w:val="00A140E9"/>
    <w:rsid w:val="00A14153"/>
    <w:rsid w:val="00A14AFE"/>
    <w:rsid w:val="00A14E06"/>
    <w:rsid w:val="00A16134"/>
    <w:rsid w:val="00A16980"/>
    <w:rsid w:val="00A16EEF"/>
    <w:rsid w:val="00A1740E"/>
    <w:rsid w:val="00A17543"/>
    <w:rsid w:val="00A179BC"/>
    <w:rsid w:val="00A17B42"/>
    <w:rsid w:val="00A17CE1"/>
    <w:rsid w:val="00A20063"/>
    <w:rsid w:val="00A20450"/>
    <w:rsid w:val="00A20DCD"/>
    <w:rsid w:val="00A21631"/>
    <w:rsid w:val="00A2199F"/>
    <w:rsid w:val="00A2236A"/>
    <w:rsid w:val="00A22600"/>
    <w:rsid w:val="00A22628"/>
    <w:rsid w:val="00A22853"/>
    <w:rsid w:val="00A22C2D"/>
    <w:rsid w:val="00A22D0A"/>
    <w:rsid w:val="00A22FED"/>
    <w:rsid w:val="00A23398"/>
    <w:rsid w:val="00A23775"/>
    <w:rsid w:val="00A23E38"/>
    <w:rsid w:val="00A24214"/>
    <w:rsid w:val="00A24AD3"/>
    <w:rsid w:val="00A24C11"/>
    <w:rsid w:val="00A24DFF"/>
    <w:rsid w:val="00A24F08"/>
    <w:rsid w:val="00A25027"/>
    <w:rsid w:val="00A253DE"/>
    <w:rsid w:val="00A25474"/>
    <w:rsid w:val="00A25D76"/>
    <w:rsid w:val="00A25E0A"/>
    <w:rsid w:val="00A26488"/>
    <w:rsid w:val="00A26D01"/>
    <w:rsid w:val="00A27547"/>
    <w:rsid w:val="00A279B9"/>
    <w:rsid w:val="00A27B4E"/>
    <w:rsid w:val="00A27B51"/>
    <w:rsid w:val="00A27BD7"/>
    <w:rsid w:val="00A27C3F"/>
    <w:rsid w:val="00A302EF"/>
    <w:rsid w:val="00A31086"/>
    <w:rsid w:val="00A31093"/>
    <w:rsid w:val="00A31708"/>
    <w:rsid w:val="00A31F33"/>
    <w:rsid w:val="00A323DD"/>
    <w:rsid w:val="00A32D23"/>
    <w:rsid w:val="00A33165"/>
    <w:rsid w:val="00A33496"/>
    <w:rsid w:val="00A33820"/>
    <w:rsid w:val="00A3446D"/>
    <w:rsid w:val="00A34679"/>
    <w:rsid w:val="00A34F2A"/>
    <w:rsid w:val="00A34FC0"/>
    <w:rsid w:val="00A35054"/>
    <w:rsid w:val="00A35600"/>
    <w:rsid w:val="00A3579A"/>
    <w:rsid w:val="00A36CBE"/>
    <w:rsid w:val="00A36E2E"/>
    <w:rsid w:val="00A376EE"/>
    <w:rsid w:val="00A4077A"/>
    <w:rsid w:val="00A4107D"/>
    <w:rsid w:val="00A41CC6"/>
    <w:rsid w:val="00A42AA5"/>
    <w:rsid w:val="00A42EBC"/>
    <w:rsid w:val="00A43213"/>
    <w:rsid w:val="00A438B6"/>
    <w:rsid w:val="00A43921"/>
    <w:rsid w:val="00A43DD0"/>
    <w:rsid w:val="00A4402A"/>
    <w:rsid w:val="00A44C00"/>
    <w:rsid w:val="00A44CCA"/>
    <w:rsid w:val="00A44F38"/>
    <w:rsid w:val="00A45069"/>
    <w:rsid w:val="00A45D7B"/>
    <w:rsid w:val="00A46989"/>
    <w:rsid w:val="00A46994"/>
    <w:rsid w:val="00A47007"/>
    <w:rsid w:val="00A4702E"/>
    <w:rsid w:val="00A47359"/>
    <w:rsid w:val="00A47585"/>
    <w:rsid w:val="00A50250"/>
    <w:rsid w:val="00A5035D"/>
    <w:rsid w:val="00A5042F"/>
    <w:rsid w:val="00A507B5"/>
    <w:rsid w:val="00A50B0B"/>
    <w:rsid w:val="00A5162A"/>
    <w:rsid w:val="00A51A24"/>
    <w:rsid w:val="00A51ABD"/>
    <w:rsid w:val="00A51AD3"/>
    <w:rsid w:val="00A5273A"/>
    <w:rsid w:val="00A52786"/>
    <w:rsid w:val="00A52BF7"/>
    <w:rsid w:val="00A53040"/>
    <w:rsid w:val="00A536C3"/>
    <w:rsid w:val="00A53925"/>
    <w:rsid w:val="00A53F27"/>
    <w:rsid w:val="00A54206"/>
    <w:rsid w:val="00A5437A"/>
    <w:rsid w:val="00A5455A"/>
    <w:rsid w:val="00A54CFB"/>
    <w:rsid w:val="00A54D41"/>
    <w:rsid w:val="00A54E37"/>
    <w:rsid w:val="00A55327"/>
    <w:rsid w:val="00A557BB"/>
    <w:rsid w:val="00A55C07"/>
    <w:rsid w:val="00A56855"/>
    <w:rsid w:val="00A56CAB"/>
    <w:rsid w:val="00A570C1"/>
    <w:rsid w:val="00A572BE"/>
    <w:rsid w:val="00A60763"/>
    <w:rsid w:val="00A60B39"/>
    <w:rsid w:val="00A61008"/>
    <w:rsid w:val="00A610F1"/>
    <w:rsid w:val="00A61330"/>
    <w:rsid w:val="00A6186A"/>
    <w:rsid w:val="00A62148"/>
    <w:rsid w:val="00A62739"/>
    <w:rsid w:val="00A628E8"/>
    <w:rsid w:val="00A62C42"/>
    <w:rsid w:val="00A62C74"/>
    <w:rsid w:val="00A631AE"/>
    <w:rsid w:val="00A63DB1"/>
    <w:rsid w:val="00A64567"/>
    <w:rsid w:val="00A6484C"/>
    <w:rsid w:val="00A64A38"/>
    <w:rsid w:val="00A64B62"/>
    <w:rsid w:val="00A65B8D"/>
    <w:rsid w:val="00A65E69"/>
    <w:rsid w:val="00A661C9"/>
    <w:rsid w:val="00A674F5"/>
    <w:rsid w:val="00A674F7"/>
    <w:rsid w:val="00A677F8"/>
    <w:rsid w:val="00A67C76"/>
    <w:rsid w:val="00A70150"/>
    <w:rsid w:val="00A704F5"/>
    <w:rsid w:val="00A7084E"/>
    <w:rsid w:val="00A708B9"/>
    <w:rsid w:val="00A710C5"/>
    <w:rsid w:val="00A71472"/>
    <w:rsid w:val="00A71538"/>
    <w:rsid w:val="00A71617"/>
    <w:rsid w:val="00A716B9"/>
    <w:rsid w:val="00A71843"/>
    <w:rsid w:val="00A71C92"/>
    <w:rsid w:val="00A72B61"/>
    <w:rsid w:val="00A72DE0"/>
    <w:rsid w:val="00A7312F"/>
    <w:rsid w:val="00A7364A"/>
    <w:rsid w:val="00A7390D"/>
    <w:rsid w:val="00A73DE5"/>
    <w:rsid w:val="00A74AE9"/>
    <w:rsid w:val="00A75928"/>
    <w:rsid w:val="00A75DAE"/>
    <w:rsid w:val="00A75FE3"/>
    <w:rsid w:val="00A76678"/>
    <w:rsid w:val="00A766DB"/>
    <w:rsid w:val="00A76986"/>
    <w:rsid w:val="00A804B8"/>
    <w:rsid w:val="00A8071F"/>
    <w:rsid w:val="00A80B52"/>
    <w:rsid w:val="00A813CA"/>
    <w:rsid w:val="00A815A0"/>
    <w:rsid w:val="00A8162F"/>
    <w:rsid w:val="00A81763"/>
    <w:rsid w:val="00A81D01"/>
    <w:rsid w:val="00A820B5"/>
    <w:rsid w:val="00A82A91"/>
    <w:rsid w:val="00A82D1F"/>
    <w:rsid w:val="00A82E80"/>
    <w:rsid w:val="00A837B2"/>
    <w:rsid w:val="00A8398F"/>
    <w:rsid w:val="00A843FD"/>
    <w:rsid w:val="00A84425"/>
    <w:rsid w:val="00A84677"/>
    <w:rsid w:val="00A84997"/>
    <w:rsid w:val="00A8532C"/>
    <w:rsid w:val="00A85431"/>
    <w:rsid w:val="00A85476"/>
    <w:rsid w:val="00A857C8"/>
    <w:rsid w:val="00A86579"/>
    <w:rsid w:val="00A86B63"/>
    <w:rsid w:val="00A86BBD"/>
    <w:rsid w:val="00A87DE8"/>
    <w:rsid w:val="00A90599"/>
    <w:rsid w:val="00A9083D"/>
    <w:rsid w:val="00A908A0"/>
    <w:rsid w:val="00A9098B"/>
    <w:rsid w:val="00A90A11"/>
    <w:rsid w:val="00A90E66"/>
    <w:rsid w:val="00A90F9D"/>
    <w:rsid w:val="00A91070"/>
    <w:rsid w:val="00A914BA"/>
    <w:rsid w:val="00A91655"/>
    <w:rsid w:val="00A91693"/>
    <w:rsid w:val="00A9273A"/>
    <w:rsid w:val="00A9295C"/>
    <w:rsid w:val="00A929F9"/>
    <w:rsid w:val="00A92CBA"/>
    <w:rsid w:val="00A92DF1"/>
    <w:rsid w:val="00A92DF5"/>
    <w:rsid w:val="00A92E47"/>
    <w:rsid w:val="00A930CE"/>
    <w:rsid w:val="00A93683"/>
    <w:rsid w:val="00A93C9C"/>
    <w:rsid w:val="00A93F48"/>
    <w:rsid w:val="00A943EB"/>
    <w:rsid w:val="00A94711"/>
    <w:rsid w:val="00A94C66"/>
    <w:rsid w:val="00A95667"/>
    <w:rsid w:val="00A95722"/>
    <w:rsid w:val="00A957E3"/>
    <w:rsid w:val="00A962AC"/>
    <w:rsid w:val="00A96792"/>
    <w:rsid w:val="00A96DC2"/>
    <w:rsid w:val="00A978D9"/>
    <w:rsid w:val="00AA021F"/>
    <w:rsid w:val="00AA038D"/>
    <w:rsid w:val="00AA0B8F"/>
    <w:rsid w:val="00AA0E66"/>
    <w:rsid w:val="00AA0FEF"/>
    <w:rsid w:val="00AA11CE"/>
    <w:rsid w:val="00AA16DC"/>
    <w:rsid w:val="00AA1801"/>
    <w:rsid w:val="00AA1877"/>
    <w:rsid w:val="00AA1CFD"/>
    <w:rsid w:val="00AA1FAD"/>
    <w:rsid w:val="00AA3799"/>
    <w:rsid w:val="00AA3803"/>
    <w:rsid w:val="00AA38E3"/>
    <w:rsid w:val="00AA3DB8"/>
    <w:rsid w:val="00AA4270"/>
    <w:rsid w:val="00AA448C"/>
    <w:rsid w:val="00AA4783"/>
    <w:rsid w:val="00AA47AD"/>
    <w:rsid w:val="00AA48CA"/>
    <w:rsid w:val="00AA594A"/>
    <w:rsid w:val="00AA6471"/>
    <w:rsid w:val="00AA6DD2"/>
    <w:rsid w:val="00AA6DE2"/>
    <w:rsid w:val="00AA7344"/>
    <w:rsid w:val="00AA73E8"/>
    <w:rsid w:val="00AA78B7"/>
    <w:rsid w:val="00AA7959"/>
    <w:rsid w:val="00AA7996"/>
    <w:rsid w:val="00AA7A01"/>
    <w:rsid w:val="00AA7D38"/>
    <w:rsid w:val="00AB078D"/>
    <w:rsid w:val="00AB0ECD"/>
    <w:rsid w:val="00AB14EC"/>
    <w:rsid w:val="00AB18AB"/>
    <w:rsid w:val="00AB1CA3"/>
    <w:rsid w:val="00AB24AB"/>
    <w:rsid w:val="00AB254A"/>
    <w:rsid w:val="00AB2F89"/>
    <w:rsid w:val="00AB3490"/>
    <w:rsid w:val="00AB389B"/>
    <w:rsid w:val="00AB38D1"/>
    <w:rsid w:val="00AB422E"/>
    <w:rsid w:val="00AB4693"/>
    <w:rsid w:val="00AB4B14"/>
    <w:rsid w:val="00AB4DF5"/>
    <w:rsid w:val="00AB4FEF"/>
    <w:rsid w:val="00AB628C"/>
    <w:rsid w:val="00AB664A"/>
    <w:rsid w:val="00AB6826"/>
    <w:rsid w:val="00AB7584"/>
    <w:rsid w:val="00AB77B9"/>
    <w:rsid w:val="00AC115C"/>
    <w:rsid w:val="00AC14F1"/>
    <w:rsid w:val="00AC1939"/>
    <w:rsid w:val="00AC1C3B"/>
    <w:rsid w:val="00AC2605"/>
    <w:rsid w:val="00AC266B"/>
    <w:rsid w:val="00AC2DBE"/>
    <w:rsid w:val="00AC2E16"/>
    <w:rsid w:val="00AC2ED0"/>
    <w:rsid w:val="00AC3564"/>
    <w:rsid w:val="00AC3634"/>
    <w:rsid w:val="00AC3A0B"/>
    <w:rsid w:val="00AC3AEF"/>
    <w:rsid w:val="00AC4C11"/>
    <w:rsid w:val="00AC4E20"/>
    <w:rsid w:val="00AC54CD"/>
    <w:rsid w:val="00AC583A"/>
    <w:rsid w:val="00AC683D"/>
    <w:rsid w:val="00AC6E78"/>
    <w:rsid w:val="00AC72F2"/>
    <w:rsid w:val="00AC7987"/>
    <w:rsid w:val="00AD00FF"/>
    <w:rsid w:val="00AD036D"/>
    <w:rsid w:val="00AD03CF"/>
    <w:rsid w:val="00AD0C5A"/>
    <w:rsid w:val="00AD1701"/>
    <w:rsid w:val="00AD1922"/>
    <w:rsid w:val="00AD1CEE"/>
    <w:rsid w:val="00AD2B15"/>
    <w:rsid w:val="00AD3B7F"/>
    <w:rsid w:val="00AD3CD2"/>
    <w:rsid w:val="00AD3E07"/>
    <w:rsid w:val="00AD47B7"/>
    <w:rsid w:val="00AD48ED"/>
    <w:rsid w:val="00AD553F"/>
    <w:rsid w:val="00AD5593"/>
    <w:rsid w:val="00AD55BB"/>
    <w:rsid w:val="00AD5743"/>
    <w:rsid w:val="00AD59BA"/>
    <w:rsid w:val="00AD6162"/>
    <w:rsid w:val="00AD67AF"/>
    <w:rsid w:val="00AD6A1F"/>
    <w:rsid w:val="00AD76DC"/>
    <w:rsid w:val="00AE052A"/>
    <w:rsid w:val="00AE07DE"/>
    <w:rsid w:val="00AE08A0"/>
    <w:rsid w:val="00AE08CE"/>
    <w:rsid w:val="00AE178B"/>
    <w:rsid w:val="00AE1952"/>
    <w:rsid w:val="00AE1991"/>
    <w:rsid w:val="00AE1A13"/>
    <w:rsid w:val="00AE1E34"/>
    <w:rsid w:val="00AE293C"/>
    <w:rsid w:val="00AE2F27"/>
    <w:rsid w:val="00AE2FD1"/>
    <w:rsid w:val="00AE3087"/>
    <w:rsid w:val="00AE32CF"/>
    <w:rsid w:val="00AE38E0"/>
    <w:rsid w:val="00AE3E2C"/>
    <w:rsid w:val="00AE4820"/>
    <w:rsid w:val="00AE67F0"/>
    <w:rsid w:val="00AE730E"/>
    <w:rsid w:val="00AE7311"/>
    <w:rsid w:val="00AE7A50"/>
    <w:rsid w:val="00AE7F32"/>
    <w:rsid w:val="00AF024C"/>
    <w:rsid w:val="00AF0518"/>
    <w:rsid w:val="00AF08D6"/>
    <w:rsid w:val="00AF0B1C"/>
    <w:rsid w:val="00AF195D"/>
    <w:rsid w:val="00AF2048"/>
    <w:rsid w:val="00AF2811"/>
    <w:rsid w:val="00AF2958"/>
    <w:rsid w:val="00AF2AB2"/>
    <w:rsid w:val="00AF2C29"/>
    <w:rsid w:val="00AF331B"/>
    <w:rsid w:val="00AF33CB"/>
    <w:rsid w:val="00AF3F06"/>
    <w:rsid w:val="00AF4C26"/>
    <w:rsid w:val="00AF556B"/>
    <w:rsid w:val="00AF5A5A"/>
    <w:rsid w:val="00AF5C93"/>
    <w:rsid w:val="00AF6338"/>
    <w:rsid w:val="00AF675C"/>
    <w:rsid w:val="00AF68F1"/>
    <w:rsid w:val="00AF7BBE"/>
    <w:rsid w:val="00AF7BF1"/>
    <w:rsid w:val="00B00203"/>
    <w:rsid w:val="00B005A2"/>
    <w:rsid w:val="00B0090E"/>
    <w:rsid w:val="00B00C2D"/>
    <w:rsid w:val="00B00C48"/>
    <w:rsid w:val="00B01E47"/>
    <w:rsid w:val="00B0214A"/>
    <w:rsid w:val="00B02401"/>
    <w:rsid w:val="00B0338F"/>
    <w:rsid w:val="00B03BF1"/>
    <w:rsid w:val="00B0408D"/>
    <w:rsid w:val="00B04535"/>
    <w:rsid w:val="00B04A96"/>
    <w:rsid w:val="00B0503F"/>
    <w:rsid w:val="00B05107"/>
    <w:rsid w:val="00B0510F"/>
    <w:rsid w:val="00B051FD"/>
    <w:rsid w:val="00B05414"/>
    <w:rsid w:val="00B05416"/>
    <w:rsid w:val="00B05F08"/>
    <w:rsid w:val="00B05FEA"/>
    <w:rsid w:val="00B06263"/>
    <w:rsid w:val="00B06542"/>
    <w:rsid w:val="00B06B33"/>
    <w:rsid w:val="00B07AC4"/>
    <w:rsid w:val="00B07D23"/>
    <w:rsid w:val="00B10316"/>
    <w:rsid w:val="00B105EC"/>
    <w:rsid w:val="00B10AB6"/>
    <w:rsid w:val="00B10E90"/>
    <w:rsid w:val="00B119D0"/>
    <w:rsid w:val="00B11A00"/>
    <w:rsid w:val="00B11A0A"/>
    <w:rsid w:val="00B11EE6"/>
    <w:rsid w:val="00B127A6"/>
    <w:rsid w:val="00B12DE4"/>
    <w:rsid w:val="00B12DF1"/>
    <w:rsid w:val="00B13036"/>
    <w:rsid w:val="00B138EE"/>
    <w:rsid w:val="00B139EC"/>
    <w:rsid w:val="00B1450E"/>
    <w:rsid w:val="00B14650"/>
    <w:rsid w:val="00B14C30"/>
    <w:rsid w:val="00B14E91"/>
    <w:rsid w:val="00B151A3"/>
    <w:rsid w:val="00B1576A"/>
    <w:rsid w:val="00B15FF3"/>
    <w:rsid w:val="00B16022"/>
    <w:rsid w:val="00B16147"/>
    <w:rsid w:val="00B16BE6"/>
    <w:rsid w:val="00B16F83"/>
    <w:rsid w:val="00B1773C"/>
    <w:rsid w:val="00B179F1"/>
    <w:rsid w:val="00B17D2A"/>
    <w:rsid w:val="00B20164"/>
    <w:rsid w:val="00B2020A"/>
    <w:rsid w:val="00B20415"/>
    <w:rsid w:val="00B204A1"/>
    <w:rsid w:val="00B20624"/>
    <w:rsid w:val="00B20812"/>
    <w:rsid w:val="00B21DE5"/>
    <w:rsid w:val="00B2229D"/>
    <w:rsid w:val="00B22DEF"/>
    <w:rsid w:val="00B2346E"/>
    <w:rsid w:val="00B23818"/>
    <w:rsid w:val="00B2394F"/>
    <w:rsid w:val="00B23E03"/>
    <w:rsid w:val="00B245B9"/>
    <w:rsid w:val="00B24CB0"/>
    <w:rsid w:val="00B263E6"/>
    <w:rsid w:val="00B272E2"/>
    <w:rsid w:val="00B27F86"/>
    <w:rsid w:val="00B300D1"/>
    <w:rsid w:val="00B3018D"/>
    <w:rsid w:val="00B30B92"/>
    <w:rsid w:val="00B31BD8"/>
    <w:rsid w:val="00B31FA2"/>
    <w:rsid w:val="00B33E4C"/>
    <w:rsid w:val="00B34559"/>
    <w:rsid w:val="00B35580"/>
    <w:rsid w:val="00B3634A"/>
    <w:rsid w:val="00B36381"/>
    <w:rsid w:val="00B367E9"/>
    <w:rsid w:val="00B37814"/>
    <w:rsid w:val="00B37B26"/>
    <w:rsid w:val="00B37C94"/>
    <w:rsid w:val="00B37F3C"/>
    <w:rsid w:val="00B4085B"/>
    <w:rsid w:val="00B4174D"/>
    <w:rsid w:val="00B4187F"/>
    <w:rsid w:val="00B4191D"/>
    <w:rsid w:val="00B4213E"/>
    <w:rsid w:val="00B424D4"/>
    <w:rsid w:val="00B42D40"/>
    <w:rsid w:val="00B441F4"/>
    <w:rsid w:val="00B44502"/>
    <w:rsid w:val="00B445DB"/>
    <w:rsid w:val="00B446FB"/>
    <w:rsid w:val="00B4495E"/>
    <w:rsid w:val="00B44EDF"/>
    <w:rsid w:val="00B453F9"/>
    <w:rsid w:val="00B4579A"/>
    <w:rsid w:val="00B458A4"/>
    <w:rsid w:val="00B45CAC"/>
    <w:rsid w:val="00B46038"/>
    <w:rsid w:val="00B460C8"/>
    <w:rsid w:val="00B460D1"/>
    <w:rsid w:val="00B461ED"/>
    <w:rsid w:val="00B467A7"/>
    <w:rsid w:val="00B46AD8"/>
    <w:rsid w:val="00B504C3"/>
    <w:rsid w:val="00B50BFE"/>
    <w:rsid w:val="00B50C12"/>
    <w:rsid w:val="00B50C70"/>
    <w:rsid w:val="00B50DDC"/>
    <w:rsid w:val="00B50F1E"/>
    <w:rsid w:val="00B51500"/>
    <w:rsid w:val="00B51AAB"/>
    <w:rsid w:val="00B51D88"/>
    <w:rsid w:val="00B52391"/>
    <w:rsid w:val="00B524EB"/>
    <w:rsid w:val="00B52631"/>
    <w:rsid w:val="00B52FFE"/>
    <w:rsid w:val="00B532B9"/>
    <w:rsid w:val="00B5353F"/>
    <w:rsid w:val="00B53712"/>
    <w:rsid w:val="00B53A02"/>
    <w:rsid w:val="00B53B28"/>
    <w:rsid w:val="00B53E7A"/>
    <w:rsid w:val="00B54230"/>
    <w:rsid w:val="00B54F68"/>
    <w:rsid w:val="00B55111"/>
    <w:rsid w:val="00B55198"/>
    <w:rsid w:val="00B5542A"/>
    <w:rsid w:val="00B55774"/>
    <w:rsid w:val="00B55AC9"/>
    <w:rsid w:val="00B55C50"/>
    <w:rsid w:val="00B55E21"/>
    <w:rsid w:val="00B566CC"/>
    <w:rsid w:val="00B56B23"/>
    <w:rsid w:val="00B5711E"/>
    <w:rsid w:val="00B57254"/>
    <w:rsid w:val="00B5733E"/>
    <w:rsid w:val="00B57B39"/>
    <w:rsid w:val="00B57F63"/>
    <w:rsid w:val="00B57F90"/>
    <w:rsid w:val="00B60950"/>
    <w:rsid w:val="00B613F4"/>
    <w:rsid w:val="00B61401"/>
    <w:rsid w:val="00B61C7B"/>
    <w:rsid w:val="00B61DCF"/>
    <w:rsid w:val="00B62359"/>
    <w:rsid w:val="00B625A9"/>
    <w:rsid w:val="00B62907"/>
    <w:rsid w:val="00B62CB2"/>
    <w:rsid w:val="00B636D6"/>
    <w:rsid w:val="00B6415F"/>
    <w:rsid w:val="00B647F8"/>
    <w:rsid w:val="00B64AFA"/>
    <w:rsid w:val="00B64E81"/>
    <w:rsid w:val="00B65BBE"/>
    <w:rsid w:val="00B65BCE"/>
    <w:rsid w:val="00B65C7A"/>
    <w:rsid w:val="00B66A76"/>
    <w:rsid w:val="00B6708A"/>
    <w:rsid w:val="00B674DD"/>
    <w:rsid w:val="00B67A13"/>
    <w:rsid w:val="00B706B8"/>
    <w:rsid w:val="00B70AA6"/>
    <w:rsid w:val="00B71450"/>
    <w:rsid w:val="00B71745"/>
    <w:rsid w:val="00B71A94"/>
    <w:rsid w:val="00B71AA7"/>
    <w:rsid w:val="00B71E4C"/>
    <w:rsid w:val="00B72120"/>
    <w:rsid w:val="00B72291"/>
    <w:rsid w:val="00B722C7"/>
    <w:rsid w:val="00B724FF"/>
    <w:rsid w:val="00B72EC6"/>
    <w:rsid w:val="00B73004"/>
    <w:rsid w:val="00B7316E"/>
    <w:rsid w:val="00B7340D"/>
    <w:rsid w:val="00B73415"/>
    <w:rsid w:val="00B73F5A"/>
    <w:rsid w:val="00B742E4"/>
    <w:rsid w:val="00B74809"/>
    <w:rsid w:val="00B74919"/>
    <w:rsid w:val="00B74A53"/>
    <w:rsid w:val="00B753AE"/>
    <w:rsid w:val="00B755F4"/>
    <w:rsid w:val="00B75600"/>
    <w:rsid w:val="00B758D7"/>
    <w:rsid w:val="00B75920"/>
    <w:rsid w:val="00B7637A"/>
    <w:rsid w:val="00B76676"/>
    <w:rsid w:val="00B76837"/>
    <w:rsid w:val="00B768BD"/>
    <w:rsid w:val="00B76926"/>
    <w:rsid w:val="00B77237"/>
    <w:rsid w:val="00B7734F"/>
    <w:rsid w:val="00B777FC"/>
    <w:rsid w:val="00B77B6C"/>
    <w:rsid w:val="00B77EDB"/>
    <w:rsid w:val="00B77FBD"/>
    <w:rsid w:val="00B80146"/>
    <w:rsid w:val="00B8016C"/>
    <w:rsid w:val="00B801D0"/>
    <w:rsid w:val="00B805F5"/>
    <w:rsid w:val="00B80BF4"/>
    <w:rsid w:val="00B80EF1"/>
    <w:rsid w:val="00B811AF"/>
    <w:rsid w:val="00B8170E"/>
    <w:rsid w:val="00B81FB1"/>
    <w:rsid w:val="00B822F7"/>
    <w:rsid w:val="00B82755"/>
    <w:rsid w:val="00B82821"/>
    <w:rsid w:val="00B829E7"/>
    <w:rsid w:val="00B82E28"/>
    <w:rsid w:val="00B8331A"/>
    <w:rsid w:val="00B836A7"/>
    <w:rsid w:val="00B83A14"/>
    <w:rsid w:val="00B84C4A"/>
    <w:rsid w:val="00B84FBF"/>
    <w:rsid w:val="00B8536F"/>
    <w:rsid w:val="00B85424"/>
    <w:rsid w:val="00B85CC6"/>
    <w:rsid w:val="00B86289"/>
    <w:rsid w:val="00B872C2"/>
    <w:rsid w:val="00B8734F"/>
    <w:rsid w:val="00B87617"/>
    <w:rsid w:val="00B87D34"/>
    <w:rsid w:val="00B900C4"/>
    <w:rsid w:val="00B904BC"/>
    <w:rsid w:val="00B9117E"/>
    <w:rsid w:val="00B9142C"/>
    <w:rsid w:val="00B92679"/>
    <w:rsid w:val="00B926ED"/>
    <w:rsid w:val="00B92B7F"/>
    <w:rsid w:val="00B9349F"/>
    <w:rsid w:val="00B93815"/>
    <w:rsid w:val="00B93939"/>
    <w:rsid w:val="00B93BFF"/>
    <w:rsid w:val="00B93EC1"/>
    <w:rsid w:val="00B9421B"/>
    <w:rsid w:val="00B94EBF"/>
    <w:rsid w:val="00B956A9"/>
    <w:rsid w:val="00B95C52"/>
    <w:rsid w:val="00B96890"/>
    <w:rsid w:val="00B96C04"/>
    <w:rsid w:val="00B9735C"/>
    <w:rsid w:val="00B97897"/>
    <w:rsid w:val="00BA0CAC"/>
    <w:rsid w:val="00BA1317"/>
    <w:rsid w:val="00BA1543"/>
    <w:rsid w:val="00BA21CE"/>
    <w:rsid w:val="00BA2E28"/>
    <w:rsid w:val="00BA33B8"/>
    <w:rsid w:val="00BA3A81"/>
    <w:rsid w:val="00BA3F31"/>
    <w:rsid w:val="00BA4AD5"/>
    <w:rsid w:val="00BA4D66"/>
    <w:rsid w:val="00BA4FE2"/>
    <w:rsid w:val="00BA5E14"/>
    <w:rsid w:val="00BA6033"/>
    <w:rsid w:val="00BA6389"/>
    <w:rsid w:val="00BA65E8"/>
    <w:rsid w:val="00BA67B7"/>
    <w:rsid w:val="00BA6D15"/>
    <w:rsid w:val="00BA6FC1"/>
    <w:rsid w:val="00BA7F73"/>
    <w:rsid w:val="00BB0182"/>
    <w:rsid w:val="00BB03FA"/>
    <w:rsid w:val="00BB0DAA"/>
    <w:rsid w:val="00BB1398"/>
    <w:rsid w:val="00BB1424"/>
    <w:rsid w:val="00BB1507"/>
    <w:rsid w:val="00BB16A9"/>
    <w:rsid w:val="00BB178A"/>
    <w:rsid w:val="00BB249C"/>
    <w:rsid w:val="00BB2BEF"/>
    <w:rsid w:val="00BB3265"/>
    <w:rsid w:val="00BB3448"/>
    <w:rsid w:val="00BB3C2D"/>
    <w:rsid w:val="00BB3C8A"/>
    <w:rsid w:val="00BB4311"/>
    <w:rsid w:val="00BB4A73"/>
    <w:rsid w:val="00BB4E6F"/>
    <w:rsid w:val="00BB69CD"/>
    <w:rsid w:val="00BB69DE"/>
    <w:rsid w:val="00BB6D09"/>
    <w:rsid w:val="00BB7382"/>
    <w:rsid w:val="00BB7517"/>
    <w:rsid w:val="00BB76AC"/>
    <w:rsid w:val="00BB78FA"/>
    <w:rsid w:val="00BB7B10"/>
    <w:rsid w:val="00BB7CA5"/>
    <w:rsid w:val="00BB7D6F"/>
    <w:rsid w:val="00BB7EAB"/>
    <w:rsid w:val="00BC00C8"/>
    <w:rsid w:val="00BC03D9"/>
    <w:rsid w:val="00BC0BA6"/>
    <w:rsid w:val="00BC0EFD"/>
    <w:rsid w:val="00BC124E"/>
    <w:rsid w:val="00BC1433"/>
    <w:rsid w:val="00BC15BA"/>
    <w:rsid w:val="00BC1A53"/>
    <w:rsid w:val="00BC1DC3"/>
    <w:rsid w:val="00BC2060"/>
    <w:rsid w:val="00BC2216"/>
    <w:rsid w:val="00BC250E"/>
    <w:rsid w:val="00BC26A5"/>
    <w:rsid w:val="00BC28BB"/>
    <w:rsid w:val="00BC293F"/>
    <w:rsid w:val="00BC30A8"/>
    <w:rsid w:val="00BC3365"/>
    <w:rsid w:val="00BC3E93"/>
    <w:rsid w:val="00BC4A40"/>
    <w:rsid w:val="00BC59DC"/>
    <w:rsid w:val="00BC67E9"/>
    <w:rsid w:val="00BC73C6"/>
    <w:rsid w:val="00BC73EB"/>
    <w:rsid w:val="00BC7592"/>
    <w:rsid w:val="00BD0383"/>
    <w:rsid w:val="00BD0525"/>
    <w:rsid w:val="00BD06F8"/>
    <w:rsid w:val="00BD0C37"/>
    <w:rsid w:val="00BD0F36"/>
    <w:rsid w:val="00BD10D1"/>
    <w:rsid w:val="00BD1856"/>
    <w:rsid w:val="00BD1BDD"/>
    <w:rsid w:val="00BD1DE5"/>
    <w:rsid w:val="00BD24E8"/>
    <w:rsid w:val="00BD29AA"/>
    <w:rsid w:val="00BD2EF1"/>
    <w:rsid w:val="00BD3BB1"/>
    <w:rsid w:val="00BD4499"/>
    <w:rsid w:val="00BD44A1"/>
    <w:rsid w:val="00BD4C78"/>
    <w:rsid w:val="00BD5B7D"/>
    <w:rsid w:val="00BD61BC"/>
    <w:rsid w:val="00BD625D"/>
    <w:rsid w:val="00BD679E"/>
    <w:rsid w:val="00BD6DB7"/>
    <w:rsid w:val="00BD7635"/>
    <w:rsid w:val="00BD7720"/>
    <w:rsid w:val="00BD7C9C"/>
    <w:rsid w:val="00BD7DDC"/>
    <w:rsid w:val="00BE01B3"/>
    <w:rsid w:val="00BE083E"/>
    <w:rsid w:val="00BE0CAC"/>
    <w:rsid w:val="00BE1BB7"/>
    <w:rsid w:val="00BE1D7A"/>
    <w:rsid w:val="00BE2218"/>
    <w:rsid w:val="00BE238E"/>
    <w:rsid w:val="00BE2672"/>
    <w:rsid w:val="00BE2830"/>
    <w:rsid w:val="00BE2B4B"/>
    <w:rsid w:val="00BE2CE2"/>
    <w:rsid w:val="00BE3077"/>
    <w:rsid w:val="00BE315B"/>
    <w:rsid w:val="00BE3EEC"/>
    <w:rsid w:val="00BE40A1"/>
    <w:rsid w:val="00BE40AE"/>
    <w:rsid w:val="00BE4586"/>
    <w:rsid w:val="00BE51D3"/>
    <w:rsid w:val="00BE5565"/>
    <w:rsid w:val="00BE681E"/>
    <w:rsid w:val="00BE6BC6"/>
    <w:rsid w:val="00BE6FA7"/>
    <w:rsid w:val="00BE7399"/>
    <w:rsid w:val="00BE73DF"/>
    <w:rsid w:val="00BE778B"/>
    <w:rsid w:val="00BE7960"/>
    <w:rsid w:val="00BE7980"/>
    <w:rsid w:val="00BE7A99"/>
    <w:rsid w:val="00BF0D54"/>
    <w:rsid w:val="00BF0EA9"/>
    <w:rsid w:val="00BF0F32"/>
    <w:rsid w:val="00BF0FA3"/>
    <w:rsid w:val="00BF1119"/>
    <w:rsid w:val="00BF11B4"/>
    <w:rsid w:val="00BF1499"/>
    <w:rsid w:val="00BF16CA"/>
    <w:rsid w:val="00BF1C21"/>
    <w:rsid w:val="00BF1DAA"/>
    <w:rsid w:val="00BF2580"/>
    <w:rsid w:val="00BF260D"/>
    <w:rsid w:val="00BF2836"/>
    <w:rsid w:val="00BF328B"/>
    <w:rsid w:val="00BF347F"/>
    <w:rsid w:val="00BF3723"/>
    <w:rsid w:val="00BF39E9"/>
    <w:rsid w:val="00BF3ADC"/>
    <w:rsid w:val="00BF4107"/>
    <w:rsid w:val="00BF4523"/>
    <w:rsid w:val="00BF457E"/>
    <w:rsid w:val="00BF459B"/>
    <w:rsid w:val="00BF4E43"/>
    <w:rsid w:val="00BF50B0"/>
    <w:rsid w:val="00BF6767"/>
    <w:rsid w:val="00BF6D13"/>
    <w:rsid w:val="00BF6D8F"/>
    <w:rsid w:val="00BF70BE"/>
    <w:rsid w:val="00BF749E"/>
    <w:rsid w:val="00BF79E9"/>
    <w:rsid w:val="00BF7B12"/>
    <w:rsid w:val="00BF7CF7"/>
    <w:rsid w:val="00C0033E"/>
    <w:rsid w:val="00C0075D"/>
    <w:rsid w:val="00C01B12"/>
    <w:rsid w:val="00C01DA4"/>
    <w:rsid w:val="00C02117"/>
    <w:rsid w:val="00C0269F"/>
    <w:rsid w:val="00C02E59"/>
    <w:rsid w:val="00C0363B"/>
    <w:rsid w:val="00C0434B"/>
    <w:rsid w:val="00C04BD6"/>
    <w:rsid w:val="00C052BF"/>
    <w:rsid w:val="00C05D76"/>
    <w:rsid w:val="00C06CD2"/>
    <w:rsid w:val="00C070F3"/>
    <w:rsid w:val="00C07314"/>
    <w:rsid w:val="00C0731E"/>
    <w:rsid w:val="00C07BEF"/>
    <w:rsid w:val="00C07DC8"/>
    <w:rsid w:val="00C110FF"/>
    <w:rsid w:val="00C112DE"/>
    <w:rsid w:val="00C12CB4"/>
    <w:rsid w:val="00C1329E"/>
    <w:rsid w:val="00C133D9"/>
    <w:rsid w:val="00C1375C"/>
    <w:rsid w:val="00C1453C"/>
    <w:rsid w:val="00C14932"/>
    <w:rsid w:val="00C15692"/>
    <w:rsid w:val="00C159C5"/>
    <w:rsid w:val="00C15AD9"/>
    <w:rsid w:val="00C16B11"/>
    <w:rsid w:val="00C16DAB"/>
    <w:rsid w:val="00C16EB3"/>
    <w:rsid w:val="00C16ECF"/>
    <w:rsid w:val="00C171AB"/>
    <w:rsid w:val="00C17A7A"/>
    <w:rsid w:val="00C17C7B"/>
    <w:rsid w:val="00C17C9C"/>
    <w:rsid w:val="00C17D83"/>
    <w:rsid w:val="00C202B0"/>
    <w:rsid w:val="00C2201E"/>
    <w:rsid w:val="00C2218A"/>
    <w:rsid w:val="00C2253B"/>
    <w:rsid w:val="00C22678"/>
    <w:rsid w:val="00C2333C"/>
    <w:rsid w:val="00C23831"/>
    <w:rsid w:val="00C242A2"/>
    <w:rsid w:val="00C25621"/>
    <w:rsid w:val="00C2673F"/>
    <w:rsid w:val="00C26E3D"/>
    <w:rsid w:val="00C276FE"/>
    <w:rsid w:val="00C27C77"/>
    <w:rsid w:val="00C301FE"/>
    <w:rsid w:val="00C30504"/>
    <w:rsid w:val="00C306B0"/>
    <w:rsid w:val="00C306D1"/>
    <w:rsid w:val="00C30BBE"/>
    <w:rsid w:val="00C30CB7"/>
    <w:rsid w:val="00C31C8B"/>
    <w:rsid w:val="00C32435"/>
    <w:rsid w:val="00C32B1E"/>
    <w:rsid w:val="00C33117"/>
    <w:rsid w:val="00C33660"/>
    <w:rsid w:val="00C338BF"/>
    <w:rsid w:val="00C33B04"/>
    <w:rsid w:val="00C33BA7"/>
    <w:rsid w:val="00C34584"/>
    <w:rsid w:val="00C34634"/>
    <w:rsid w:val="00C34E00"/>
    <w:rsid w:val="00C3544A"/>
    <w:rsid w:val="00C354C4"/>
    <w:rsid w:val="00C364DB"/>
    <w:rsid w:val="00C365DC"/>
    <w:rsid w:val="00C369AA"/>
    <w:rsid w:val="00C3762D"/>
    <w:rsid w:val="00C376FA"/>
    <w:rsid w:val="00C37D29"/>
    <w:rsid w:val="00C40276"/>
    <w:rsid w:val="00C4083F"/>
    <w:rsid w:val="00C40A04"/>
    <w:rsid w:val="00C413A8"/>
    <w:rsid w:val="00C41794"/>
    <w:rsid w:val="00C41E33"/>
    <w:rsid w:val="00C41E6A"/>
    <w:rsid w:val="00C421F9"/>
    <w:rsid w:val="00C42705"/>
    <w:rsid w:val="00C429DF"/>
    <w:rsid w:val="00C42D9C"/>
    <w:rsid w:val="00C42E92"/>
    <w:rsid w:val="00C42F88"/>
    <w:rsid w:val="00C43272"/>
    <w:rsid w:val="00C43530"/>
    <w:rsid w:val="00C43936"/>
    <w:rsid w:val="00C43ED9"/>
    <w:rsid w:val="00C441D2"/>
    <w:rsid w:val="00C449CE"/>
    <w:rsid w:val="00C44CC6"/>
    <w:rsid w:val="00C44E4D"/>
    <w:rsid w:val="00C45C5A"/>
    <w:rsid w:val="00C46EB0"/>
    <w:rsid w:val="00C46F32"/>
    <w:rsid w:val="00C47563"/>
    <w:rsid w:val="00C47F7B"/>
    <w:rsid w:val="00C507B1"/>
    <w:rsid w:val="00C50C42"/>
    <w:rsid w:val="00C50CBA"/>
    <w:rsid w:val="00C50F38"/>
    <w:rsid w:val="00C513DC"/>
    <w:rsid w:val="00C51947"/>
    <w:rsid w:val="00C51CB5"/>
    <w:rsid w:val="00C5221D"/>
    <w:rsid w:val="00C52607"/>
    <w:rsid w:val="00C52946"/>
    <w:rsid w:val="00C52D57"/>
    <w:rsid w:val="00C52DB6"/>
    <w:rsid w:val="00C52FFC"/>
    <w:rsid w:val="00C530D6"/>
    <w:rsid w:val="00C532B8"/>
    <w:rsid w:val="00C535A3"/>
    <w:rsid w:val="00C53756"/>
    <w:rsid w:val="00C54AEF"/>
    <w:rsid w:val="00C54FC3"/>
    <w:rsid w:val="00C55499"/>
    <w:rsid w:val="00C55538"/>
    <w:rsid w:val="00C562A4"/>
    <w:rsid w:val="00C56635"/>
    <w:rsid w:val="00C571F6"/>
    <w:rsid w:val="00C576F0"/>
    <w:rsid w:val="00C578BC"/>
    <w:rsid w:val="00C57C23"/>
    <w:rsid w:val="00C57D2F"/>
    <w:rsid w:val="00C6111F"/>
    <w:rsid w:val="00C611CA"/>
    <w:rsid w:val="00C6133B"/>
    <w:rsid w:val="00C61397"/>
    <w:rsid w:val="00C62044"/>
    <w:rsid w:val="00C62245"/>
    <w:rsid w:val="00C625FB"/>
    <w:rsid w:val="00C627B1"/>
    <w:rsid w:val="00C62B00"/>
    <w:rsid w:val="00C639AE"/>
    <w:rsid w:val="00C63A7C"/>
    <w:rsid w:val="00C63D36"/>
    <w:rsid w:val="00C64268"/>
    <w:rsid w:val="00C6436B"/>
    <w:rsid w:val="00C64880"/>
    <w:rsid w:val="00C64B80"/>
    <w:rsid w:val="00C65429"/>
    <w:rsid w:val="00C655D5"/>
    <w:rsid w:val="00C65A90"/>
    <w:rsid w:val="00C66255"/>
    <w:rsid w:val="00C66893"/>
    <w:rsid w:val="00C66B26"/>
    <w:rsid w:val="00C66B4D"/>
    <w:rsid w:val="00C67AAB"/>
    <w:rsid w:val="00C67DB0"/>
    <w:rsid w:val="00C70076"/>
    <w:rsid w:val="00C701E6"/>
    <w:rsid w:val="00C70795"/>
    <w:rsid w:val="00C707BD"/>
    <w:rsid w:val="00C70A31"/>
    <w:rsid w:val="00C70BD5"/>
    <w:rsid w:val="00C717D1"/>
    <w:rsid w:val="00C719F0"/>
    <w:rsid w:val="00C71DB1"/>
    <w:rsid w:val="00C7240C"/>
    <w:rsid w:val="00C72A5F"/>
    <w:rsid w:val="00C72AA5"/>
    <w:rsid w:val="00C72D68"/>
    <w:rsid w:val="00C73063"/>
    <w:rsid w:val="00C73471"/>
    <w:rsid w:val="00C73BF9"/>
    <w:rsid w:val="00C74397"/>
    <w:rsid w:val="00C755FF"/>
    <w:rsid w:val="00C757C7"/>
    <w:rsid w:val="00C75A4B"/>
    <w:rsid w:val="00C75DBE"/>
    <w:rsid w:val="00C76018"/>
    <w:rsid w:val="00C764B4"/>
    <w:rsid w:val="00C7683F"/>
    <w:rsid w:val="00C77185"/>
    <w:rsid w:val="00C77523"/>
    <w:rsid w:val="00C80190"/>
    <w:rsid w:val="00C81065"/>
    <w:rsid w:val="00C81EB7"/>
    <w:rsid w:val="00C820AD"/>
    <w:rsid w:val="00C82287"/>
    <w:rsid w:val="00C824DA"/>
    <w:rsid w:val="00C82658"/>
    <w:rsid w:val="00C827D7"/>
    <w:rsid w:val="00C82D58"/>
    <w:rsid w:val="00C82D76"/>
    <w:rsid w:val="00C831C2"/>
    <w:rsid w:val="00C8346C"/>
    <w:rsid w:val="00C835D8"/>
    <w:rsid w:val="00C83642"/>
    <w:rsid w:val="00C83781"/>
    <w:rsid w:val="00C83F67"/>
    <w:rsid w:val="00C8451D"/>
    <w:rsid w:val="00C847EE"/>
    <w:rsid w:val="00C84B4E"/>
    <w:rsid w:val="00C85307"/>
    <w:rsid w:val="00C856C0"/>
    <w:rsid w:val="00C859D6"/>
    <w:rsid w:val="00C85BDD"/>
    <w:rsid w:val="00C85E01"/>
    <w:rsid w:val="00C8600C"/>
    <w:rsid w:val="00C874A9"/>
    <w:rsid w:val="00C878A2"/>
    <w:rsid w:val="00C87C4F"/>
    <w:rsid w:val="00C87D5F"/>
    <w:rsid w:val="00C90875"/>
    <w:rsid w:val="00C913B3"/>
    <w:rsid w:val="00C91570"/>
    <w:rsid w:val="00C91670"/>
    <w:rsid w:val="00C91D23"/>
    <w:rsid w:val="00C92313"/>
    <w:rsid w:val="00C93C57"/>
    <w:rsid w:val="00C93CA6"/>
    <w:rsid w:val="00C9434E"/>
    <w:rsid w:val="00C94554"/>
    <w:rsid w:val="00C9466E"/>
    <w:rsid w:val="00C9481F"/>
    <w:rsid w:val="00C94B07"/>
    <w:rsid w:val="00C94C97"/>
    <w:rsid w:val="00C950B9"/>
    <w:rsid w:val="00C957FC"/>
    <w:rsid w:val="00C95D6E"/>
    <w:rsid w:val="00C9646E"/>
    <w:rsid w:val="00C96A59"/>
    <w:rsid w:val="00C96DD2"/>
    <w:rsid w:val="00C96FAC"/>
    <w:rsid w:val="00C97761"/>
    <w:rsid w:val="00CA0C0B"/>
    <w:rsid w:val="00CA0CEC"/>
    <w:rsid w:val="00CA0DEC"/>
    <w:rsid w:val="00CA11F9"/>
    <w:rsid w:val="00CA1461"/>
    <w:rsid w:val="00CA17F4"/>
    <w:rsid w:val="00CA1860"/>
    <w:rsid w:val="00CA1E4D"/>
    <w:rsid w:val="00CA1EA5"/>
    <w:rsid w:val="00CA2DBD"/>
    <w:rsid w:val="00CA303F"/>
    <w:rsid w:val="00CA3054"/>
    <w:rsid w:val="00CA3441"/>
    <w:rsid w:val="00CA3AF6"/>
    <w:rsid w:val="00CA45B0"/>
    <w:rsid w:val="00CA4991"/>
    <w:rsid w:val="00CA4A57"/>
    <w:rsid w:val="00CA527D"/>
    <w:rsid w:val="00CA538D"/>
    <w:rsid w:val="00CA581A"/>
    <w:rsid w:val="00CA7171"/>
    <w:rsid w:val="00CA7D76"/>
    <w:rsid w:val="00CA7FEC"/>
    <w:rsid w:val="00CB0AFF"/>
    <w:rsid w:val="00CB0E1C"/>
    <w:rsid w:val="00CB1203"/>
    <w:rsid w:val="00CB1255"/>
    <w:rsid w:val="00CB142B"/>
    <w:rsid w:val="00CB1994"/>
    <w:rsid w:val="00CB24DD"/>
    <w:rsid w:val="00CB29F6"/>
    <w:rsid w:val="00CB3286"/>
    <w:rsid w:val="00CB353D"/>
    <w:rsid w:val="00CB3AA9"/>
    <w:rsid w:val="00CB403E"/>
    <w:rsid w:val="00CB4657"/>
    <w:rsid w:val="00CB46F3"/>
    <w:rsid w:val="00CB4BE5"/>
    <w:rsid w:val="00CB4CA6"/>
    <w:rsid w:val="00CB5140"/>
    <w:rsid w:val="00CB59AA"/>
    <w:rsid w:val="00CB5A88"/>
    <w:rsid w:val="00CB5B33"/>
    <w:rsid w:val="00CB5B42"/>
    <w:rsid w:val="00CB5BB9"/>
    <w:rsid w:val="00CB6384"/>
    <w:rsid w:val="00CB719A"/>
    <w:rsid w:val="00CB76A7"/>
    <w:rsid w:val="00CB77D0"/>
    <w:rsid w:val="00CB7D0A"/>
    <w:rsid w:val="00CB7E8D"/>
    <w:rsid w:val="00CC0430"/>
    <w:rsid w:val="00CC0505"/>
    <w:rsid w:val="00CC0A68"/>
    <w:rsid w:val="00CC0ABB"/>
    <w:rsid w:val="00CC1649"/>
    <w:rsid w:val="00CC1B3F"/>
    <w:rsid w:val="00CC1B6C"/>
    <w:rsid w:val="00CC238C"/>
    <w:rsid w:val="00CC28AE"/>
    <w:rsid w:val="00CC2C43"/>
    <w:rsid w:val="00CC2DB1"/>
    <w:rsid w:val="00CC3253"/>
    <w:rsid w:val="00CC39CD"/>
    <w:rsid w:val="00CC39E2"/>
    <w:rsid w:val="00CC3A9E"/>
    <w:rsid w:val="00CC455E"/>
    <w:rsid w:val="00CC4768"/>
    <w:rsid w:val="00CC4B06"/>
    <w:rsid w:val="00CC5318"/>
    <w:rsid w:val="00CC5BC4"/>
    <w:rsid w:val="00CC6640"/>
    <w:rsid w:val="00CC6DFE"/>
    <w:rsid w:val="00CC722C"/>
    <w:rsid w:val="00CC7747"/>
    <w:rsid w:val="00CC7AB0"/>
    <w:rsid w:val="00CC7D8B"/>
    <w:rsid w:val="00CD0BF5"/>
    <w:rsid w:val="00CD0DAC"/>
    <w:rsid w:val="00CD13D5"/>
    <w:rsid w:val="00CD16EB"/>
    <w:rsid w:val="00CD2747"/>
    <w:rsid w:val="00CD27B0"/>
    <w:rsid w:val="00CD287B"/>
    <w:rsid w:val="00CD2B1B"/>
    <w:rsid w:val="00CD3658"/>
    <w:rsid w:val="00CD3678"/>
    <w:rsid w:val="00CD3DBC"/>
    <w:rsid w:val="00CD3E9B"/>
    <w:rsid w:val="00CD46AE"/>
    <w:rsid w:val="00CD4B40"/>
    <w:rsid w:val="00CD4C77"/>
    <w:rsid w:val="00CD5477"/>
    <w:rsid w:val="00CD55AB"/>
    <w:rsid w:val="00CD55D4"/>
    <w:rsid w:val="00CD56BB"/>
    <w:rsid w:val="00CD56ED"/>
    <w:rsid w:val="00CD57B7"/>
    <w:rsid w:val="00CD5B01"/>
    <w:rsid w:val="00CD5F1A"/>
    <w:rsid w:val="00CD60B2"/>
    <w:rsid w:val="00CD61BF"/>
    <w:rsid w:val="00CD768F"/>
    <w:rsid w:val="00CD7A59"/>
    <w:rsid w:val="00CD7F8D"/>
    <w:rsid w:val="00CD7FA9"/>
    <w:rsid w:val="00CD7FE5"/>
    <w:rsid w:val="00CE0D5B"/>
    <w:rsid w:val="00CE32F6"/>
    <w:rsid w:val="00CE39BF"/>
    <w:rsid w:val="00CE3C4A"/>
    <w:rsid w:val="00CE410B"/>
    <w:rsid w:val="00CE4120"/>
    <w:rsid w:val="00CE4FB5"/>
    <w:rsid w:val="00CE61C4"/>
    <w:rsid w:val="00CE6C6D"/>
    <w:rsid w:val="00CE6D44"/>
    <w:rsid w:val="00CE6E23"/>
    <w:rsid w:val="00CE704D"/>
    <w:rsid w:val="00CE71C3"/>
    <w:rsid w:val="00CE7516"/>
    <w:rsid w:val="00CF011C"/>
    <w:rsid w:val="00CF0160"/>
    <w:rsid w:val="00CF0926"/>
    <w:rsid w:val="00CF0A54"/>
    <w:rsid w:val="00CF18BA"/>
    <w:rsid w:val="00CF18FD"/>
    <w:rsid w:val="00CF1DAA"/>
    <w:rsid w:val="00CF1DFB"/>
    <w:rsid w:val="00CF228A"/>
    <w:rsid w:val="00CF253E"/>
    <w:rsid w:val="00CF2686"/>
    <w:rsid w:val="00CF2951"/>
    <w:rsid w:val="00CF375F"/>
    <w:rsid w:val="00CF37F8"/>
    <w:rsid w:val="00CF42C5"/>
    <w:rsid w:val="00CF450E"/>
    <w:rsid w:val="00CF4603"/>
    <w:rsid w:val="00CF4851"/>
    <w:rsid w:val="00CF4AA7"/>
    <w:rsid w:val="00CF5A87"/>
    <w:rsid w:val="00CF60CA"/>
    <w:rsid w:val="00CF632A"/>
    <w:rsid w:val="00CF66A1"/>
    <w:rsid w:val="00CF6C3C"/>
    <w:rsid w:val="00CF6D81"/>
    <w:rsid w:val="00CF6DE8"/>
    <w:rsid w:val="00CF6E1C"/>
    <w:rsid w:val="00CF7120"/>
    <w:rsid w:val="00CF7200"/>
    <w:rsid w:val="00CF7245"/>
    <w:rsid w:val="00CF735D"/>
    <w:rsid w:val="00CF7854"/>
    <w:rsid w:val="00CF7D3A"/>
    <w:rsid w:val="00D00B5C"/>
    <w:rsid w:val="00D01032"/>
    <w:rsid w:val="00D01605"/>
    <w:rsid w:val="00D0182A"/>
    <w:rsid w:val="00D02003"/>
    <w:rsid w:val="00D02382"/>
    <w:rsid w:val="00D0256A"/>
    <w:rsid w:val="00D02725"/>
    <w:rsid w:val="00D02CB2"/>
    <w:rsid w:val="00D04185"/>
    <w:rsid w:val="00D0423A"/>
    <w:rsid w:val="00D04D1B"/>
    <w:rsid w:val="00D0528B"/>
    <w:rsid w:val="00D05623"/>
    <w:rsid w:val="00D05A7B"/>
    <w:rsid w:val="00D05E04"/>
    <w:rsid w:val="00D0632B"/>
    <w:rsid w:val="00D07482"/>
    <w:rsid w:val="00D07654"/>
    <w:rsid w:val="00D07ABC"/>
    <w:rsid w:val="00D07F2C"/>
    <w:rsid w:val="00D10DCF"/>
    <w:rsid w:val="00D120CE"/>
    <w:rsid w:val="00D12321"/>
    <w:rsid w:val="00D1240F"/>
    <w:rsid w:val="00D12C75"/>
    <w:rsid w:val="00D13481"/>
    <w:rsid w:val="00D13808"/>
    <w:rsid w:val="00D13C46"/>
    <w:rsid w:val="00D141FB"/>
    <w:rsid w:val="00D14767"/>
    <w:rsid w:val="00D14C27"/>
    <w:rsid w:val="00D14CD9"/>
    <w:rsid w:val="00D1510D"/>
    <w:rsid w:val="00D151A6"/>
    <w:rsid w:val="00D15817"/>
    <w:rsid w:val="00D15A8A"/>
    <w:rsid w:val="00D15E23"/>
    <w:rsid w:val="00D160E6"/>
    <w:rsid w:val="00D16236"/>
    <w:rsid w:val="00D16FE8"/>
    <w:rsid w:val="00D171A1"/>
    <w:rsid w:val="00D175E4"/>
    <w:rsid w:val="00D1761C"/>
    <w:rsid w:val="00D17DE6"/>
    <w:rsid w:val="00D17F5A"/>
    <w:rsid w:val="00D20187"/>
    <w:rsid w:val="00D20480"/>
    <w:rsid w:val="00D20A2C"/>
    <w:rsid w:val="00D21839"/>
    <w:rsid w:val="00D21BEE"/>
    <w:rsid w:val="00D223A8"/>
    <w:rsid w:val="00D22701"/>
    <w:rsid w:val="00D22E4C"/>
    <w:rsid w:val="00D22EFE"/>
    <w:rsid w:val="00D23700"/>
    <w:rsid w:val="00D240F7"/>
    <w:rsid w:val="00D253FB"/>
    <w:rsid w:val="00D25697"/>
    <w:rsid w:val="00D25B9B"/>
    <w:rsid w:val="00D26902"/>
    <w:rsid w:val="00D26BA2"/>
    <w:rsid w:val="00D26D14"/>
    <w:rsid w:val="00D26DA3"/>
    <w:rsid w:val="00D271D9"/>
    <w:rsid w:val="00D27358"/>
    <w:rsid w:val="00D277CB"/>
    <w:rsid w:val="00D301C6"/>
    <w:rsid w:val="00D3113C"/>
    <w:rsid w:val="00D31758"/>
    <w:rsid w:val="00D319D2"/>
    <w:rsid w:val="00D31BF6"/>
    <w:rsid w:val="00D31C3C"/>
    <w:rsid w:val="00D31D6E"/>
    <w:rsid w:val="00D326D4"/>
    <w:rsid w:val="00D32783"/>
    <w:rsid w:val="00D327F8"/>
    <w:rsid w:val="00D33A1B"/>
    <w:rsid w:val="00D34532"/>
    <w:rsid w:val="00D345F6"/>
    <w:rsid w:val="00D34B71"/>
    <w:rsid w:val="00D34D6E"/>
    <w:rsid w:val="00D35D6F"/>
    <w:rsid w:val="00D35DE5"/>
    <w:rsid w:val="00D35EC8"/>
    <w:rsid w:val="00D35F0F"/>
    <w:rsid w:val="00D3693D"/>
    <w:rsid w:val="00D40164"/>
    <w:rsid w:val="00D4077F"/>
    <w:rsid w:val="00D410DD"/>
    <w:rsid w:val="00D410EC"/>
    <w:rsid w:val="00D41323"/>
    <w:rsid w:val="00D41E9C"/>
    <w:rsid w:val="00D42265"/>
    <w:rsid w:val="00D42A43"/>
    <w:rsid w:val="00D42F91"/>
    <w:rsid w:val="00D4344B"/>
    <w:rsid w:val="00D43B22"/>
    <w:rsid w:val="00D44AC2"/>
    <w:rsid w:val="00D44CD7"/>
    <w:rsid w:val="00D44DE1"/>
    <w:rsid w:val="00D45896"/>
    <w:rsid w:val="00D459B0"/>
    <w:rsid w:val="00D45C99"/>
    <w:rsid w:val="00D45F4C"/>
    <w:rsid w:val="00D46015"/>
    <w:rsid w:val="00D464BE"/>
    <w:rsid w:val="00D46BF2"/>
    <w:rsid w:val="00D46D04"/>
    <w:rsid w:val="00D47328"/>
    <w:rsid w:val="00D473AC"/>
    <w:rsid w:val="00D47BF5"/>
    <w:rsid w:val="00D50BDB"/>
    <w:rsid w:val="00D50CD1"/>
    <w:rsid w:val="00D50D73"/>
    <w:rsid w:val="00D5195B"/>
    <w:rsid w:val="00D51AB2"/>
    <w:rsid w:val="00D51E37"/>
    <w:rsid w:val="00D51E9E"/>
    <w:rsid w:val="00D522F3"/>
    <w:rsid w:val="00D524E2"/>
    <w:rsid w:val="00D52509"/>
    <w:rsid w:val="00D52C53"/>
    <w:rsid w:val="00D52D8F"/>
    <w:rsid w:val="00D533CF"/>
    <w:rsid w:val="00D534E7"/>
    <w:rsid w:val="00D5354D"/>
    <w:rsid w:val="00D53D39"/>
    <w:rsid w:val="00D53E8C"/>
    <w:rsid w:val="00D5423F"/>
    <w:rsid w:val="00D54254"/>
    <w:rsid w:val="00D5491C"/>
    <w:rsid w:val="00D54F47"/>
    <w:rsid w:val="00D5559D"/>
    <w:rsid w:val="00D55935"/>
    <w:rsid w:val="00D559B1"/>
    <w:rsid w:val="00D55C76"/>
    <w:rsid w:val="00D569DD"/>
    <w:rsid w:val="00D56E1D"/>
    <w:rsid w:val="00D57E19"/>
    <w:rsid w:val="00D6012C"/>
    <w:rsid w:val="00D60584"/>
    <w:rsid w:val="00D60796"/>
    <w:rsid w:val="00D613BF"/>
    <w:rsid w:val="00D61A58"/>
    <w:rsid w:val="00D61AE1"/>
    <w:rsid w:val="00D61CCC"/>
    <w:rsid w:val="00D61D14"/>
    <w:rsid w:val="00D62B29"/>
    <w:rsid w:val="00D62E22"/>
    <w:rsid w:val="00D62E68"/>
    <w:rsid w:val="00D62FA0"/>
    <w:rsid w:val="00D63333"/>
    <w:rsid w:val="00D63B5C"/>
    <w:rsid w:val="00D64E9F"/>
    <w:rsid w:val="00D652F0"/>
    <w:rsid w:val="00D65504"/>
    <w:rsid w:val="00D65775"/>
    <w:rsid w:val="00D65A44"/>
    <w:rsid w:val="00D65EE6"/>
    <w:rsid w:val="00D6611F"/>
    <w:rsid w:val="00D66189"/>
    <w:rsid w:val="00D663A9"/>
    <w:rsid w:val="00D66412"/>
    <w:rsid w:val="00D66553"/>
    <w:rsid w:val="00D669F9"/>
    <w:rsid w:val="00D66BC7"/>
    <w:rsid w:val="00D66F91"/>
    <w:rsid w:val="00D67973"/>
    <w:rsid w:val="00D67CCC"/>
    <w:rsid w:val="00D67F02"/>
    <w:rsid w:val="00D67F45"/>
    <w:rsid w:val="00D70C30"/>
    <w:rsid w:val="00D719E8"/>
    <w:rsid w:val="00D7222B"/>
    <w:rsid w:val="00D72255"/>
    <w:rsid w:val="00D72B0C"/>
    <w:rsid w:val="00D72DB2"/>
    <w:rsid w:val="00D7303C"/>
    <w:rsid w:val="00D731A6"/>
    <w:rsid w:val="00D73948"/>
    <w:rsid w:val="00D74367"/>
    <w:rsid w:val="00D74F1F"/>
    <w:rsid w:val="00D77421"/>
    <w:rsid w:val="00D776C7"/>
    <w:rsid w:val="00D8010E"/>
    <w:rsid w:val="00D81E9B"/>
    <w:rsid w:val="00D822B0"/>
    <w:rsid w:val="00D82742"/>
    <w:rsid w:val="00D82A01"/>
    <w:rsid w:val="00D82F2B"/>
    <w:rsid w:val="00D837DA"/>
    <w:rsid w:val="00D83FF4"/>
    <w:rsid w:val="00D84DBA"/>
    <w:rsid w:val="00D85747"/>
    <w:rsid w:val="00D85885"/>
    <w:rsid w:val="00D858F6"/>
    <w:rsid w:val="00D867C5"/>
    <w:rsid w:val="00D86AD4"/>
    <w:rsid w:val="00D875C7"/>
    <w:rsid w:val="00D87663"/>
    <w:rsid w:val="00D8781E"/>
    <w:rsid w:val="00D87E0C"/>
    <w:rsid w:val="00D903D6"/>
    <w:rsid w:val="00D908BA"/>
    <w:rsid w:val="00D912CC"/>
    <w:rsid w:val="00D916DF"/>
    <w:rsid w:val="00D9175B"/>
    <w:rsid w:val="00D91F91"/>
    <w:rsid w:val="00D9255B"/>
    <w:rsid w:val="00D92663"/>
    <w:rsid w:val="00D92737"/>
    <w:rsid w:val="00D92833"/>
    <w:rsid w:val="00D92B4D"/>
    <w:rsid w:val="00D93046"/>
    <w:rsid w:val="00D93142"/>
    <w:rsid w:val="00D9315B"/>
    <w:rsid w:val="00D931A1"/>
    <w:rsid w:val="00D93633"/>
    <w:rsid w:val="00D93824"/>
    <w:rsid w:val="00D93DAE"/>
    <w:rsid w:val="00D94029"/>
    <w:rsid w:val="00D942FF"/>
    <w:rsid w:val="00D94EF6"/>
    <w:rsid w:val="00D9509E"/>
    <w:rsid w:val="00D958EC"/>
    <w:rsid w:val="00D958FF"/>
    <w:rsid w:val="00D96310"/>
    <w:rsid w:val="00D9649E"/>
    <w:rsid w:val="00D9691A"/>
    <w:rsid w:val="00D96ADE"/>
    <w:rsid w:val="00D97295"/>
    <w:rsid w:val="00D97743"/>
    <w:rsid w:val="00D97994"/>
    <w:rsid w:val="00D97B01"/>
    <w:rsid w:val="00D97F06"/>
    <w:rsid w:val="00DA0668"/>
    <w:rsid w:val="00DA0774"/>
    <w:rsid w:val="00DA15D9"/>
    <w:rsid w:val="00DA1715"/>
    <w:rsid w:val="00DA19EB"/>
    <w:rsid w:val="00DA1C9B"/>
    <w:rsid w:val="00DA204F"/>
    <w:rsid w:val="00DA2C2E"/>
    <w:rsid w:val="00DA2CE0"/>
    <w:rsid w:val="00DA2DAA"/>
    <w:rsid w:val="00DA2E0A"/>
    <w:rsid w:val="00DA2E67"/>
    <w:rsid w:val="00DA2FD8"/>
    <w:rsid w:val="00DA3027"/>
    <w:rsid w:val="00DA34E5"/>
    <w:rsid w:val="00DA36A9"/>
    <w:rsid w:val="00DA3A41"/>
    <w:rsid w:val="00DA3EDD"/>
    <w:rsid w:val="00DA4866"/>
    <w:rsid w:val="00DA5321"/>
    <w:rsid w:val="00DA6CE9"/>
    <w:rsid w:val="00DA7690"/>
    <w:rsid w:val="00DB0645"/>
    <w:rsid w:val="00DB0929"/>
    <w:rsid w:val="00DB1488"/>
    <w:rsid w:val="00DB1E2E"/>
    <w:rsid w:val="00DB21D5"/>
    <w:rsid w:val="00DB3941"/>
    <w:rsid w:val="00DB3DF0"/>
    <w:rsid w:val="00DB3E13"/>
    <w:rsid w:val="00DB419C"/>
    <w:rsid w:val="00DB4D34"/>
    <w:rsid w:val="00DB5261"/>
    <w:rsid w:val="00DB53C7"/>
    <w:rsid w:val="00DB6985"/>
    <w:rsid w:val="00DB6F79"/>
    <w:rsid w:val="00DB7B0C"/>
    <w:rsid w:val="00DB7B41"/>
    <w:rsid w:val="00DB7C9B"/>
    <w:rsid w:val="00DB7CA2"/>
    <w:rsid w:val="00DC008F"/>
    <w:rsid w:val="00DC04BD"/>
    <w:rsid w:val="00DC07CC"/>
    <w:rsid w:val="00DC0CF3"/>
    <w:rsid w:val="00DC10BA"/>
    <w:rsid w:val="00DC1261"/>
    <w:rsid w:val="00DC1769"/>
    <w:rsid w:val="00DC205F"/>
    <w:rsid w:val="00DC2098"/>
    <w:rsid w:val="00DC223B"/>
    <w:rsid w:val="00DC2298"/>
    <w:rsid w:val="00DC24D6"/>
    <w:rsid w:val="00DC2A4D"/>
    <w:rsid w:val="00DC31B1"/>
    <w:rsid w:val="00DC31DF"/>
    <w:rsid w:val="00DC3948"/>
    <w:rsid w:val="00DC3979"/>
    <w:rsid w:val="00DC4121"/>
    <w:rsid w:val="00DC46AA"/>
    <w:rsid w:val="00DC548F"/>
    <w:rsid w:val="00DC5550"/>
    <w:rsid w:val="00DC5727"/>
    <w:rsid w:val="00DC572E"/>
    <w:rsid w:val="00DC5C19"/>
    <w:rsid w:val="00DC5C72"/>
    <w:rsid w:val="00DC6341"/>
    <w:rsid w:val="00DC652E"/>
    <w:rsid w:val="00DC7360"/>
    <w:rsid w:val="00DC7725"/>
    <w:rsid w:val="00DC782C"/>
    <w:rsid w:val="00DD0154"/>
    <w:rsid w:val="00DD02F9"/>
    <w:rsid w:val="00DD04B5"/>
    <w:rsid w:val="00DD06D1"/>
    <w:rsid w:val="00DD0D50"/>
    <w:rsid w:val="00DD0E6A"/>
    <w:rsid w:val="00DD0F0E"/>
    <w:rsid w:val="00DD178E"/>
    <w:rsid w:val="00DD220D"/>
    <w:rsid w:val="00DD2767"/>
    <w:rsid w:val="00DD2812"/>
    <w:rsid w:val="00DD2AA7"/>
    <w:rsid w:val="00DD2DE0"/>
    <w:rsid w:val="00DD30DF"/>
    <w:rsid w:val="00DD33F7"/>
    <w:rsid w:val="00DD3411"/>
    <w:rsid w:val="00DD354B"/>
    <w:rsid w:val="00DD5006"/>
    <w:rsid w:val="00DD53E3"/>
    <w:rsid w:val="00DD6010"/>
    <w:rsid w:val="00DD71E8"/>
    <w:rsid w:val="00DD7242"/>
    <w:rsid w:val="00DD7EED"/>
    <w:rsid w:val="00DE01CB"/>
    <w:rsid w:val="00DE03C6"/>
    <w:rsid w:val="00DE0892"/>
    <w:rsid w:val="00DE1A37"/>
    <w:rsid w:val="00DE1D10"/>
    <w:rsid w:val="00DE210F"/>
    <w:rsid w:val="00DE264C"/>
    <w:rsid w:val="00DE3BB7"/>
    <w:rsid w:val="00DE3BD8"/>
    <w:rsid w:val="00DE41DB"/>
    <w:rsid w:val="00DE4250"/>
    <w:rsid w:val="00DE474D"/>
    <w:rsid w:val="00DE4E4D"/>
    <w:rsid w:val="00DE555D"/>
    <w:rsid w:val="00DE61AE"/>
    <w:rsid w:val="00DE6357"/>
    <w:rsid w:val="00DE65EF"/>
    <w:rsid w:val="00DE71C5"/>
    <w:rsid w:val="00DE771F"/>
    <w:rsid w:val="00DE7C25"/>
    <w:rsid w:val="00DF01E1"/>
    <w:rsid w:val="00DF03BC"/>
    <w:rsid w:val="00DF1502"/>
    <w:rsid w:val="00DF1991"/>
    <w:rsid w:val="00DF212C"/>
    <w:rsid w:val="00DF21C2"/>
    <w:rsid w:val="00DF23D2"/>
    <w:rsid w:val="00DF269E"/>
    <w:rsid w:val="00DF2DCB"/>
    <w:rsid w:val="00DF2E36"/>
    <w:rsid w:val="00DF2F40"/>
    <w:rsid w:val="00DF3B14"/>
    <w:rsid w:val="00DF3C79"/>
    <w:rsid w:val="00DF548C"/>
    <w:rsid w:val="00DF5621"/>
    <w:rsid w:val="00DF56A9"/>
    <w:rsid w:val="00DF5B9C"/>
    <w:rsid w:val="00DF5ED5"/>
    <w:rsid w:val="00DF6287"/>
    <w:rsid w:val="00DF66EC"/>
    <w:rsid w:val="00DF6DEC"/>
    <w:rsid w:val="00DF7976"/>
    <w:rsid w:val="00DF7C7D"/>
    <w:rsid w:val="00DF7CFF"/>
    <w:rsid w:val="00DF7DCB"/>
    <w:rsid w:val="00E0062E"/>
    <w:rsid w:val="00E00B00"/>
    <w:rsid w:val="00E012D2"/>
    <w:rsid w:val="00E013CD"/>
    <w:rsid w:val="00E016EE"/>
    <w:rsid w:val="00E01A6F"/>
    <w:rsid w:val="00E02368"/>
    <w:rsid w:val="00E02400"/>
    <w:rsid w:val="00E0247D"/>
    <w:rsid w:val="00E02E58"/>
    <w:rsid w:val="00E034E8"/>
    <w:rsid w:val="00E039C1"/>
    <w:rsid w:val="00E03F39"/>
    <w:rsid w:val="00E043E3"/>
    <w:rsid w:val="00E0513A"/>
    <w:rsid w:val="00E0537E"/>
    <w:rsid w:val="00E056A7"/>
    <w:rsid w:val="00E05EE7"/>
    <w:rsid w:val="00E0600E"/>
    <w:rsid w:val="00E0610D"/>
    <w:rsid w:val="00E064C2"/>
    <w:rsid w:val="00E07034"/>
    <w:rsid w:val="00E07293"/>
    <w:rsid w:val="00E07420"/>
    <w:rsid w:val="00E0792A"/>
    <w:rsid w:val="00E07B89"/>
    <w:rsid w:val="00E07DF1"/>
    <w:rsid w:val="00E100A3"/>
    <w:rsid w:val="00E10471"/>
    <w:rsid w:val="00E11294"/>
    <w:rsid w:val="00E1146A"/>
    <w:rsid w:val="00E116AA"/>
    <w:rsid w:val="00E12616"/>
    <w:rsid w:val="00E12C50"/>
    <w:rsid w:val="00E134CD"/>
    <w:rsid w:val="00E13809"/>
    <w:rsid w:val="00E13ACB"/>
    <w:rsid w:val="00E13F5A"/>
    <w:rsid w:val="00E1481D"/>
    <w:rsid w:val="00E149FE"/>
    <w:rsid w:val="00E15785"/>
    <w:rsid w:val="00E15B13"/>
    <w:rsid w:val="00E16103"/>
    <w:rsid w:val="00E165A1"/>
    <w:rsid w:val="00E169DB"/>
    <w:rsid w:val="00E16A94"/>
    <w:rsid w:val="00E16C3F"/>
    <w:rsid w:val="00E16E32"/>
    <w:rsid w:val="00E17D42"/>
    <w:rsid w:val="00E17F6C"/>
    <w:rsid w:val="00E200CC"/>
    <w:rsid w:val="00E2078A"/>
    <w:rsid w:val="00E20E8F"/>
    <w:rsid w:val="00E20F18"/>
    <w:rsid w:val="00E20F49"/>
    <w:rsid w:val="00E217FB"/>
    <w:rsid w:val="00E2223F"/>
    <w:rsid w:val="00E222A8"/>
    <w:rsid w:val="00E226B8"/>
    <w:rsid w:val="00E227D2"/>
    <w:rsid w:val="00E22C46"/>
    <w:rsid w:val="00E22FEF"/>
    <w:rsid w:val="00E2321F"/>
    <w:rsid w:val="00E23B44"/>
    <w:rsid w:val="00E24095"/>
    <w:rsid w:val="00E243FE"/>
    <w:rsid w:val="00E25349"/>
    <w:rsid w:val="00E254E8"/>
    <w:rsid w:val="00E258DB"/>
    <w:rsid w:val="00E25AC2"/>
    <w:rsid w:val="00E25DA7"/>
    <w:rsid w:val="00E26136"/>
    <w:rsid w:val="00E26E81"/>
    <w:rsid w:val="00E26F47"/>
    <w:rsid w:val="00E270C0"/>
    <w:rsid w:val="00E3029A"/>
    <w:rsid w:val="00E302F9"/>
    <w:rsid w:val="00E303B9"/>
    <w:rsid w:val="00E30714"/>
    <w:rsid w:val="00E30772"/>
    <w:rsid w:val="00E30940"/>
    <w:rsid w:val="00E30B0D"/>
    <w:rsid w:val="00E30EA6"/>
    <w:rsid w:val="00E30FC7"/>
    <w:rsid w:val="00E311B7"/>
    <w:rsid w:val="00E31448"/>
    <w:rsid w:val="00E316DC"/>
    <w:rsid w:val="00E3197F"/>
    <w:rsid w:val="00E31C7E"/>
    <w:rsid w:val="00E31CAD"/>
    <w:rsid w:val="00E32484"/>
    <w:rsid w:val="00E32DAB"/>
    <w:rsid w:val="00E33191"/>
    <w:rsid w:val="00E339F0"/>
    <w:rsid w:val="00E33BA5"/>
    <w:rsid w:val="00E33DE0"/>
    <w:rsid w:val="00E33EF3"/>
    <w:rsid w:val="00E34123"/>
    <w:rsid w:val="00E34626"/>
    <w:rsid w:val="00E34EE8"/>
    <w:rsid w:val="00E35600"/>
    <w:rsid w:val="00E35C9A"/>
    <w:rsid w:val="00E35E52"/>
    <w:rsid w:val="00E36B94"/>
    <w:rsid w:val="00E36CCA"/>
    <w:rsid w:val="00E3776B"/>
    <w:rsid w:val="00E4008E"/>
    <w:rsid w:val="00E4020C"/>
    <w:rsid w:val="00E4049C"/>
    <w:rsid w:val="00E405E0"/>
    <w:rsid w:val="00E40B48"/>
    <w:rsid w:val="00E40E28"/>
    <w:rsid w:val="00E413D4"/>
    <w:rsid w:val="00E41741"/>
    <w:rsid w:val="00E42486"/>
    <w:rsid w:val="00E424C5"/>
    <w:rsid w:val="00E4287D"/>
    <w:rsid w:val="00E43D10"/>
    <w:rsid w:val="00E43DB7"/>
    <w:rsid w:val="00E44F30"/>
    <w:rsid w:val="00E44FD3"/>
    <w:rsid w:val="00E450D1"/>
    <w:rsid w:val="00E451F6"/>
    <w:rsid w:val="00E45494"/>
    <w:rsid w:val="00E45505"/>
    <w:rsid w:val="00E4596A"/>
    <w:rsid w:val="00E45E3C"/>
    <w:rsid w:val="00E4678B"/>
    <w:rsid w:val="00E46C02"/>
    <w:rsid w:val="00E47CB7"/>
    <w:rsid w:val="00E47DDE"/>
    <w:rsid w:val="00E50623"/>
    <w:rsid w:val="00E50AED"/>
    <w:rsid w:val="00E50DA0"/>
    <w:rsid w:val="00E51056"/>
    <w:rsid w:val="00E51D8C"/>
    <w:rsid w:val="00E51F3E"/>
    <w:rsid w:val="00E520D9"/>
    <w:rsid w:val="00E5210F"/>
    <w:rsid w:val="00E52124"/>
    <w:rsid w:val="00E52215"/>
    <w:rsid w:val="00E53390"/>
    <w:rsid w:val="00E537CE"/>
    <w:rsid w:val="00E53DF4"/>
    <w:rsid w:val="00E53EA0"/>
    <w:rsid w:val="00E547E3"/>
    <w:rsid w:val="00E555C4"/>
    <w:rsid w:val="00E5582D"/>
    <w:rsid w:val="00E55FC4"/>
    <w:rsid w:val="00E571BB"/>
    <w:rsid w:val="00E5764C"/>
    <w:rsid w:val="00E57D58"/>
    <w:rsid w:val="00E57F61"/>
    <w:rsid w:val="00E60249"/>
    <w:rsid w:val="00E603E3"/>
    <w:rsid w:val="00E60CEB"/>
    <w:rsid w:val="00E61237"/>
    <w:rsid w:val="00E61382"/>
    <w:rsid w:val="00E61AC1"/>
    <w:rsid w:val="00E61FBD"/>
    <w:rsid w:val="00E62518"/>
    <w:rsid w:val="00E62551"/>
    <w:rsid w:val="00E62BE4"/>
    <w:rsid w:val="00E64607"/>
    <w:rsid w:val="00E64686"/>
    <w:rsid w:val="00E6504C"/>
    <w:rsid w:val="00E65135"/>
    <w:rsid w:val="00E65383"/>
    <w:rsid w:val="00E653D6"/>
    <w:rsid w:val="00E65474"/>
    <w:rsid w:val="00E66522"/>
    <w:rsid w:val="00E667D8"/>
    <w:rsid w:val="00E66907"/>
    <w:rsid w:val="00E669A0"/>
    <w:rsid w:val="00E669BF"/>
    <w:rsid w:val="00E70115"/>
    <w:rsid w:val="00E70D2F"/>
    <w:rsid w:val="00E70EB4"/>
    <w:rsid w:val="00E70FF9"/>
    <w:rsid w:val="00E712B3"/>
    <w:rsid w:val="00E71927"/>
    <w:rsid w:val="00E71DB2"/>
    <w:rsid w:val="00E71E02"/>
    <w:rsid w:val="00E71FF9"/>
    <w:rsid w:val="00E7210F"/>
    <w:rsid w:val="00E724BC"/>
    <w:rsid w:val="00E72823"/>
    <w:rsid w:val="00E72960"/>
    <w:rsid w:val="00E7296F"/>
    <w:rsid w:val="00E72D17"/>
    <w:rsid w:val="00E737CA"/>
    <w:rsid w:val="00E73EEF"/>
    <w:rsid w:val="00E74EC9"/>
    <w:rsid w:val="00E75263"/>
    <w:rsid w:val="00E75796"/>
    <w:rsid w:val="00E75BCE"/>
    <w:rsid w:val="00E75CF7"/>
    <w:rsid w:val="00E75DC1"/>
    <w:rsid w:val="00E76191"/>
    <w:rsid w:val="00E761A3"/>
    <w:rsid w:val="00E763B3"/>
    <w:rsid w:val="00E76F39"/>
    <w:rsid w:val="00E77251"/>
    <w:rsid w:val="00E77373"/>
    <w:rsid w:val="00E77870"/>
    <w:rsid w:val="00E77E8C"/>
    <w:rsid w:val="00E81415"/>
    <w:rsid w:val="00E81458"/>
    <w:rsid w:val="00E82404"/>
    <w:rsid w:val="00E82E6D"/>
    <w:rsid w:val="00E82EC2"/>
    <w:rsid w:val="00E83256"/>
    <w:rsid w:val="00E83842"/>
    <w:rsid w:val="00E844DF"/>
    <w:rsid w:val="00E846C4"/>
    <w:rsid w:val="00E84BC2"/>
    <w:rsid w:val="00E854D7"/>
    <w:rsid w:val="00E85758"/>
    <w:rsid w:val="00E861AD"/>
    <w:rsid w:val="00E86437"/>
    <w:rsid w:val="00E86446"/>
    <w:rsid w:val="00E86903"/>
    <w:rsid w:val="00E86A31"/>
    <w:rsid w:val="00E86B0D"/>
    <w:rsid w:val="00E86C41"/>
    <w:rsid w:val="00E86D2A"/>
    <w:rsid w:val="00E86F15"/>
    <w:rsid w:val="00E87089"/>
    <w:rsid w:val="00E87211"/>
    <w:rsid w:val="00E87542"/>
    <w:rsid w:val="00E87B80"/>
    <w:rsid w:val="00E87EFC"/>
    <w:rsid w:val="00E906BE"/>
    <w:rsid w:val="00E90832"/>
    <w:rsid w:val="00E90978"/>
    <w:rsid w:val="00E90CF0"/>
    <w:rsid w:val="00E90EFC"/>
    <w:rsid w:val="00E9135D"/>
    <w:rsid w:val="00E91802"/>
    <w:rsid w:val="00E91EAC"/>
    <w:rsid w:val="00E92AA9"/>
    <w:rsid w:val="00E9330C"/>
    <w:rsid w:val="00E93AFB"/>
    <w:rsid w:val="00E940A3"/>
    <w:rsid w:val="00E9431C"/>
    <w:rsid w:val="00E943EB"/>
    <w:rsid w:val="00E94A22"/>
    <w:rsid w:val="00E94D73"/>
    <w:rsid w:val="00E9586C"/>
    <w:rsid w:val="00E95C89"/>
    <w:rsid w:val="00E95ED4"/>
    <w:rsid w:val="00E96143"/>
    <w:rsid w:val="00E96345"/>
    <w:rsid w:val="00E96790"/>
    <w:rsid w:val="00E97576"/>
    <w:rsid w:val="00EA0BD8"/>
    <w:rsid w:val="00EA0ECF"/>
    <w:rsid w:val="00EA1A8B"/>
    <w:rsid w:val="00EA1C11"/>
    <w:rsid w:val="00EA2B95"/>
    <w:rsid w:val="00EA2F4D"/>
    <w:rsid w:val="00EA303E"/>
    <w:rsid w:val="00EA349B"/>
    <w:rsid w:val="00EA3B19"/>
    <w:rsid w:val="00EA43E4"/>
    <w:rsid w:val="00EA458F"/>
    <w:rsid w:val="00EA45C5"/>
    <w:rsid w:val="00EA46B8"/>
    <w:rsid w:val="00EA493F"/>
    <w:rsid w:val="00EA546A"/>
    <w:rsid w:val="00EA5838"/>
    <w:rsid w:val="00EA5CFA"/>
    <w:rsid w:val="00EA5E8C"/>
    <w:rsid w:val="00EA5F13"/>
    <w:rsid w:val="00EA5F89"/>
    <w:rsid w:val="00EA600E"/>
    <w:rsid w:val="00EA6233"/>
    <w:rsid w:val="00EA6B7B"/>
    <w:rsid w:val="00EA7151"/>
    <w:rsid w:val="00EA7510"/>
    <w:rsid w:val="00EA7B04"/>
    <w:rsid w:val="00EA7B58"/>
    <w:rsid w:val="00EA7CEB"/>
    <w:rsid w:val="00EA7EC9"/>
    <w:rsid w:val="00EA7FDF"/>
    <w:rsid w:val="00EB014E"/>
    <w:rsid w:val="00EB0F42"/>
    <w:rsid w:val="00EB1375"/>
    <w:rsid w:val="00EB139D"/>
    <w:rsid w:val="00EB1892"/>
    <w:rsid w:val="00EB1995"/>
    <w:rsid w:val="00EB21E2"/>
    <w:rsid w:val="00EB2976"/>
    <w:rsid w:val="00EB2D5B"/>
    <w:rsid w:val="00EB3656"/>
    <w:rsid w:val="00EB39BD"/>
    <w:rsid w:val="00EB3C34"/>
    <w:rsid w:val="00EB3FFA"/>
    <w:rsid w:val="00EB4454"/>
    <w:rsid w:val="00EB47F4"/>
    <w:rsid w:val="00EB4C34"/>
    <w:rsid w:val="00EB4F58"/>
    <w:rsid w:val="00EB4FD8"/>
    <w:rsid w:val="00EB50CD"/>
    <w:rsid w:val="00EB5A7F"/>
    <w:rsid w:val="00EB6229"/>
    <w:rsid w:val="00EB692B"/>
    <w:rsid w:val="00EB6FD1"/>
    <w:rsid w:val="00EB7003"/>
    <w:rsid w:val="00EB77F1"/>
    <w:rsid w:val="00EC0FEE"/>
    <w:rsid w:val="00EC1CEE"/>
    <w:rsid w:val="00EC1EE0"/>
    <w:rsid w:val="00EC22C4"/>
    <w:rsid w:val="00EC2315"/>
    <w:rsid w:val="00EC2438"/>
    <w:rsid w:val="00EC2594"/>
    <w:rsid w:val="00EC25A3"/>
    <w:rsid w:val="00EC35B0"/>
    <w:rsid w:val="00EC4024"/>
    <w:rsid w:val="00EC4301"/>
    <w:rsid w:val="00EC43FB"/>
    <w:rsid w:val="00EC4929"/>
    <w:rsid w:val="00EC4B71"/>
    <w:rsid w:val="00EC4CB4"/>
    <w:rsid w:val="00EC5825"/>
    <w:rsid w:val="00EC5986"/>
    <w:rsid w:val="00EC5B8A"/>
    <w:rsid w:val="00EC5FFC"/>
    <w:rsid w:val="00EC6202"/>
    <w:rsid w:val="00EC6344"/>
    <w:rsid w:val="00EC6356"/>
    <w:rsid w:val="00EC6498"/>
    <w:rsid w:val="00EC6540"/>
    <w:rsid w:val="00EC6D71"/>
    <w:rsid w:val="00EC718B"/>
    <w:rsid w:val="00EC7316"/>
    <w:rsid w:val="00EC786D"/>
    <w:rsid w:val="00EC7B84"/>
    <w:rsid w:val="00EC7C1B"/>
    <w:rsid w:val="00EC7E2F"/>
    <w:rsid w:val="00ED0370"/>
    <w:rsid w:val="00ED0B9A"/>
    <w:rsid w:val="00ED0CB9"/>
    <w:rsid w:val="00ED1005"/>
    <w:rsid w:val="00ED166C"/>
    <w:rsid w:val="00ED180B"/>
    <w:rsid w:val="00ED191B"/>
    <w:rsid w:val="00ED1A84"/>
    <w:rsid w:val="00ED2332"/>
    <w:rsid w:val="00ED2333"/>
    <w:rsid w:val="00ED2647"/>
    <w:rsid w:val="00ED2BC3"/>
    <w:rsid w:val="00ED2BED"/>
    <w:rsid w:val="00ED2C8D"/>
    <w:rsid w:val="00ED2F12"/>
    <w:rsid w:val="00ED3563"/>
    <w:rsid w:val="00ED4BA5"/>
    <w:rsid w:val="00ED68FF"/>
    <w:rsid w:val="00ED6C32"/>
    <w:rsid w:val="00ED6E42"/>
    <w:rsid w:val="00ED75AB"/>
    <w:rsid w:val="00ED75CC"/>
    <w:rsid w:val="00ED78E8"/>
    <w:rsid w:val="00ED7AE8"/>
    <w:rsid w:val="00ED7DF2"/>
    <w:rsid w:val="00EE0040"/>
    <w:rsid w:val="00EE0058"/>
    <w:rsid w:val="00EE03F6"/>
    <w:rsid w:val="00EE06B5"/>
    <w:rsid w:val="00EE0B4B"/>
    <w:rsid w:val="00EE1266"/>
    <w:rsid w:val="00EE1434"/>
    <w:rsid w:val="00EE1F48"/>
    <w:rsid w:val="00EE2048"/>
    <w:rsid w:val="00EE2614"/>
    <w:rsid w:val="00EE2B60"/>
    <w:rsid w:val="00EE30A6"/>
    <w:rsid w:val="00EE3170"/>
    <w:rsid w:val="00EE3B0E"/>
    <w:rsid w:val="00EE4139"/>
    <w:rsid w:val="00EE4448"/>
    <w:rsid w:val="00EE478A"/>
    <w:rsid w:val="00EE4CA3"/>
    <w:rsid w:val="00EE4CE2"/>
    <w:rsid w:val="00EE6B16"/>
    <w:rsid w:val="00EE7128"/>
    <w:rsid w:val="00EE7D26"/>
    <w:rsid w:val="00EE7DEE"/>
    <w:rsid w:val="00EF017C"/>
    <w:rsid w:val="00EF09B5"/>
    <w:rsid w:val="00EF0C4D"/>
    <w:rsid w:val="00EF180F"/>
    <w:rsid w:val="00EF1D1F"/>
    <w:rsid w:val="00EF1F1E"/>
    <w:rsid w:val="00EF1F50"/>
    <w:rsid w:val="00EF2D43"/>
    <w:rsid w:val="00EF2D4C"/>
    <w:rsid w:val="00EF3022"/>
    <w:rsid w:val="00EF3DFD"/>
    <w:rsid w:val="00EF3F0F"/>
    <w:rsid w:val="00EF3F76"/>
    <w:rsid w:val="00EF4CBC"/>
    <w:rsid w:val="00EF5FE6"/>
    <w:rsid w:val="00EF6FCE"/>
    <w:rsid w:val="00EF7495"/>
    <w:rsid w:val="00EF74BD"/>
    <w:rsid w:val="00EF7594"/>
    <w:rsid w:val="00EF7862"/>
    <w:rsid w:val="00EF7FD3"/>
    <w:rsid w:val="00F00001"/>
    <w:rsid w:val="00F0043A"/>
    <w:rsid w:val="00F00748"/>
    <w:rsid w:val="00F0087F"/>
    <w:rsid w:val="00F00EF1"/>
    <w:rsid w:val="00F017B4"/>
    <w:rsid w:val="00F01813"/>
    <w:rsid w:val="00F01D46"/>
    <w:rsid w:val="00F020E5"/>
    <w:rsid w:val="00F02584"/>
    <w:rsid w:val="00F02983"/>
    <w:rsid w:val="00F02ADA"/>
    <w:rsid w:val="00F02BB8"/>
    <w:rsid w:val="00F02EAA"/>
    <w:rsid w:val="00F02F79"/>
    <w:rsid w:val="00F0300B"/>
    <w:rsid w:val="00F03AA2"/>
    <w:rsid w:val="00F03C6A"/>
    <w:rsid w:val="00F03EDB"/>
    <w:rsid w:val="00F0407E"/>
    <w:rsid w:val="00F040EA"/>
    <w:rsid w:val="00F04524"/>
    <w:rsid w:val="00F047D8"/>
    <w:rsid w:val="00F04ABA"/>
    <w:rsid w:val="00F04B9D"/>
    <w:rsid w:val="00F05052"/>
    <w:rsid w:val="00F05282"/>
    <w:rsid w:val="00F05BF4"/>
    <w:rsid w:val="00F06A84"/>
    <w:rsid w:val="00F06EFD"/>
    <w:rsid w:val="00F0704F"/>
    <w:rsid w:val="00F07368"/>
    <w:rsid w:val="00F07673"/>
    <w:rsid w:val="00F1011C"/>
    <w:rsid w:val="00F103A5"/>
    <w:rsid w:val="00F10B86"/>
    <w:rsid w:val="00F10B95"/>
    <w:rsid w:val="00F10BA0"/>
    <w:rsid w:val="00F117A1"/>
    <w:rsid w:val="00F11FE0"/>
    <w:rsid w:val="00F11FEF"/>
    <w:rsid w:val="00F120EF"/>
    <w:rsid w:val="00F1311C"/>
    <w:rsid w:val="00F13410"/>
    <w:rsid w:val="00F13701"/>
    <w:rsid w:val="00F1410A"/>
    <w:rsid w:val="00F14668"/>
    <w:rsid w:val="00F14D3E"/>
    <w:rsid w:val="00F15BFA"/>
    <w:rsid w:val="00F160D2"/>
    <w:rsid w:val="00F1710A"/>
    <w:rsid w:val="00F171AA"/>
    <w:rsid w:val="00F17333"/>
    <w:rsid w:val="00F1764C"/>
    <w:rsid w:val="00F2011C"/>
    <w:rsid w:val="00F2033B"/>
    <w:rsid w:val="00F2077F"/>
    <w:rsid w:val="00F211AB"/>
    <w:rsid w:val="00F213D4"/>
    <w:rsid w:val="00F21933"/>
    <w:rsid w:val="00F21DF9"/>
    <w:rsid w:val="00F21FE9"/>
    <w:rsid w:val="00F2200C"/>
    <w:rsid w:val="00F22B84"/>
    <w:rsid w:val="00F2345F"/>
    <w:rsid w:val="00F235FB"/>
    <w:rsid w:val="00F23CA5"/>
    <w:rsid w:val="00F23D56"/>
    <w:rsid w:val="00F24480"/>
    <w:rsid w:val="00F249BD"/>
    <w:rsid w:val="00F249EC"/>
    <w:rsid w:val="00F24A4D"/>
    <w:rsid w:val="00F25C8F"/>
    <w:rsid w:val="00F26295"/>
    <w:rsid w:val="00F26C5F"/>
    <w:rsid w:val="00F271CE"/>
    <w:rsid w:val="00F27C0F"/>
    <w:rsid w:val="00F27F93"/>
    <w:rsid w:val="00F30053"/>
    <w:rsid w:val="00F30D12"/>
    <w:rsid w:val="00F31505"/>
    <w:rsid w:val="00F3166B"/>
    <w:rsid w:val="00F317D9"/>
    <w:rsid w:val="00F318AD"/>
    <w:rsid w:val="00F31FA0"/>
    <w:rsid w:val="00F322AB"/>
    <w:rsid w:val="00F32508"/>
    <w:rsid w:val="00F32509"/>
    <w:rsid w:val="00F32976"/>
    <w:rsid w:val="00F32C36"/>
    <w:rsid w:val="00F335E7"/>
    <w:rsid w:val="00F33631"/>
    <w:rsid w:val="00F33973"/>
    <w:rsid w:val="00F33A8C"/>
    <w:rsid w:val="00F33B20"/>
    <w:rsid w:val="00F33DEA"/>
    <w:rsid w:val="00F35178"/>
    <w:rsid w:val="00F351EE"/>
    <w:rsid w:val="00F358AD"/>
    <w:rsid w:val="00F3593D"/>
    <w:rsid w:val="00F35B0B"/>
    <w:rsid w:val="00F35C18"/>
    <w:rsid w:val="00F35C62"/>
    <w:rsid w:val="00F36765"/>
    <w:rsid w:val="00F36D4F"/>
    <w:rsid w:val="00F36F32"/>
    <w:rsid w:val="00F373AE"/>
    <w:rsid w:val="00F37777"/>
    <w:rsid w:val="00F37E1B"/>
    <w:rsid w:val="00F40307"/>
    <w:rsid w:val="00F40380"/>
    <w:rsid w:val="00F4062A"/>
    <w:rsid w:val="00F4091C"/>
    <w:rsid w:val="00F41737"/>
    <w:rsid w:val="00F42333"/>
    <w:rsid w:val="00F42F0F"/>
    <w:rsid w:val="00F43927"/>
    <w:rsid w:val="00F43F9C"/>
    <w:rsid w:val="00F440AE"/>
    <w:rsid w:val="00F44FD3"/>
    <w:rsid w:val="00F44FFC"/>
    <w:rsid w:val="00F45222"/>
    <w:rsid w:val="00F4630C"/>
    <w:rsid w:val="00F4697E"/>
    <w:rsid w:val="00F46C98"/>
    <w:rsid w:val="00F46F18"/>
    <w:rsid w:val="00F4708D"/>
    <w:rsid w:val="00F4718E"/>
    <w:rsid w:val="00F475D6"/>
    <w:rsid w:val="00F5026D"/>
    <w:rsid w:val="00F50296"/>
    <w:rsid w:val="00F50B02"/>
    <w:rsid w:val="00F5107F"/>
    <w:rsid w:val="00F516E7"/>
    <w:rsid w:val="00F51C97"/>
    <w:rsid w:val="00F51F27"/>
    <w:rsid w:val="00F52279"/>
    <w:rsid w:val="00F52AA9"/>
    <w:rsid w:val="00F5308B"/>
    <w:rsid w:val="00F531EC"/>
    <w:rsid w:val="00F53244"/>
    <w:rsid w:val="00F5340C"/>
    <w:rsid w:val="00F53672"/>
    <w:rsid w:val="00F539CF"/>
    <w:rsid w:val="00F53D4A"/>
    <w:rsid w:val="00F5443B"/>
    <w:rsid w:val="00F54714"/>
    <w:rsid w:val="00F54716"/>
    <w:rsid w:val="00F5496D"/>
    <w:rsid w:val="00F54A41"/>
    <w:rsid w:val="00F54EE3"/>
    <w:rsid w:val="00F55A1C"/>
    <w:rsid w:val="00F55A44"/>
    <w:rsid w:val="00F564F0"/>
    <w:rsid w:val="00F56630"/>
    <w:rsid w:val="00F5664C"/>
    <w:rsid w:val="00F56A48"/>
    <w:rsid w:val="00F56AD8"/>
    <w:rsid w:val="00F57101"/>
    <w:rsid w:val="00F573E4"/>
    <w:rsid w:val="00F576D8"/>
    <w:rsid w:val="00F609FE"/>
    <w:rsid w:val="00F60B90"/>
    <w:rsid w:val="00F60CEB"/>
    <w:rsid w:val="00F61234"/>
    <w:rsid w:val="00F61248"/>
    <w:rsid w:val="00F616C3"/>
    <w:rsid w:val="00F61850"/>
    <w:rsid w:val="00F61EFF"/>
    <w:rsid w:val="00F628A4"/>
    <w:rsid w:val="00F62B37"/>
    <w:rsid w:val="00F63AA9"/>
    <w:rsid w:val="00F63E66"/>
    <w:rsid w:val="00F642ED"/>
    <w:rsid w:val="00F64330"/>
    <w:rsid w:val="00F6482A"/>
    <w:rsid w:val="00F653F5"/>
    <w:rsid w:val="00F656BE"/>
    <w:rsid w:val="00F656DB"/>
    <w:rsid w:val="00F65A6F"/>
    <w:rsid w:val="00F65F0E"/>
    <w:rsid w:val="00F665D4"/>
    <w:rsid w:val="00F665F5"/>
    <w:rsid w:val="00F66754"/>
    <w:rsid w:val="00F667EE"/>
    <w:rsid w:val="00F66CAC"/>
    <w:rsid w:val="00F66D63"/>
    <w:rsid w:val="00F66E44"/>
    <w:rsid w:val="00F671D4"/>
    <w:rsid w:val="00F6728F"/>
    <w:rsid w:val="00F67861"/>
    <w:rsid w:val="00F67964"/>
    <w:rsid w:val="00F67CED"/>
    <w:rsid w:val="00F67FA7"/>
    <w:rsid w:val="00F706BF"/>
    <w:rsid w:val="00F707FD"/>
    <w:rsid w:val="00F70A70"/>
    <w:rsid w:val="00F710A8"/>
    <w:rsid w:val="00F7126E"/>
    <w:rsid w:val="00F712ED"/>
    <w:rsid w:val="00F718DE"/>
    <w:rsid w:val="00F71BC7"/>
    <w:rsid w:val="00F721E5"/>
    <w:rsid w:val="00F72663"/>
    <w:rsid w:val="00F72692"/>
    <w:rsid w:val="00F7365C"/>
    <w:rsid w:val="00F73895"/>
    <w:rsid w:val="00F73991"/>
    <w:rsid w:val="00F73CC1"/>
    <w:rsid w:val="00F7426C"/>
    <w:rsid w:val="00F7470C"/>
    <w:rsid w:val="00F74D94"/>
    <w:rsid w:val="00F7543E"/>
    <w:rsid w:val="00F75980"/>
    <w:rsid w:val="00F75D78"/>
    <w:rsid w:val="00F76084"/>
    <w:rsid w:val="00F76502"/>
    <w:rsid w:val="00F766AB"/>
    <w:rsid w:val="00F76B21"/>
    <w:rsid w:val="00F76C53"/>
    <w:rsid w:val="00F76EBC"/>
    <w:rsid w:val="00F76FD2"/>
    <w:rsid w:val="00F77458"/>
    <w:rsid w:val="00F77564"/>
    <w:rsid w:val="00F807F4"/>
    <w:rsid w:val="00F80803"/>
    <w:rsid w:val="00F80FFD"/>
    <w:rsid w:val="00F8106E"/>
    <w:rsid w:val="00F81ACD"/>
    <w:rsid w:val="00F81E26"/>
    <w:rsid w:val="00F820FD"/>
    <w:rsid w:val="00F82864"/>
    <w:rsid w:val="00F82B2C"/>
    <w:rsid w:val="00F82D21"/>
    <w:rsid w:val="00F82D89"/>
    <w:rsid w:val="00F83024"/>
    <w:rsid w:val="00F8356B"/>
    <w:rsid w:val="00F83A73"/>
    <w:rsid w:val="00F83B0E"/>
    <w:rsid w:val="00F83B9E"/>
    <w:rsid w:val="00F83FB0"/>
    <w:rsid w:val="00F847D7"/>
    <w:rsid w:val="00F84D00"/>
    <w:rsid w:val="00F84FD5"/>
    <w:rsid w:val="00F85532"/>
    <w:rsid w:val="00F85E97"/>
    <w:rsid w:val="00F868D5"/>
    <w:rsid w:val="00F86C77"/>
    <w:rsid w:val="00F87534"/>
    <w:rsid w:val="00F87549"/>
    <w:rsid w:val="00F8772D"/>
    <w:rsid w:val="00F8784A"/>
    <w:rsid w:val="00F878B2"/>
    <w:rsid w:val="00F879DB"/>
    <w:rsid w:val="00F87B57"/>
    <w:rsid w:val="00F87EC1"/>
    <w:rsid w:val="00F901D6"/>
    <w:rsid w:val="00F9076D"/>
    <w:rsid w:val="00F90B43"/>
    <w:rsid w:val="00F91488"/>
    <w:rsid w:val="00F914C8"/>
    <w:rsid w:val="00F916D0"/>
    <w:rsid w:val="00F9170F"/>
    <w:rsid w:val="00F918D0"/>
    <w:rsid w:val="00F9215C"/>
    <w:rsid w:val="00F9219B"/>
    <w:rsid w:val="00F92446"/>
    <w:rsid w:val="00F926BC"/>
    <w:rsid w:val="00F9290F"/>
    <w:rsid w:val="00F92DCC"/>
    <w:rsid w:val="00F93183"/>
    <w:rsid w:val="00F9472A"/>
    <w:rsid w:val="00F94965"/>
    <w:rsid w:val="00F94C12"/>
    <w:rsid w:val="00F94EE1"/>
    <w:rsid w:val="00F96D04"/>
    <w:rsid w:val="00F96DB8"/>
    <w:rsid w:val="00F97767"/>
    <w:rsid w:val="00F97875"/>
    <w:rsid w:val="00F9788D"/>
    <w:rsid w:val="00F97A83"/>
    <w:rsid w:val="00FA00C2"/>
    <w:rsid w:val="00FA02B7"/>
    <w:rsid w:val="00FA0411"/>
    <w:rsid w:val="00FA07F7"/>
    <w:rsid w:val="00FA088D"/>
    <w:rsid w:val="00FA0C44"/>
    <w:rsid w:val="00FA1451"/>
    <w:rsid w:val="00FA16E0"/>
    <w:rsid w:val="00FA172F"/>
    <w:rsid w:val="00FA1F5B"/>
    <w:rsid w:val="00FA20C5"/>
    <w:rsid w:val="00FA274D"/>
    <w:rsid w:val="00FA27D8"/>
    <w:rsid w:val="00FA2CA1"/>
    <w:rsid w:val="00FA2F6B"/>
    <w:rsid w:val="00FA35E9"/>
    <w:rsid w:val="00FA3893"/>
    <w:rsid w:val="00FA3D00"/>
    <w:rsid w:val="00FA40DC"/>
    <w:rsid w:val="00FA44D8"/>
    <w:rsid w:val="00FA5207"/>
    <w:rsid w:val="00FA52DF"/>
    <w:rsid w:val="00FA5BC0"/>
    <w:rsid w:val="00FA608B"/>
    <w:rsid w:val="00FA65B0"/>
    <w:rsid w:val="00FA6660"/>
    <w:rsid w:val="00FA68B8"/>
    <w:rsid w:val="00FA6D77"/>
    <w:rsid w:val="00FA6ED8"/>
    <w:rsid w:val="00FA6F77"/>
    <w:rsid w:val="00FA7B84"/>
    <w:rsid w:val="00FA7F94"/>
    <w:rsid w:val="00FB05C7"/>
    <w:rsid w:val="00FB062A"/>
    <w:rsid w:val="00FB0E05"/>
    <w:rsid w:val="00FB0E94"/>
    <w:rsid w:val="00FB1907"/>
    <w:rsid w:val="00FB3355"/>
    <w:rsid w:val="00FB3F5E"/>
    <w:rsid w:val="00FB40B2"/>
    <w:rsid w:val="00FB4169"/>
    <w:rsid w:val="00FB57FC"/>
    <w:rsid w:val="00FB5CB0"/>
    <w:rsid w:val="00FB5D62"/>
    <w:rsid w:val="00FB63B7"/>
    <w:rsid w:val="00FB6CD1"/>
    <w:rsid w:val="00FB7306"/>
    <w:rsid w:val="00FC0139"/>
    <w:rsid w:val="00FC03CE"/>
    <w:rsid w:val="00FC03CF"/>
    <w:rsid w:val="00FC1593"/>
    <w:rsid w:val="00FC1628"/>
    <w:rsid w:val="00FC1EB8"/>
    <w:rsid w:val="00FC2243"/>
    <w:rsid w:val="00FC2C53"/>
    <w:rsid w:val="00FC3D89"/>
    <w:rsid w:val="00FC423A"/>
    <w:rsid w:val="00FC42F7"/>
    <w:rsid w:val="00FC45D1"/>
    <w:rsid w:val="00FC460A"/>
    <w:rsid w:val="00FC5214"/>
    <w:rsid w:val="00FC52CE"/>
    <w:rsid w:val="00FC5469"/>
    <w:rsid w:val="00FC58DF"/>
    <w:rsid w:val="00FC5F2B"/>
    <w:rsid w:val="00FC6059"/>
    <w:rsid w:val="00FC62F7"/>
    <w:rsid w:val="00FC65A9"/>
    <w:rsid w:val="00FC6CC3"/>
    <w:rsid w:val="00FC6D97"/>
    <w:rsid w:val="00FC702B"/>
    <w:rsid w:val="00FC784D"/>
    <w:rsid w:val="00FC78FD"/>
    <w:rsid w:val="00FC7D7C"/>
    <w:rsid w:val="00FD02D1"/>
    <w:rsid w:val="00FD074F"/>
    <w:rsid w:val="00FD0AEB"/>
    <w:rsid w:val="00FD0E3D"/>
    <w:rsid w:val="00FD12A5"/>
    <w:rsid w:val="00FD12F4"/>
    <w:rsid w:val="00FD14A2"/>
    <w:rsid w:val="00FD17CB"/>
    <w:rsid w:val="00FD1F1D"/>
    <w:rsid w:val="00FD2252"/>
    <w:rsid w:val="00FD320A"/>
    <w:rsid w:val="00FD328A"/>
    <w:rsid w:val="00FD371E"/>
    <w:rsid w:val="00FD3827"/>
    <w:rsid w:val="00FD3B4A"/>
    <w:rsid w:val="00FD4B00"/>
    <w:rsid w:val="00FD4BE4"/>
    <w:rsid w:val="00FD4C2F"/>
    <w:rsid w:val="00FD637C"/>
    <w:rsid w:val="00FD6609"/>
    <w:rsid w:val="00FD6636"/>
    <w:rsid w:val="00FD6B5C"/>
    <w:rsid w:val="00FD72A1"/>
    <w:rsid w:val="00FE03CC"/>
    <w:rsid w:val="00FE05D3"/>
    <w:rsid w:val="00FE064E"/>
    <w:rsid w:val="00FE0D50"/>
    <w:rsid w:val="00FE10B4"/>
    <w:rsid w:val="00FE1456"/>
    <w:rsid w:val="00FE16DC"/>
    <w:rsid w:val="00FE1827"/>
    <w:rsid w:val="00FE1BEA"/>
    <w:rsid w:val="00FE206E"/>
    <w:rsid w:val="00FE2AF9"/>
    <w:rsid w:val="00FE2CD0"/>
    <w:rsid w:val="00FE3905"/>
    <w:rsid w:val="00FE3FE9"/>
    <w:rsid w:val="00FE4092"/>
    <w:rsid w:val="00FE4724"/>
    <w:rsid w:val="00FE56D3"/>
    <w:rsid w:val="00FE5736"/>
    <w:rsid w:val="00FE5F36"/>
    <w:rsid w:val="00FE64E1"/>
    <w:rsid w:val="00FE6B28"/>
    <w:rsid w:val="00FE6CCC"/>
    <w:rsid w:val="00FE6DF9"/>
    <w:rsid w:val="00FE7921"/>
    <w:rsid w:val="00FE792A"/>
    <w:rsid w:val="00FF0B70"/>
    <w:rsid w:val="00FF0D8F"/>
    <w:rsid w:val="00FF12F0"/>
    <w:rsid w:val="00FF167F"/>
    <w:rsid w:val="00FF1E7E"/>
    <w:rsid w:val="00FF227F"/>
    <w:rsid w:val="00FF26BC"/>
    <w:rsid w:val="00FF272C"/>
    <w:rsid w:val="00FF334E"/>
    <w:rsid w:val="00FF34A6"/>
    <w:rsid w:val="00FF34A8"/>
    <w:rsid w:val="00FF3A6E"/>
    <w:rsid w:val="00FF3CA5"/>
    <w:rsid w:val="00FF4105"/>
    <w:rsid w:val="00FF4458"/>
    <w:rsid w:val="00FF4B2E"/>
    <w:rsid w:val="00FF4F77"/>
    <w:rsid w:val="00FF53CC"/>
    <w:rsid w:val="00FF5893"/>
    <w:rsid w:val="00FF5EA6"/>
    <w:rsid w:val="00FF729C"/>
    <w:rsid w:val="00FF7562"/>
    <w:rsid w:val="00FF771C"/>
    <w:rsid w:val="00FF78DF"/>
    <w:rsid w:val="00FF7F9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886CC2F"/>
  <w15:docId w15:val="{77D24265-45F1-4616-AEC2-B9E8E1679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10" w:qFormat="1"/>
    <w:lsdException w:name="heading 6" w:semiHidden="1" w:uiPriority="11"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CA1"/>
    <w:pPr>
      <w:spacing w:before="120" w:after="120" w:line="360" w:lineRule="auto"/>
      <w:jc w:val="both"/>
    </w:pPr>
    <w:rPr>
      <w:rFonts w:ascii="Century Gothic" w:eastAsia="Times New Roman" w:hAnsi="Century Gothic" w:cs="Times New Roman"/>
      <w:color w:val="000000"/>
      <w:kern w:val="28"/>
      <w:szCs w:val="20"/>
    </w:rPr>
  </w:style>
  <w:style w:type="paragraph" w:styleId="Heading1">
    <w:name w:val="heading 1"/>
    <w:aliases w:val="H1"/>
    <w:basedOn w:val="Normal"/>
    <w:next w:val="Normal"/>
    <w:link w:val="Heading1Char"/>
    <w:uiPriority w:val="9"/>
    <w:qFormat/>
    <w:rsid w:val="008E6DED"/>
    <w:pPr>
      <w:keepNext/>
      <w:keepLines/>
      <w:numPr>
        <w:numId w:val="4"/>
      </w:numPr>
      <w:spacing w:after="240"/>
      <w:jc w:val="left"/>
      <w:outlineLvl w:val="0"/>
    </w:pPr>
    <w:rPr>
      <w:rFonts w:eastAsiaTheme="majorEastAsia" w:cstheme="majorBidi"/>
      <w:b/>
      <w:bCs/>
      <w:caps/>
      <w:color w:val="1F497D" w:themeColor="text2"/>
      <w:sz w:val="32"/>
      <w:szCs w:val="28"/>
    </w:rPr>
  </w:style>
  <w:style w:type="paragraph" w:styleId="Heading2">
    <w:name w:val="heading 2"/>
    <w:aliases w:val="H2"/>
    <w:basedOn w:val="Normal"/>
    <w:next w:val="Normal"/>
    <w:link w:val="Heading2Char"/>
    <w:uiPriority w:val="9"/>
    <w:qFormat/>
    <w:rsid w:val="006B75F1"/>
    <w:pPr>
      <w:keepNext/>
      <w:keepLines/>
      <w:numPr>
        <w:ilvl w:val="1"/>
        <w:numId w:val="4"/>
      </w:numPr>
      <w:spacing w:before="360"/>
      <w:ind w:left="851"/>
      <w:outlineLvl w:val="1"/>
    </w:pPr>
    <w:rPr>
      <w:rFonts w:eastAsiaTheme="majorEastAsia" w:cstheme="majorBidi"/>
      <w:b/>
      <w:bCs/>
      <w:color w:val="1F497D" w:themeColor="text2"/>
      <w:sz w:val="26"/>
      <w:szCs w:val="26"/>
    </w:rPr>
  </w:style>
  <w:style w:type="paragraph" w:styleId="Heading3">
    <w:name w:val="heading 3"/>
    <w:aliases w:val="H3"/>
    <w:basedOn w:val="Normal"/>
    <w:next w:val="Normal"/>
    <w:link w:val="Heading3Char"/>
    <w:uiPriority w:val="9"/>
    <w:qFormat/>
    <w:rsid w:val="001F6AE7"/>
    <w:pPr>
      <w:keepNext/>
      <w:keepLines/>
      <w:spacing w:before="240"/>
      <w:outlineLvl w:val="2"/>
    </w:pPr>
    <w:rPr>
      <w:rFonts w:eastAsiaTheme="majorEastAsia" w:cstheme="majorBidi"/>
      <w:b/>
      <w:bCs/>
      <w:i/>
      <w:color w:val="1F497D" w:themeColor="text2"/>
      <w:sz w:val="24"/>
    </w:rPr>
  </w:style>
  <w:style w:type="paragraph" w:styleId="Heading4">
    <w:name w:val="heading 4"/>
    <w:aliases w:val="H4"/>
    <w:basedOn w:val="Normal"/>
    <w:next w:val="Normal"/>
    <w:link w:val="Heading4Char"/>
    <w:uiPriority w:val="9"/>
    <w:qFormat/>
    <w:rsid w:val="005D5D49"/>
    <w:pPr>
      <w:keepNext/>
      <w:keepLines/>
      <w:numPr>
        <w:ilvl w:val="3"/>
        <w:numId w:val="4"/>
      </w:numPr>
      <w:spacing w:before="160"/>
      <w:ind w:left="0"/>
      <w:outlineLvl w:val="3"/>
    </w:pPr>
    <w:rPr>
      <w:rFonts w:eastAsiaTheme="majorEastAsia" w:cstheme="majorBidi"/>
      <w:bCs/>
      <w:i/>
      <w:iCs/>
      <w:color w:val="auto"/>
      <w:sz w:val="24"/>
      <w:u w:val="single"/>
    </w:rPr>
  </w:style>
  <w:style w:type="paragraph" w:styleId="Heading5">
    <w:name w:val="heading 5"/>
    <w:aliases w:val="H5"/>
    <w:basedOn w:val="Normal"/>
    <w:next w:val="Normal"/>
    <w:link w:val="Heading5Char"/>
    <w:uiPriority w:val="10"/>
    <w:qFormat/>
    <w:rsid w:val="00835E4C"/>
    <w:pPr>
      <w:keepNext/>
      <w:keepLines/>
      <w:numPr>
        <w:ilvl w:val="4"/>
        <w:numId w:val="4"/>
      </w:numPr>
      <w:spacing w:before="200" w:after="0"/>
      <w:ind w:left="0"/>
      <w:outlineLvl w:val="4"/>
    </w:pPr>
    <w:rPr>
      <w:rFonts w:eastAsiaTheme="majorEastAsia" w:cstheme="majorBidi"/>
      <w:color w:val="243F60" w:themeColor="accent1" w:themeShade="7F"/>
    </w:rPr>
  </w:style>
  <w:style w:type="paragraph" w:styleId="Heading6">
    <w:name w:val="heading 6"/>
    <w:aliases w:val="H6"/>
    <w:basedOn w:val="Normal"/>
    <w:next w:val="Normal"/>
    <w:link w:val="Heading6Char"/>
    <w:uiPriority w:val="11"/>
    <w:semiHidden/>
    <w:unhideWhenUsed/>
    <w:qFormat/>
    <w:rsid w:val="00835E4C"/>
    <w:pPr>
      <w:keepNext/>
      <w:keepLines/>
      <w:numPr>
        <w:ilvl w:val="5"/>
        <w:numId w:val="4"/>
      </w:numPr>
      <w:spacing w:before="200" w:after="0"/>
      <w:ind w:left="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C715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link w:val="ListParagraphChar"/>
    <w:uiPriority w:val="34"/>
    <w:unhideWhenUsed/>
    <w:qFormat/>
    <w:rsid w:val="007D6129"/>
    <w:pPr>
      <w:numPr>
        <w:numId w:val="6"/>
      </w:numPr>
    </w:pPr>
    <w:rPr>
      <w:lang w:eastAsia="en-AU"/>
    </w:rPr>
  </w:style>
  <w:style w:type="character" w:customStyle="1" w:styleId="Heading1Char">
    <w:name w:val="Heading 1 Char"/>
    <w:aliases w:val="H1 Char"/>
    <w:basedOn w:val="DefaultParagraphFont"/>
    <w:link w:val="Heading1"/>
    <w:uiPriority w:val="9"/>
    <w:rsid w:val="008E6DED"/>
    <w:rPr>
      <w:rFonts w:ascii="Century Gothic" w:eastAsiaTheme="majorEastAsia" w:hAnsi="Century Gothic" w:cstheme="majorBidi"/>
      <w:b/>
      <w:bCs/>
      <w:caps/>
      <w:color w:val="1F497D" w:themeColor="text2"/>
      <w:kern w:val="28"/>
      <w:sz w:val="32"/>
      <w:szCs w:val="28"/>
    </w:rPr>
  </w:style>
  <w:style w:type="character" w:customStyle="1" w:styleId="Heading2Char">
    <w:name w:val="Heading 2 Char"/>
    <w:aliases w:val="H2 Char"/>
    <w:basedOn w:val="DefaultParagraphFont"/>
    <w:link w:val="Heading2"/>
    <w:uiPriority w:val="9"/>
    <w:rsid w:val="006B75F1"/>
    <w:rPr>
      <w:rFonts w:ascii="Century Gothic" w:eastAsiaTheme="majorEastAsia" w:hAnsi="Century Gothic" w:cstheme="majorBidi"/>
      <w:b/>
      <w:bCs/>
      <w:color w:val="1F497D" w:themeColor="text2"/>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9"/>
    <w:rsid w:val="001F6AE7"/>
    <w:rPr>
      <w:rFonts w:ascii="Century Gothic" w:eastAsiaTheme="majorEastAsia" w:hAnsi="Century Gothic" w:cstheme="majorBidi"/>
      <w:b/>
      <w:bCs/>
      <w:i/>
      <w:color w:val="1F497D" w:themeColor="text2"/>
      <w:kern w:val="28"/>
      <w:sz w:val="24"/>
      <w:szCs w:val="20"/>
    </w:rPr>
  </w:style>
  <w:style w:type="character" w:customStyle="1" w:styleId="Heading4Char">
    <w:name w:val="Heading 4 Char"/>
    <w:aliases w:val="H4 Char"/>
    <w:basedOn w:val="DefaultParagraphFont"/>
    <w:link w:val="Heading4"/>
    <w:uiPriority w:val="9"/>
    <w:rsid w:val="005D5D49"/>
    <w:rPr>
      <w:rFonts w:ascii="Century Gothic" w:eastAsiaTheme="majorEastAsia" w:hAnsi="Century Gothic" w:cstheme="majorBidi"/>
      <w:bCs/>
      <w:i/>
      <w:iCs/>
      <w:kern w:val="28"/>
      <w:sz w:val="24"/>
      <w:szCs w:val="20"/>
      <w:u w:val="single"/>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rsid w:val="002667B2"/>
    <w:pPr>
      <w:spacing w:after="100"/>
    </w:pPr>
    <w:rPr>
      <w:b/>
      <w:caps/>
    </w:rPr>
  </w:style>
  <w:style w:type="paragraph" w:styleId="TOC2">
    <w:name w:val="toc 2"/>
    <w:basedOn w:val="Normal"/>
    <w:next w:val="Normal"/>
    <w:autoRedefine/>
    <w:uiPriority w:val="39"/>
    <w:unhideWhenUsed/>
    <w:rsid w:val="002667B2"/>
    <w:pPr>
      <w:tabs>
        <w:tab w:val="left" w:pos="660"/>
        <w:tab w:val="right" w:leader="dot" w:pos="9010"/>
      </w:tabs>
      <w:spacing w:after="100"/>
      <w:contextualSpacing/>
    </w:pPr>
    <w:rPr>
      <w:noProof/>
    </w:rPr>
  </w:style>
  <w:style w:type="paragraph" w:styleId="TOC3">
    <w:name w:val="toc 3"/>
    <w:basedOn w:val="Normal"/>
    <w:next w:val="Normal"/>
    <w:autoRedefine/>
    <w:uiPriority w:val="39"/>
    <w:unhideWhenUsed/>
    <w:rsid w:val="002667B2"/>
    <w:pPr>
      <w:tabs>
        <w:tab w:val="left" w:pos="660"/>
        <w:tab w:val="right" w:leader="dot" w:pos="9010"/>
      </w:tabs>
      <w:spacing w:before="60" w:after="60"/>
    </w:pPr>
    <w:rPr>
      <w:i/>
    </w:rPr>
  </w:style>
  <w:style w:type="paragraph" w:styleId="Header">
    <w:name w:val="header"/>
    <w:basedOn w:val="Normal"/>
    <w:link w:val="HeaderChar"/>
    <w:uiPriority w:val="99"/>
    <w:unhideWhenUsed/>
    <w:rsid w:val="00E66522"/>
    <w:pPr>
      <w:tabs>
        <w:tab w:val="center" w:pos="4513"/>
        <w:tab w:val="right" w:pos="9026"/>
      </w:tabs>
    </w:pPr>
  </w:style>
  <w:style w:type="character" w:customStyle="1" w:styleId="HeaderChar">
    <w:name w:val="Header Char"/>
    <w:basedOn w:val="DefaultParagraphFont"/>
    <w:link w:val="Header"/>
    <w:uiPriority w:val="99"/>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2E4C58"/>
    <w:pPr>
      <w:spacing w:after="960"/>
    </w:pPr>
    <w:rPr>
      <w:rFonts w:cs="Arial"/>
      <w:b/>
      <w:color w:val="0070C0"/>
      <w:sz w:val="40"/>
      <w:szCs w:val="43"/>
    </w:rPr>
  </w:style>
  <w:style w:type="character" w:customStyle="1" w:styleId="TitleChar">
    <w:name w:val="Title Char"/>
    <w:basedOn w:val="DefaultParagraphFont"/>
    <w:link w:val="Title"/>
    <w:uiPriority w:val="17"/>
    <w:rsid w:val="00325C6C"/>
    <w:rPr>
      <w:rFonts w:eastAsia="Times New Roman" w:cs="Arial"/>
      <w:b/>
      <w:color w:val="0070C0"/>
      <w:kern w:val="28"/>
      <w:sz w:val="40"/>
      <w:szCs w:val="43"/>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10"/>
    <w:rsid w:val="00835E4C"/>
    <w:rPr>
      <w:rFonts w:ascii="Century Gothic" w:eastAsiaTheme="majorEastAsia" w:hAnsi="Century Gothic" w:cstheme="majorBidi"/>
      <w:color w:val="243F60" w:themeColor="accent1" w:themeShade="7F"/>
      <w:kern w:val="28"/>
      <w:szCs w:val="20"/>
    </w:rPr>
  </w:style>
  <w:style w:type="paragraph" w:customStyle="1" w:styleId="TableHeading">
    <w:name w:val="TableHeading"/>
    <w:basedOn w:val="Normal"/>
    <w:uiPriority w:val="13"/>
    <w:qFormat/>
    <w:rsid w:val="008A7C61"/>
    <w:rPr>
      <w:rFonts w:cs="Arial"/>
      <w:b/>
      <w:sz w:val="20"/>
      <w:szCs w:val="22"/>
    </w:rPr>
  </w:style>
  <w:style w:type="paragraph" w:customStyle="1" w:styleId="TableText">
    <w:name w:val="TableText"/>
    <w:basedOn w:val="Normal"/>
    <w:next w:val="Normal"/>
    <w:link w:val="TableTextChar"/>
    <w:uiPriority w:val="14"/>
    <w:qFormat/>
    <w:rsid w:val="008A7C61"/>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22"/>
    <w:qFormat/>
    <w:rsid w:val="00F60CEB"/>
    <w:rPr>
      <w:b/>
      <w:bCs/>
    </w:rPr>
  </w:style>
  <w:style w:type="paragraph" w:customStyle="1" w:styleId="PrelimHeadings">
    <w:name w:val="PrelimHeadings"/>
    <w:basedOn w:val="Normal"/>
    <w:next w:val="Normal"/>
    <w:uiPriority w:val="99"/>
    <w:rsid w:val="00F60CEB"/>
    <w:rPr>
      <w:rFonts w:cs="Arial"/>
      <w:b/>
      <w:szCs w:val="22"/>
    </w:rPr>
  </w:style>
  <w:style w:type="paragraph" w:customStyle="1" w:styleId="PrelimText">
    <w:name w:val="PrelimText"/>
    <w:basedOn w:val="Normal"/>
    <w:uiPriority w:val="99"/>
    <w:rsid w:val="00F60CEB"/>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6D31DC"/>
    <w:rPr>
      <w:rFonts w:ascii="Arial Bold" w:hAnsi="Arial Bold"/>
      <w:color w:val="0070C0"/>
      <w:sz w:val="36"/>
    </w:rPr>
  </w:style>
  <w:style w:type="paragraph" w:customStyle="1" w:styleId="Authors">
    <w:name w:val="Authors"/>
    <w:basedOn w:val="Normal"/>
    <w:uiPriority w:val="19"/>
    <w:qFormat/>
    <w:rsid w:val="002E4C58"/>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CF6C3C"/>
    <w:pPr>
      <w:keepLines w:val="0"/>
      <w:numPr>
        <w:numId w:val="0"/>
      </w:numPr>
      <w:spacing w:before="0"/>
      <w:outlineLvl w:val="9"/>
    </w:pPr>
    <w:rPr>
      <w:rFonts w:eastAsia="Times New Roman" w:cs="Arial"/>
      <w:color w:val="000000"/>
      <w:spacing w:val="40"/>
      <w:szCs w:val="32"/>
      <w:lang w:eastAsia="en-AU"/>
    </w:rPr>
  </w:style>
  <w:style w:type="paragraph" w:customStyle="1" w:styleId="Heading3a">
    <w:name w:val="Heading 3a"/>
    <w:basedOn w:val="Heading3"/>
    <w:next w:val="Normal"/>
    <w:uiPriority w:val="8"/>
    <w:rsid w:val="003270BB"/>
    <w:pPr>
      <w:keepLines w:val="0"/>
      <w:spacing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A75DAE"/>
    <w:pPr>
      <w:tabs>
        <w:tab w:val="left" w:pos="1080"/>
        <w:tab w:val="right" w:leader="dot" w:pos="9000"/>
      </w:tabs>
      <w:ind w:left="964" w:hanging="964"/>
    </w:pPr>
    <w:rPr>
      <w:kern w:val="0"/>
      <w:lang w:eastAsia="en-AU"/>
    </w:rPr>
  </w:style>
  <w:style w:type="paragraph" w:styleId="ListBullet">
    <w:name w:val="List Bullet"/>
    <w:basedOn w:val="ListParagraph"/>
    <w:uiPriority w:val="22"/>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274897"/>
    <w:rPr>
      <w:b/>
      <w:color w:val="0070C0"/>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11"/>
    <w:semiHidden/>
    <w:rsid w:val="00835E4C"/>
    <w:rPr>
      <w:rFonts w:asciiTheme="majorHAnsi" w:eastAsiaTheme="majorEastAsia" w:hAnsiTheme="majorHAnsi" w:cstheme="majorBidi"/>
      <w:i/>
      <w:iCs/>
      <w:color w:val="243F60" w:themeColor="accent1" w:themeShade="7F"/>
      <w:kern w:val="28"/>
      <w:szCs w:val="20"/>
    </w:rPr>
  </w:style>
  <w:style w:type="character" w:customStyle="1" w:styleId="Heading7Char">
    <w:name w:val="Heading 7 Char"/>
    <w:basedOn w:val="DefaultParagraphFont"/>
    <w:link w:val="Heading7"/>
    <w:uiPriority w:val="9"/>
    <w:semiHidden/>
    <w:rsid w:val="001C7157"/>
    <w:rPr>
      <w:rFonts w:asciiTheme="majorHAnsi" w:eastAsiaTheme="majorEastAsia" w:hAnsiTheme="majorHAnsi" w:cstheme="majorBidi"/>
      <w:i/>
      <w:iCs/>
      <w:color w:val="404040" w:themeColor="text1" w:themeTint="BF"/>
      <w:kern w:val="28"/>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aliases w:val="CaptionTable,CaptionTable Char,Centered Char,Caption Char1,Centered Char Char,Centered,Figures"/>
    <w:basedOn w:val="Normal"/>
    <w:next w:val="Normal"/>
    <w:link w:val="CaptionChar"/>
    <w:uiPriority w:val="35"/>
    <w:unhideWhenUsed/>
    <w:qFormat/>
    <w:rsid w:val="003175A6"/>
    <w:pPr>
      <w:spacing w:after="200" w:line="240" w:lineRule="auto"/>
    </w:pPr>
    <w:rPr>
      <w:b/>
      <w:bCs/>
      <w:color w:val="auto"/>
      <w:sz w:val="20"/>
      <w:szCs w:val="18"/>
    </w:rPr>
  </w:style>
  <w:style w:type="paragraph" w:styleId="FootnoteText">
    <w:name w:val="footnote text"/>
    <w:basedOn w:val="Normal"/>
    <w:link w:val="FootnoteTextChar"/>
    <w:uiPriority w:val="99"/>
    <w:semiHidden/>
    <w:unhideWhenUsed/>
    <w:rsid w:val="009B6A4E"/>
    <w:pPr>
      <w:spacing w:after="0"/>
    </w:pPr>
    <w:rPr>
      <w:sz w:val="24"/>
      <w:szCs w:val="24"/>
    </w:rPr>
  </w:style>
  <w:style w:type="character" w:customStyle="1" w:styleId="FootnoteTextChar">
    <w:name w:val="Footnote Text Char"/>
    <w:basedOn w:val="DefaultParagraphFont"/>
    <w:link w:val="FootnoteText"/>
    <w:uiPriority w:val="99"/>
    <w:semiHidden/>
    <w:rsid w:val="009B6A4E"/>
    <w:rPr>
      <w:rFonts w:eastAsia="Times New Roman" w:cs="Times New Roman"/>
      <w:color w:val="000000"/>
      <w:kern w:val="28"/>
      <w:sz w:val="24"/>
      <w:szCs w:val="24"/>
    </w:rPr>
  </w:style>
  <w:style w:type="character" w:styleId="FootnoteReference">
    <w:name w:val="footnote reference"/>
    <w:uiPriority w:val="99"/>
    <w:unhideWhenUsed/>
    <w:rsid w:val="009B6A4E"/>
    <w:rPr>
      <w:vertAlign w:val="superscript"/>
    </w:rPr>
  </w:style>
  <w:style w:type="character" w:styleId="FollowedHyperlink">
    <w:name w:val="FollowedHyperlink"/>
    <w:basedOn w:val="DefaultParagraphFont"/>
    <w:uiPriority w:val="99"/>
    <w:semiHidden/>
    <w:unhideWhenUsed/>
    <w:rsid w:val="00CE3C4A"/>
    <w:rPr>
      <w:color w:val="800080" w:themeColor="followedHyperlink"/>
      <w:u w:val="single"/>
    </w:rPr>
  </w:style>
  <w:style w:type="paragraph" w:styleId="DocumentMap">
    <w:name w:val="Document Map"/>
    <w:basedOn w:val="Normal"/>
    <w:link w:val="DocumentMapChar"/>
    <w:uiPriority w:val="99"/>
    <w:semiHidden/>
    <w:unhideWhenUsed/>
    <w:rsid w:val="0054776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776C"/>
    <w:rPr>
      <w:rFonts w:ascii="Tahoma" w:eastAsia="Times New Roman" w:hAnsi="Tahoma" w:cs="Tahoma"/>
      <w:color w:val="000000"/>
      <w:kern w:val="28"/>
      <w:sz w:val="16"/>
      <w:szCs w:val="16"/>
    </w:rPr>
  </w:style>
  <w:style w:type="table" w:styleId="TableGrid">
    <w:name w:val="Table Grid"/>
    <w:basedOn w:val="TableNormal"/>
    <w:uiPriority w:val="39"/>
    <w:rsid w:val="0038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Heading2"/>
    <w:next w:val="Normal"/>
    <w:link w:val="SubtitleChar"/>
    <w:uiPriority w:val="11"/>
    <w:qFormat/>
    <w:rsid w:val="00231558"/>
    <w:pPr>
      <w:numPr>
        <w:ilvl w:val="0"/>
        <w:numId w:val="0"/>
      </w:numPr>
      <w:spacing w:before="200" w:after="0"/>
      <w:jc w:val="center"/>
    </w:pPr>
    <w:rPr>
      <w:kern w:val="0"/>
      <w:sz w:val="28"/>
    </w:rPr>
  </w:style>
  <w:style w:type="character" w:customStyle="1" w:styleId="SubtitleChar">
    <w:name w:val="Subtitle Char"/>
    <w:basedOn w:val="DefaultParagraphFont"/>
    <w:link w:val="Subtitle"/>
    <w:uiPriority w:val="11"/>
    <w:rsid w:val="00231558"/>
    <w:rPr>
      <w:rFonts w:ascii="Century Gothic" w:eastAsiaTheme="majorEastAsia" w:hAnsi="Century Gothic" w:cstheme="majorBidi"/>
      <w:b/>
      <w:bCs/>
      <w:color w:val="1F497D" w:themeColor="text2"/>
      <w:sz w:val="28"/>
      <w:szCs w:val="26"/>
    </w:rPr>
  </w:style>
  <w:style w:type="character" w:customStyle="1" w:styleId="ListParagraphChar">
    <w:name w:val="List Paragraph Char"/>
    <w:link w:val="ListParagraph"/>
    <w:uiPriority w:val="34"/>
    <w:rsid w:val="007D6129"/>
    <w:rPr>
      <w:rFonts w:ascii="Century Gothic" w:eastAsia="Times New Roman" w:hAnsi="Century Gothic" w:cs="Times New Roman"/>
      <w:color w:val="000000"/>
      <w:kern w:val="28"/>
      <w:szCs w:val="20"/>
      <w:lang w:eastAsia="en-AU"/>
    </w:rPr>
  </w:style>
  <w:style w:type="paragraph" w:customStyle="1" w:styleId="Para0">
    <w:name w:val="Para 0"/>
    <w:basedOn w:val="Normal"/>
    <w:rsid w:val="008C3B72"/>
    <w:pPr>
      <w:spacing w:after="220" w:line="300" w:lineRule="auto"/>
    </w:pPr>
    <w:rPr>
      <w:rFonts w:ascii="Arial" w:hAnsi="Arial"/>
      <w:kern w:val="0"/>
      <w:sz w:val="20"/>
      <w:lang w:val="en-GB"/>
    </w:rPr>
  </w:style>
  <w:style w:type="paragraph" w:customStyle="1" w:styleId="Para0bullet">
    <w:name w:val="Para 0 bullet"/>
    <w:basedOn w:val="Para0"/>
    <w:link w:val="Para0bulletChar"/>
    <w:rsid w:val="00610A43"/>
    <w:pPr>
      <w:numPr>
        <w:numId w:val="5"/>
      </w:numPr>
      <w:spacing w:after="60"/>
    </w:pPr>
  </w:style>
  <w:style w:type="character" w:customStyle="1" w:styleId="Para0bulletChar">
    <w:name w:val="Para 0 bullet Char"/>
    <w:link w:val="Para0bullet"/>
    <w:rsid w:val="00610A43"/>
    <w:rPr>
      <w:rFonts w:ascii="Arial" w:eastAsia="Times New Roman" w:hAnsi="Arial" w:cs="Times New Roman"/>
      <w:color w:val="000000"/>
      <w:sz w:val="20"/>
      <w:szCs w:val="20"/>
      <w:lang w:val="en-GB"/>
    </w:rPr>
  </w:style>
  <w:style w:type="paragraph" w:styleId="Revision">
    <w:name w:val="Revision"/>
    <w:hidden/>
    <w:uiPriority w:val="99"/>
    <w:semiHidden/>
    <w:rsid w:val="00B52631"/>
    <w:pPr>
      <w:spacing w:after="0" w:line="240" w:lineRule="auto"/>
    </w:pPr>
    <w:rPr>
      <w:rFonts w:eastAsia="Times New Roman" w:cs="Times New Roman"/>
      <w:color w:val="000000"/>
      <w:kern w:val="28"/>
      <w:szCs w:val="20"/>
    </w:rPr>
  </w:style>
  <w:style w:type="paragraph" w:customStyle="1" w:styleId="Reporttext">
    <w:name w:val="Report text"/>
    <w:basedOn w:val="Normal"/>
    <w:rsid w:val="00F83A73"/>
    <w:pPr>
      <w:spacing w:after="170" w:line="260" w:lineRule="atLeast"/>
    </w:pPr>
    <w:rPr>
      <w:rFonts w:ascii="Segoe UI" w:eastAsia="MS Mincho" w:hAnsi="Segoe UI"/>
      <w:color w:val="auto"/>
      <w:kern w:val="0"/>
      <w:sz w:val="18"/>
      <w:szCs w:val="18"/>
      <w:lang w:eastAsia="en-AU"/>
    </w:rPr>
  </w:style>
  <w:style w:type="paragraph" w:customStyle="1" w:styleId="EndNoteBibliography">
    <w:name w:val="EndNote Bibliography"/>
    <w:basedOn w:val="Normal"/>
    <w:link w:val="EndNoteBibliographyChar"/>
    <w:rsid w:val="00786ADE"/>
    <w:pPr>
      <w:spacing w:after="200"/>
    </w:pPr>
    <w:rPr>
      <w:rFonts w:ascii="Calibri" w:eastAsiaTheme="minorHAnsi" w:hAnsi="Calibri" w:cs="Calibri"/>
      <w:noProof/>
      <w:color w:val="auto"/>
      <w:kern w:val="0"/>
      <w:szCs w:val="22"/>
      <w:lang w:val="en-US"/>
    </w:rPr>
  </w:style>
  <w:style w:type="character" w:customStyle="1" w:styleId="EndNoteBibliographyChar">
    <w:name w:val="EndNote Bibliography Char"/>
    <w:basedOn w:val="DefaultParagraphFont"/>
    <w:link w:val="EndNoteBibliography"/>
    <w:rsid w:val="00786ADE"/>
    <w:rPr>
      <w:rFonts w:ascii="Calibri" w:hAnsi="Calibri" w:cs="Calibri"/>
      <w:noProof/>
      <w:lang w:val="en-US"/>
    </w:rPr>
  </w:style>
  <w:style w:type="paragraph" w:customStyle="1" w:styleId="BodyText1">
    <w:name w:val="Body Text1"/>
    <w:basedOn w:val="BodyText"/>
    <w:link w:val="BodytextChar0"/>
    <w:rsid w:val="00534849"/>
    <w:pPr>
      <w:spacing w:before="120" w:after="240"/>
      <w:jc w:val="both"/>
    </w:pPr>
    <w:rPr>
      <w:rFonts w:ascii="Arial" w:eastAsia="Calibri" w:hAnsi="Arial"/>
      <w:color w:val="auto"/>
      <w:kern w:val="0"/>
      <w:sz w:val="20"/>
      <w:szCs w:val="20"/>
      <w:lang w:val="en-AU"/>
    </w:rPr>
  </w:style>
  <w:style w:type="character" w:customStyle="1" w:styleId="BodytextChar0">
    <w:name w:val="Body text Char"/>
    <w:basedOn w:val="DefaultParagraphFont"/>
    <w:link w:val="BodyText1"/>
    <w:locked/>
    <w:rsid w:val="00534849"/>
    <w:rPr>
      <w:rFonts w:ascii="Arial" w:eastAsia="Calibri" w:hAnsi="Arial" w:cs="Times New Roman"/>
      <w:sz w:val="20"/>
      <w:szCs w:val="20"/>
    </w:rPr>
  </w:style>
  <w:style w:type="character" w:customStyle="1" w:styleId="CharChar7">
    <w:name w:val="Char Char7"/>
    <w:uiPriority w:val="99"/>
    <w:locked/>
    <w:rsid w:val="00011BE4"/>
    <w:rPr>
      <w:rFonts w:ascii="Frutiger LT Std 45 Light" w:hAnsi="Frutiger LT Std 45 Light" w:cs="Frutiger LT Std 45 Light"/>
      <w:color w:val="548DD4"/>
      <w:spacing w:val="5"/>
      <w:kern w:val="28"/>
      <w:sz w:val="28"/>
      <w:szCs w:val="28"/>
      <w:lang w:val="en-AU" w:eastAsia="en-US" w:bidi="ar-SA"/>
    </w:rPr>
  </w:style>
  <w:style w:type="paragraph" w:styleId="NormalWeb">
    <w:name w:val="Normal (Web)"/>
    <w:basedOn w:val="Normal"/>
    <w:uiPriority w:val="99"/>
    <w:unhideWhenUsed/>
    <w:rsid w:val="002B581A"/>
    <w:pPr>
      <w:spacing w:before="100" w:beforeAutospacing="1" w:after="100" w:afterAutospacing="1"/>
    </w:pPr>
    <w:rPr>
      <w:rFonts w:ascii="Times New Roman" w:hAnsi="Times New Roman"/>
      <w:color w:val="auto"/>
      <w:kern w:val="0"/>
      <w:sz w:val="24"/>
      <w:szCs w:val="24"/>
      <w:lang w:val="en-US"/>
    </w:rPr>
  </w:style>
  <w:style w:type="paragraph" w:customStyle="1" w:styleId="Captions">
    <w:name w:val="Captions"/>
    <w:basedOn w:val="Normal"/>
    <w:next w:val="Normal"/>
    <w:autoRedefine/>
    <w:qFormat/>
    <w:rsid w:val="00B46038"/>
    <w:pPr>
      <w:spacing w:after="240" w:line="240" w:lineRule="auto"/>
    </w:pPr>
    <w:rPr>
      <w:rFonts w:eastAsia="MS Mincho" w:cs="Arial"/>
      <w:b/>
      <w:bCs/>
      <w:color w:val="auto"/>
      <w:kern w:val="0"/>
      <w:sz w:val="20"/>
      <w:lang w:val="en-US"/>
    </w:rPr>
  </w:style>
  <w:style w:type="character" w:customStyle="1" w:styleId="st">
    <w:name w:val="st"/>
    <w:basedOn w:val="DefaultParagraphFont"/>
    <w:rsid w:val="009C5F10"/>
  </w:style>
  <w:style w:type="character" w:customStyle="1" w:styleId="CaptionChar">
    <w:name w:val="Caption Char"/>
    <w:aliases w:val="CaptionTable Char2,CaptionTable Char Char1,Centered Char Char2,Caption Char1 Char1,Centered Char Char Char1,Centered Char2,Figures Char1"/>
    <w:link w:val="Caption"/>
    <w:rsid w:val="003175A6"/>
    <w:rPr>
      <w:rFonts w:ascii="Century Gothic" w:eastAsia="Times New Roman" w:hAnsi="Century Gothic" w:cs="Times New Roman"/>
      <w:b/>
      <w:bCs/>
      <w:kern w:val="28"/>
      <w:sz w:val="20"/>
      <w:szCs w:val="18"/>
    </w:rPr>
  </w:style>
  <w:style w:type="table" w:customStyle="1" w:styleId="LightList-Accent11">
    <w:name w:val="Light List - Accent 11"/>
    <w:basedOn w:val="TableNormal"/>
    <w:uiPriority w:val="61"/>
    <w:rsid w:val="008770C6"/>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Emphasis">
    <w:name w:val="Intense Emphasis"/>
    <w:basedOn w:val="DefaultParagraphFont"/>
    <w:uiPriority w:val="21"/>
    <w:qFormat/>
    <w:rsid w:val="00EB3C34"/>
    <w:rPr>
      <w:rFonts w:ascii="Century Gothic" w:hAnsi="Century Gothic"/>
      <w:i/>
      <w:iCs/>
      <w:color w:val="auto"/>
    </w:rPr>
  </w:style>
  <w:style w:type="paragraph" w:customStyle="1" w:styleId="IWCEBodytext15spacing">
    <w:name w:val="IWCE Body text 1.5 spacing"/>
    <w:basedOn w:val="Normal"/>
    <w:link w:val="IWCEBodytext15spacingChar"/>
    <w:uiPriority w:val="99"/>
    <w:rsid w:val="00D0528B"/>
    <w:pPr>
      <w:spacing w:before="0" w:after="200"/>
    </w:pPr>
    <w:rPr>
      <w:rFonts w:ascii="Garamond" w:eastAsia="Calibri" w:hAnsi="Garamond"/>
      <w:color w:val="auto"/>
      <w:kern w:val="0"/>
      <w:szCs w:val="22"/>
      <w:lang w:val="en-US"/>
    </w:rPr>
  </w:style>
  <w:style w:type="character" w:customStyle="1" w:styleId="IWCEBodytext15spacingChar">
    <w:name w:val="IWCE Body text 1.5 spacing Char"/>
    <w:basedOn w:val="DefaultParagraphFont"/>
    <w:link w:val="IWCEBodytext15spacing"/>
    <w:uiPriority w:val="99"/>
    <w:rsid w:val="00D0528B"/>
    <w:rPr>
      <w:rFonts w:ascii="Garamond" w:eastAsia="Calibri" w:hAnsi="Garamond" w:cs="Times New Roman"/>
      <w:lang w:val="en-US"/>
    </w:rPr>
  </w:style>
  <w:style w:type="paragraph" w:styleId="BodyTextIndent3">
    <w:name w:val="Body Text Indent 3"/>
    <w:basedOn w:val="Normal"/>
    <w:link w:val="BodyTextIndent3Char"/>
    <w:rsid w:val="00D0528B"/>
    <w:pPr>
      <w:spacing w:before="0" w:line="240" w:lineRule="auto"/>
      <w:ind w:left="283"/>
    </w:pPr>
    <w:rPr>
      <w:rFonts w:ascii="Times New Roman" w:hAnsi="Times New Roman"/>
      <w:color w:val="auto"/>
      <w:kern w:val="0"/>
      <w:sz w:val="16"/>
      <w:szCs w:val="16"/>
    </w:rPr>
  </w:style>
  <w:style w:type="character" w:customStyle="1" w:styleId="BodyTextIndent3Char">
    <w:name w:val="Body Text Indent 3 Char"/>
    <w:basedOn w:val="DefaultParagraphFont"/>
    <w:link w:val="BodyTextIndent3"/>
    <w:rsid w:val="00D0528B"/>
    <w:rPr>
      <w:rFonts w:ascii="Times New Roman" w:eastAsia="Times New Roman" w:hAnsi="Times New Roman" w:cs="Times New Roman"/>
      <w:sz w:val="16"/>
      <w:szCs w:val="16"/>
    </w:rPr>
  </w:style>
  <w:style w:type="table" w:customStyle="1" w:styleId="LightShading1">
    <w:name w:val="Light Shading1"/>
    <w:basedOn w:val="TableNormal"/>
    <w:uiPriority w:val="60"/>
    <w:rsid w:val="00F43F9C"/>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WCEBodytextsinglespacing">
    <w:name w:val="IWCE Body text single spacing"/>
    <w:basedOn w:val="Default"/>
    <w:rsid w:val="007459F8"/>
    <w:pPr>
      <w:jc w:val="both"/>
    </w:pPr>
    <w:rPr>
      <w:rFonts w:eastAsia="Times New Roman" w:cs="Times New Roman"/>
      <w:sz w:val="22"/>
      <w:szCs w:val="20"/>
      <w:lang w:eastAsia="en-AU"/>
    </w:rPr>
  </w:style>
  <w:style w:type="paragraph" w:customStyle="1" w:styleId="IWCEReferencelist">
    <w:name w:val="IWCE Reference list"/>
    <w:basedOn w:val="Normal"/>
    <w:link w:val="IWCEReferencelistChar"/>
    <w:uiPriority w:val="99"/>
    <w:rsid w:val="007459F8"/>
    <w:pPr>
      <w:spacing w:before="0" w:after="240" w:line="240" w:lineRule="auto"/>
    </w:pPr>
    <w:rPr>
      <w:rFonts w:ascii="Arial" w:eastAsia="Calibri" w:hAnsi="Arial"/>
      <w:color w:val="auto"/>
      <w:kern w:val="0"/>
      <w:szCs w:val="22"/>
      <w:lang w:val="en-US"/>
    </w:rPr>
  </w:style>
  <w:style w:type="character" w:customStyle="1" w:styleId="IWCEReferencelistChar">
    <w:name w:val="IWCE Reference list Char"/>
    <w:basedOn w:val="DefaultParagraphFont"/>
    <w:link w:val="IWCEReferencelist"/>
    <w:uiPriority w:val="99"/>
    <w:rsid w:val="007459F8"/>
    <w:rPr>
      <w:rFonts w:ascii="Arial" w:eastAsia="Calibri" w:hAnsi="Arial" w:cs="Times New Roman"/>
      <w:lang w:val="en-US"/>
    </w:rPr>
  </w:style>
  <w:style w:type="paragraph" w:customStyle="1" w:styleId="Bullet">
    <w:name w:val="Bullet"/>
    <w:basedOn w:val="Normal"/>
    <w:uiPriority w:val="99"/>
    <w:rsid w:val="00414376"/>
    <w:pPr>
      <w:numPr>
        <w:numId w:val="9"/>
      </w:numPr>
      <w:spacing w:before="0" w:line="240" w:lineRule="auto"/>
    </w:pPr>
    <w:rPr>
      <w:rFonts w:ascii="Times New Roman" w:hAnsi="Times New Roman"/>
      <w:color w:val="auto"/>
      <w:kern w:val="0"/>
      <w:sz w:val="24"/>
    </w:rPr>
  </w:style>
  <w:style w:type="character" w:customStyle="1" w:styleId="TableTextChar">
    <w:name w:val="TableText Char"/>
    <w:basedOn w:val="DefaultParagraphFont"/>
    <w:link w:val="TableText"/>
    <w:uiPriority w:val="14"/>
    <w:rsid w:val="000D602D"/>
    <w:rPr>
      <w:rFonts w:ascii="Century Gothic" w:eastAsia="Times New Roman" w:hAnsi="Century Gothic" w:cs="Arial"/>
      <w:color w:val="000000"/>
      <w:kern w:val="28"/>
      <w:sz w:val="20"/>
    </w:rPr>
  </w:style>
  <w:style w:type="paragraph" w:customStyle="1" w:styleId="CM6">
    <w:name w:val="CM6"/>
    <w:basedOn w:val="Normal"/>
    <w:next w:val="Normal"/>
    <w:uiPriority w:val="99"/>
    <w:rsid w:val="006A14F2"/>
    <w:pPr>
      <w:widowControl w:val="0"/>
      <w:autoSpaceDE w:val="0"/>
      <w:autoSpaceDN w:val="0"/>
      <w:adjustRightInd w:val="0"/>
      <w:spacing w:before="0" w:after="0" w:line="268" w:lineRule="atLeast"/>
    </w:pPr>
    <w:rPr>
      <w:rFonts w:ascii="Calibri,Bold" w:eastAsiaTheme="minorEastAsia" w:hAnsi="Calibri,Bold" w:cstheme="minorBidi"/>
      <w:color w:val="auto"/>
      <w:kern w:val="0"/>
      <w:sz w:val="24"/>
      <w:szCs w:val="24"/>
      <w:lang w:eastAsia="en-AU"/>
    </w:rPr>
  </w:style>
  <w:style w:type="character" w:customStyle="1" w:styleId="CaptionChar2">
    <w:name w:val="Caption Char2"/>
    <w:aliases w:val="CaptionTable Char1,Caption Char Char,CaptionTable Char Char,Centered Char Char1,Caption Char1 Char,Centered Char Char Char,Centered Char1,Figures Char"/>
    <w:basedOn w:val="DefaultParagraphFont"/>
    <w:uiPriority w:val="99"/>
    <w:locked/>
    <w:rsid w:val="00D82F2B"/>
    <w:rPr>
      <w:rFonts w:ascii="Century Gothic" w:eastAsia="Times New Roman" w:hAnsi="Century Gothic" w:cs="Tahoma"/>
      <w:b/>
      <w:bCs/>
      <w:lang w:eastAsia="en-AU"/>
    </w:rPr>
  </w:style>
  <w:style w:type="paragraph" w:styleId="BodyText2">
    <w:name w:val="Body Text 2"/>
    <w:basedOn w:val="Normal"/>
    <w:link w:val="BodyText2Char"/>
    <w:uiPriority w:val="99"/>
    <w:semiHidden/>
    <w:unhideWhenUsed/>
    <w:rsid w:val="000D19FB"/>
    <w:pPr>
      <w:spacing w:line="480" w:lineRule="auto"/>
    </w:pPr>
  </w:style>
  <w:style w:type="character" w:customStyle="1" w:styleId="BodyText2Char">
    <w:name w:val="Body Text 2 Char"/>
    <w:basedOn w:val="DefaultParagraphFont"/>
    <w:link w:val="BodyText2"/>
    <w:uiPriority w:val="99"/>
    <w:semiHidden/>
    <w:rsid w:val="000D19FB"/>
    <w:rPr>
      <w:rFonts w:ascii="Century Gothic" w:eastAsia="Times New Roman" w:hAnsi="Century Gothic" w:cs="Times New Roman"/>
      <w:color w:val="000000"/>
      <w:kern w:val="28"/>
      <w:szCs w:val="20"/>
    </w:rPr>
  </w:style>
  <w:style w:type="paragraph" w:styleId="TOAHeading">
    <w:name w:val="toa heading"/>
    <w:basedOn w:val="Normal"/>
    <w:next w:val="Normal"/>
    <w:uiPriority w:val="99"/>
    <w:semiHidden/>
    <w:unhideWhenUsed/>
    <w:rsid w:val="00A75DAE"/>
    <w:rPr>
      <w:rFonts w:asciiTheme="majorHAnsi" w:eastAsiaTheme="majorEastAsia" w:hAnsiTheme="majorHAnsi" w:cstheme="majorBidi"/>
      <w:b/>
      <w:bCs/>
      <w:sz w:val="24"/>
      <w:szCs w:val="24"/>
    </w:rPr>
  </w:style>
  <w:style w:type="paragraph" w:styleId="NoSpacing">
    <w:name w:val="No Spacing"/>
    <w:basedOn w:val="Normal"/>
    <w:link w:val="NoSpacingChar"/>
    <w:uiPriority w:val="1"/>
    <w:qFormat/>
    <w:rsid w:val="009A041C"/>
    <w:pPr>
      <w:spacing w:before="0" w:after="0" w:line="240" w:lineRule="auto"/>
      <w:jc w:val="left"/>
    </w:pPr>
    <w:rPr>
      <w:rFonts w:ascii="Calibri" w:hAnsi="Calibri"/>
      <w:color w:val="auto"/>
      <w:kern w:val="0"/>
      <w:sz w:val="20"/>
      <w:lang w:val="en-US" w:bidi="en-US"/>
    </w:rPr>
  </w:style>
  <w:style w:type="character" w:customStyle="1" w:styleId="NoSpacingChar">
    <w:name w:val="No Spacing Char"/>
    <w:basedOn w:val="DefaultParagraphFont"/>
    <w:link w:val="NoSpacing"/>
    <w:uiPriority w:val="1"/>
    <w:rsid w:val="009A041C"/>
    <w:rPr>
      <w:rFonts w:ascii="Calibri" w:eastAsia="Times New Roman" w:hAnsi="Calibri" w:cs="Times New Roman"/>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9763">
      <w:bodyDiv w:val="1"/>
      <w:marLeft w:val="0"/>
      <w:marRight w:val="0"/>
      <w:marTop w:val="0"/>
      <w:marBottom w:val="0"/>
      <w:divBdr>
        <w:top w:val="none" w:sz="0" w:space="0" w:color="auto"/>
        <w:left w:val="none" w:sz="0" w:space="0" w:color="auto"/>
        <w:bottom w:val="none" w:sz="0" w:space="0" w:color="auto"/>
        <w:right w:val="none" w:sz="0" w:space="0" w:color="auto"/>
      </w:divBdr>
    </w:div>
    <w:div w:id="22560522">
      <w:bodyDiv w:val="1"/>
      <w:marLeft w:val="0"/>
      <w:marRight w:val="0"/>
      <w:marTop w:val="0"/>
      <w:marBottom w:val="0"/>
      <w:divBdr>
        <w:top w:val="none" w:sz="0" w:space="0" w:color="auto"/>
        <w:left w:val="none" w:sz="0" w:space="0" w:color="auto"/>
        <w:bottom w:val="none" w:sz="0" w:space="0" w:color="auto"/>
        <w:right w:val="none" w:sz="0" w:space="0" w:color="auto"/>
      </w:divBdr>
    </w:div>
    <w:div w:id="30032545">
      <w:bodyDiv w:val="1"/>
      <w:marLeft w:val="0"/>
      <w:marRight w:val="0"/>
      <w:marTop w:val="0"/>
      <w:marBottom w:val="0"/>
      <w:divBdr>
        <w:top w:val="none" w:sz="0" w:space="0" w:color="auto"/>
        <w:left w:val="none" w:sz="0" w:space="0" w:color="auto"/>
        <w:bottom w:val="none" w:sz="0" w:space="0" w:color="auto"/>
        <w:right w:val="none" w:sz="0" w:space="0" w:color="auto"/>
      </w:divBdr>
    </w:div>
    <w:div w:id="65886730">
      <w:bodyDiv w:val="1"/>
      <w:marLeft w:val="0"/>
      <w:marRight w:val="0"/>
      <w:marTop w:val="0"/>
      <w:marBottom w:val="0"/>
      <w:divBdr>
        <w:top w:val="none" w:sz="0" w:space="0" w:color="auto"/>
        <w:left w:val="none" w:sz="0" w:space="0" w:color="auto"/>
        <w:bottom w:val="none" w:sz="0" w:space="0" w:color="auto"/>
        <w:right w:val="none" w:sz="0" w:space="0" w:color="auto"/>
      </w:divBdr>
    </w:div>
    <w:div w:id="125199176">
      <w:bodyDiv w:val="1"/>
      <w:marLeft w:val="0"/>
      <w:marRight w:val="0"/>
      <w:marTop w:val="0"/>
      <w:marBottom w:val="0"/>
      <w:divBdr>
        <w:top w:val="none" w:sz="0" w:space="0" w:color="auto"/>
        <w:left w:val="none" w:sz="0" w:space="0" w:color="auto"/>
        <w:bottom w:val="none" w:sz="0" w:space="0" w:color="auto"/>
        <w:right w:val="none" w:sz="0" w:space="0" w:color="auto"/>
      </w:divBdr>
    </w:div>
    <w:div w:id="167453104">
      <w:bodyDiv w:val="1"/>
      <w:marLeft w:val="0"/>
      <w:marRight w:val="0"/>
      <w:marTop w:val="0"/>
      <w:marBottom w:val="0"/>
      <w:divBdr>
        <w:top w:val="none" w:sz="0" w:space="0" w:color="auto"/>
        <w:left w:val="none" w:sz="0" w:space="0" w:color="auto"/>
        <w:bottom w:val="none" w:sz="0" w:space="0" w:color="auto"/>
        <w:right w:val="none" w:sz="0" w:space="0" w:color="auto"/>
      </w:divBdr>
    </w:div>
    <w:div w:id="173230080">
      <w:bodyDiv w:val="1"/>
      <w:marLeft w:val="0"/>
      <w:marRight w:val="0"/>
      <w:marTop w:val="0"/>
      <w:marBottom w:val="0"/>
      <w:divBdr>
        <w:top w:val="none" w:sz="0" w:space="0" w:color="auto"/>
        <w:left w:val="none" w:sz="0" w:space="0" w:color="auto"/>
        <w:bottom w:val="none" w:sz="0" w:space="0" w:color="auto"/>
        <w:right w:val="none" w:sz="0" w:space="0" w:color="auto"/>
      </w:divBdr>
    </w:div>
    <w:div w:id="213586874">
      <w:bodyDiv w:val="1"/>
      <w:marLeft w:val="0"/>
      <w:marRight w:val="0"/>
      <w:marTop w:val="0"/>
      <w:marBottom w:val="0"/>
      <w:divBdr>
        <w:top w:val="none" w:sz="0" w:space="0" w:color="auto"/>
        <w:left w:val="none" w:sz="0" w:space="0" w:color="auto"/>
        <w:bottom w:val="none" w:sz="0" w:space="0" w:color="auto"/>
        <w:right w:val="none" w:sz="0" w:space="0" w:color="auto"/>
      </w:divBdr>
    </w:div>
    <w:div w:id="221209588">
      <w:bodyDiv w:val="1"/>
      <w:marLeft w:val="0"/>
      <w:marRight w:val="0"/>
      <w:marTop w:val="0"/>
      <w:marBottom w:val="0"/>
      <w:divBdr>
        <w:top w:val="none" w:sz="0" w:space="0" w:color="auto"/>
        <w:left w:val="none" w:sz="0" w:space="0" w:color="auto"/>
        <w:bottom w:val="none" w:sz="0" w:space="0" w:color="auto"/>
        <w:right w:val="none" w:sz="0" w:space="0" w:color="auto"/>
      </w:divBdr>
    </w:div>
    <w:div w:id="238251633">
      <w:bodyDiv w:val="1"/>
      <w:marLeft w:val="0"/>
      <w:marRight w:val="0"/>
      <w:marTop w:val="0"/>
      <w:marBottom w:val="0"/>
      <w:divBdr>
        <w:top w:val="none" w:sz="0" w:space="0" w:color="auto"/>
        <w:left w:val="none" w:sz="0" w:space="0" w:color="auto"/>
        <w:bottom w:val="none" w:sz="0" w:space="0" w:color="auto"/>
        <w:right w:val="none" w:sz="0" w:space="0" w:color="auto"/>
      </w:divBdr>
    </w:div>
    <w:div w:id="267859752">
      <w:bodyDiv w:val="1"/>
      <w:marLeft w:val="0"/>
      <w:marRight w:val="0"/>
      <w:marTop w:val="0"/>
      <w:marBottom w:val="0"/>
      <w:divBdr>
        <w:top w:val="none" w:sz="0" w:space="0" w:color="auto"/>
        <w:left w:val="none" w:sz="0" w:space="0" w:color="auto"/>
        <w:bottom w:val="none" w:sz="0" w:space="0" w:color="auto"/>
        <w:right w:val="none" w:sz="0" w:space="0" w:color="auto"/>
      </w:divBdr>
    </w:div>
    <w:div w:id="297345539">
      <w:bodyDiv w:val="1"/>
      <w:marLeft w:val="0"/>
      <w:marRight w:val="0"/>
      <w:marTop w:val="0"/>
      <w:marBottom w:val="0"/>
      <w:divBdr>
        <w:top w:val="none" w:sz="0" w:space="0" w:color="auto"/>
        <w:left w:val="none" w:sz="0" w:space="0" w:color="auto"/>
        <w:bottom w:val="none" w:sz="0" w:space="0" w:color="auto"/>
        <w:right w:val="none" w:sz="0" w:space="0" w:color="auto"/>
      </w:divBdr>
    </w:div>
    <w:div w:id="303198869">
      <w:bodyDiv w:val="1"/>
      <w:marLeft w:val="0"/>
      <w:marRight w:val="0"/>
      <w:marTop w:val="0"/>
      <w:marBottom w:val="0"/>
      <w:divBdr>
        <w:top w:val="none" w:sz="0" w:space="0" w:color="auto"/>
        <w:left w:val="none" w:sz="0" w:space="0" w:color="auto"/>
        <w:bottom w:val="none" w:sz="0" w:space="0" w:color="auto"/>
        <w:right w:val="none" w:sz="0" w:space="0" w:color="auto"/>
      </w:divBdr>
    </w:div>
    <w:div w:id="334189597">
      <w:bodyDiv w:val="1"/>
      <w:marLeft w:val="0"/>
      <w:marRight w:val="0"/>
      <w:marTop w:val="0"/>
      <w:marBottom w:val="0"/>
      <w:divBdr>
        <w:top w:val="none" w:sz="0" w:space="0" w:color="auto"/>
        <w:left w:val="none" w:sz="0" w:space="0" w:color="auto"/>
        <w:bottom w:val="none" w:sz="0" w:space="0" w:color="auto"/>
        <w:right w:val="none" w:sz="0" w:space="0" w:color="auto"/>
      </w:divBdr>
      <w:divsChild>
        <w:div w:id="336269616">
          <w:marLeft w:val="0"/>
          <w:marRight w:val="0"/>
          <w:marTop w:val="0"/>
          <w:marBottom w:val="0"/>
          <w:divBdr>
            <w:top w:val="none" w:sz="0" w:space="0" w:color="auto"/>
            <w:left w:val="none" w:sz="0" w:space="0" w:color="auto"/>
            <w:bottom w:val="none" w:sz="0" w:space="0" w:color="auto"/>
            <w:right w:val="none" w:sz="0" w:space="0" w:color="auto"/>
          </w:divBdr>
        </w:div>
        <w:div w:id="601257495">
          <w:marLeft w:val="0"/>
          <w:marRight w:val="0"/>
          <w:marTop w:val="0"/>
          <w:marBottom w:val="0"/>
          <w:divBdr>
            <w:top w:val="none" w:sz="0" w:space="0" w:color="auto"/>
            <w:left w:val="none" w:sz="0" w:space="0" w:color="auto"/>
            <w:bottom w:val="none" w:sz="0" w:space="0" w:color="auto"/>
            <w:right w:val="none" w:sz="0" w:space="0" w:color="auto"/>
          </w:divBdr>
        </w:div>
        <w:div w:id="898981999">
          <w:marLeft w:val="0"/>
          <w:marRight w:val="0"/>
          <w:marTop w:val="0"/>
          <w:marBottom w:val="0"/>
          <w:divBdr>
            <w:top w:val="none" w:sz="0" w:space="0" w:color="auto"/>
            <w:left w:val="none" w:sz="0" w:space="0" w:color="auto"/>
            <w:bottom w:val="none" w:sz="0" w:space="0" w:color="auto"/>
            <w:right w:val="none" w:sz="0" w:space="0" w:color="auto"/>
          </w:divBdr>
        </w:div>
        <w:div w:id="930773927">
          <w:marLeft w:val="0"/>
          <w:marRight w:val="0"/>
          <w:marTop w:val="0"/>
          <w:marBottom w:val="0"/>
          <w:divBdr>
            <w:top w:val="none" w:sz="0" w:space="0" w:color="auto"/>
            <w:left w:val="none" w:sz="0" w:space="0" w:color="auto"/>
            <w:bottom w:val="none" w:sz="0" w:space="0" w:color="auto"/>
            <w:right w:val="none" w:sz="0" w:space="0" w:color="auto"/>
          </w:divBdr>
        </w:div>
        <w:div w:id="1143809906">
          <w:marLeft w:val="0"/>
          <w:marRight w:val="0"/>
          <w:marTop w:val="0"/>
          <w:marBottom w:val="0"/>
          <w:divBdr>
            <w:top w:val="none" w:sz="0" w:space="0" w:color="auto"/>
            <w:left w:val="none" w:sz="0" w:space="0" w:color="auto"/>
            <w:bottom w:val="none" w:sz="0" w:space="0" w:color="auto"/>
            <w:right w:val="none" w:sz="0" w:space="0" w:color="auto"/>
          </w:divBdr>
        </w:div>
        <w:div w:id="1383670462">
          <w:marLeft w:val="0"/>
          <w:marRight w:val="0"/>
          <w:marTop w:val="0"/>
          <w:marBottom w:val="0"/>
          <w:divBdr>
            <w:top w:val="none" w:sz="0" w:space="0" w:color="auto"/>
            <w:left w:val="none" w:sz="0" w:space="0" w:color="auto"/>
            <w:bottom w:val="none" w:sz="0" w:space="0" w:color="auto"/>
            <w:right w:val="none" w:sz="0" w:space="0" w:color="auto"/>
          </w:divBdr>
        </w:div>
        <w:div w:id="1489907177">
          <w:marLeft w:val="0"/>
          <w:marRight w:val="0"/>
          <w:marTop w:val="0"/>
          <w:marBottom w:val="0"/>
          <w:divBdr>
            <w:top w:val="none" w:sz="0" w:space="0" w:color="auto"/>
            <w:left w:val="none" w:sz="0" w:space="0" w:color="auto"/>
            <w:bottom w:val="none" w:sz="0" w:space="0" w:color="auto"/>
            <w:right w:val="none" w:sz="0" w:space="0" w:color="auto"/>
          </w:divBdr>
        </w:div>
        <w:div w:id="1545099822">
          <w:marLeft w:val="0"/>
          <w:marRight w:val="0"/>
          <w:marTop w:val="0"/>
          <w:marBottom w:val="0"/>
          <w:divBdr>
            <w:top w:val="none" w:sz="0" w:space="0" w:color="auto"/>
            <w:left w:val="none" w:sz="0" w:space="0" w:color="auto"/>
            <w:bottom w:val="none" w:sz="0" w:space="0" w:color="auto"/>
            <w:right w:val="none" w:sz="0" w:space="0" w:color="auto"/>
          </w:divBdr>
        </w:div>
        <w:div w:id="1791507964">
          <w:marLeft w:val="0"/>
          <w:marRight w:val="0"/>
          <w:marTop w:val="0"/>
          <w:marBottom w:val="0"/>
          <w:divBdr>
            <w:top w:val="none" w:sz="0" w:space="0" w:color="auto"/>
            <w:left w:val="none" w:sz="0" w:space="0" w:color="auto"/>
            <w:bottom w:val="none" w:sz="0" w:space="0" w:color="auto"/>
            <w:right w:val="none" w:sz="0" w:space="0" w:color="auto"/>
          </w:divBdr>
        </w:div>
        <w:div w:id="2019234522">
          <w:marLeft w:val="0"/>
          <w:marRight w:val="0"/>
          <w:marTop w:val="0"/>
          <w:marBottom w:val="0"/>
          <w:divBdr>
            <w:top w:val="none" w:sz="0" w:space="0" w:color="auto"/>
            <w:left w:val="none" w:sz="0" w:space="0" w:color="auto"/>
            <w:bottom w:val="none" w:sz="0" w:space="0" w:color="auto"/>
            <w:right w:val="none" w:sz="0" w:space="0" w:color="auto"/>
          </w:divBdr>
        </w:div>
        <w:div w:id="2119445087">
          <w:marLeft w:val="0"/>
          <w:marRight w:val="0"/>
          <w:marTop w:val="0"/>
          <w:marBottom w:val="0"/>
          <w:divBdr>
            <w:top w:val="none" w:sz="0" w:space="0" w:color="auto"/>
            <w:left w:val="none" w:sz="0" w:space="0" w:color="auto"/>
            <w:bottom w:val="none" w:sz="0" w:space="0" w:color="auto"/>
            <w:right w:val="none" w:sz="0" w:space="0" w:color="auto"/>
          </w:divBdr>
        </w:div>
      </w:divsChild>
    </w:div>
    <w:div w:id="395127154">
      <w:bodyDiv w:val="1"/>
      <w:marLeft w:val="0"/>
      <w:marRight w:val="0"/>
      <w:marTop w:val="0"/>
      <w:marBottom w:val="0"/>
      <w:divBdr>
        <w:top w:val="none" w:sz="0" w:space="0" w:color="auto"/>
        <w:left w:val="none" w:sz="0" w:space="0" w:color="auto"/>
        <w:bottom w:val="none" w:sz="0" w:space="0" w:color="auto"/>
        <w:right w:val="none" w:sz="0" w:space="0" w:color="auto"/>
      </w:divBdr>
    </w:div>
    <w:div w:id="397678006">
      <w:bodyDiv w:val="1"/>
      <w:marLeft w:val="0"/>
      <w:marRight w:val="0"/>
      <w:marTop w:val="0"/>
      <w:marBottom w:val="0"/>
      <w:divBdr>
        <w:top w:val="none" w:sz="0" w:space="0" w:color="auto"/>
        <w:left w:val="none" w:sz="0" w:space="0" w:color="auto"/>
        <w:bottom w:val="none" w:sz="0" w:space="0" w:color="auto"/>
        <w:right w:val="none" w:sz="0" w:space="0" w:color="auto"/>
      </w:divBdr>
    </w:div>
    <w:div w:id="447315712">
      <w:bodyDiv w:val="1"/>
      <w:marLeft w:val="0"/>
      <w:marRight w:val="0"/>
      <w:marTop w:val="0"/>
      <w:marBottom w:val="0"/>
      <w:divBdr>
        <w:top w:val="none" w:sz="0" w:space="0" w:color="auto"/>
        <w:left w:val="none" w:sz="0" w:space="0" w:color="auto"/>
        <w:bottom w:val="none" w:sz="0" w:space="0" w:color="auto"/>
        <w:right w:val="none" w:sz="0" w:space="0" w:color="auto"/>
      </w:divBdr>
    </w:div>
    <w:div w:id="457183386">
      <w:bodyDiv w:val="1"/>
      <w:marLeft w:val="0"/>
      <w:marRight w:val="0"/>
      <w:marTop w:val="0"/>
      <w:marBottom w:val="0"/>
      <w:divBdr>
        <w:top w:val="none" w:sz="0" w:space="0" w:color="auto"/>
        <w:left w:val="none" w:sz="0" w:space="0" w:color="auto"/>
        <w:bottom w:val="none" w:sz="0" w:space="0" w:color="auto"/>
        <w:right w:val="none" w:sz="0" w:space="0" w:color="auto"/>
      </w:divBdr>
    </w:div>
    <w:div w:id="514005817">
      <w:bodyDiv w:val="1"/>
      <w:marLeft w:val="0"/>
      <w:marRight w:val="0"/>
      <w:marTop w:val="0"/>
      <w:marBottom w:val="0"/>
      <w:divBdr>
        <w:top w:val="none" w:sz="0" w:space="0" w:color="auto"/>
        <w:left w:val="none" w:sz="0" w:space="0" w:color="auto"/>
        <w:bottom w:val="none" w:sz="0" w:space="0" w:color="auto"/>
        <w:right w:val="none" w:sz="0" w:space="0" w:color="auto"/>
      </w:divBdr>
    </w:div>
    <w:div w:id="522598329">
      <w:bodyDiv w:val="1"/>
      <w:marLeft w:val="0"/>
      <w:marRight w:val="0"/>
      <w:marTop w:val="0"/>
      <w:marBottom w:val="0"/>
      <w:divBdr>
        <w:top w:val="none" w:sz="0" w:space="0" w:color="auto"/>
        <w:left w:val="none" w:sz="0" w:space="0" w:color="auto"/>
        <w:bottom w:val="none" w:sz="0" w:space="0" w:color="auto"/>
        <w:right w:val="none" w:sz="0" w:space="0" w:color="auto"/>
      </w:divBdr>
    </w:div>
    <w:div w:id="582253727">
      <w:bodyDiv w:val="1"/>
      <w:marLeft w:val="0"/>
      <w:marRight w:val="0"/>
      <w:marTop w:val="0"/>
      <w:marBottom w:val="0"/>
      <w:divBdr>
        <w:top w:val="none" w:sz="0" w:space="0" w:color="auto"/>
        <w:left w:val="none" w:sz="0" w:space="0" w:color="auto"/>
        <w:bottom w:val="none" w:sz="0" w:space="0" w:color="auto"/>
        <w:right w:val="none" w:sz="0" w:space="0" w:color="auto"/>
      </w:divBdr>
    </w:div>
    <w:div w:id="592205259">
      <w:bodyDiv w:val="1"/>
      <w:marLeft w:val="0"/>
      <w:marRight w:val="0"/>
      <w:marTop w:val="0"/>
      <w:marBottom w:val="0"/>
      <w:divBdr>
        <w:top w:val="none" w:sz="0" w:space="0" w:color="auto"/>
        <w:left w:val="none" w:sz="0" w:space="0" w:color="auto"/>
        <w:bottom w:val="none" w:sz="0" w:space="0" w:color="auto"/>
        <w:right w:val="none" w:sz="0" w:space="0" w:color="auto"/>
      </w:divBdr>
    </w:div>
    <w:div w:id="594018310">
      <w:bodyDiv w:val="1"/>
      <w:marLeft w:val="0"/>
      <w:marRight w:val="0"/>
      <w:marTop w:val="0"/>
      <w:marBottom w:val="0"/>
      <w:divBdr>
        <w:top w:val="none" w:sz="0" w:space="0" w:color="auto"/>
        <w:left w:val="none" w:sz="0" w:space="0" w:color="auto"/>
        <w:bottom w:val="none" w:sz="0" w:space="0" w:color="auto"/>
        <w:right w:val="none" w:sz="0" w:space="0" w:color="auto"/>
      </w:divBdr>
    </w:div>
    <w:div w:id="623341710">
      <w:bodyDiv w:val="1"/>
      <w:marLeft w:val="0"/>
      <w:marRight w:val="0"/>
      <w:marTop w:val="0"/>
      <w:marBottom w:val="0"/>
      <w:divBdr>
        <w:top w:val="none" w:sz="0" w:space="0" w:color="auto"/>
        <w:left w:val="none" w:sz="0" w:space="0" w:color="auto"/>
        <w:bottom w:val="none" w:sz="0" w:space="0" w:color="auto"/>
        <w:right w:val="none" w:sz="0" w:space="0" w:color="auto"/>
      </w:divBdr>
    </w:div>
    <w:div w:id="655885981">
      <w:bodyDiv w:val="1"/>
      <w:marLeft w:val="0"/>
      <w:marRight w:val="0"/>
      <w:marTop w:val="0"/>
      <w:marBottom w:val="0"/>
      <w:divBdr>
        <w:top w:val="none" w:sz="0" w:space="0" w:color="auto"/>
        <w:left w:val="none" w:sz="0" w:space="0" w:color="auto"/>
        <w:bottom w:val="none" w:sz="0" w:space="0" w:color="auto"/>
        <w:right w:val="none" w:sz="0" w:space="0" w:color="auto"/>
      </w:divBdr>
      <w:divsChild>
        <w:div w:id="112332853">
          <w:marLeft w:val="0"/>
          <w:marRight w:val="0"/>
          <w:marTop w:val="0"/>
          <w:marBottom w:val="0"/>
          <w:divBdr>
            <w:top w:val="none" w:sz="0" w:space="0" w:color="auto"/>
            <w:left w:val="none" w:sz="0" w:space="0" w:color="auto"/>
            <w:bottom w:val="none" w:sz="0" w:space="0" w:color="auto"/>
            <w:right w:val="none" w:sz="0" w:space="0" w:color="auto"/>
          </w:divBdr>
        </w:div>
        <w:div w:id="166945284">
          <w:marLeft w:val="0"/>
          <w:marRight w:val="0"/>
          <w:marTop w:val="0"/>
          <w:marBottom w:val="0"/>
          <w:divBdr>
            <w:top w:val="none" w:sz="0" w:space="0" w:color="auto"/>
            <w:left w:val="none" w:sz="0" w:space="0" w:color="auto"/>
            <w:bottom w:val="none" w:sz="0" w:space="0" w:color="auto"/>
            <w:right w:val="none" w:sz="0" w:space="0" w:color="auto"/>
          </w:divBdr>
        </w:div>
        <w:div w:id="673383680">
          <w:marLeft w:val="0"/>
          <w:marRight w:val="0"/>
          <w:marTop w:val="0"/>
          <w:marBottom w:val="0"/>
          <w:divBdr>
            <w:top w:val="none" w:sz="0" w:space="0" w:color="auto"/>
            <w:left w:val="none" w:sz="0" w:space="0" w:color="auto"/>
            <w:bottom w:val="none" w:sz="0" w:space="0" w:color="auto"/>
            <w:right w:val="none" w:sz="0" w:space="0" w:color="auto"/>
          </w:divBdr>
        </w:div>
        <w:div w:id="883827857">
          <w:marLeft w:val="0"/>
          <w:marRight w:val="0"/>
          <w:marTop w:val="0"/>
          <w:marBottom w:val="0"/>
          <w:divBdr>
            <w:top w:val="none" w:sz="0" w:space="0" w:color="auto"/>
            <w:left w:val="none" w:sz="0" w:space="0" w:color="auto"/>
            <w:bottom w:val="none" w:sz="0" w:space="0" w:color="auto"/>
            <w:right w:val="none" w:sz="0" w:space="0" w:color="auto"/>
          </w:divBdr>
        </w:div>
        <w:div w:id="1031539249">
          <w:marLeft w:val="0"/>
          <w:marRight w:val="0"/>
          <w:marTop w:val="0"/>
          <w:marBottom w:val="0"/>
          <w:divBdr>
            <w:top w:val="none" w:sz="0" w:space="0" w:color="auto"/>
            <w:left w:val="none" w:sz="0" w:space="0" w:color="auto"/>
            <w:bottom w:val="none" w:sz="0" w:space="0" w:color="auto"/>
            <w:right w:val="none" w:sz="0" w:space="0" w:color="auto"/>
          </w:divBdr>
        </w:div>
        <w:div w:id="1400904144">
          <w:marLeft w:val="0"/>
          <w:marRight w:val="0"/>
          <w:marTop w:val="0"/>
          <w:marBottom w:val="0"/>
          <w:divBdr>
            <w:top w:val="none" w:sz="0" w:space="0" w:color="auto"/>
            <w:left w:val="none" w:sz="0" w:space="0" w:color="auto"/>
            <w:bottom w:val="none" w:sz="0" w:space="0" w:color="auto"/>
            <w:right w:val="none" w:sz="0" w:space="0" w:color="auto"/>
          </w:divBdr>
        </w:div>
        <w:div w:id="1421826895">
          <w:marLeft w:val="0"/>
          <w:marRight w:val="0"/>
          <w:marTop w:val="0"/>
          <w:marBottom w:val="0"/>
          <w:divBdr>
            <w:top w:val="none" w:sz="0" w:space="0" w:color="auto"/>
            <w:left w:val="none" w:sz="0" w:space="0" w:color="auto"/>
            <w:bottom w:val="none" w:sz="0" w:space="0" w:color="auto"/>
            <w:right w:val="none" w:sz="0" w:space="0" w:color="auto"/>
          </w:divBdr>
        </w:div>
        <w:div w:id="1653411022">
          <w:marLeft w:val="0"/>
          <w:marRight w:val="0"/>
          <w:marTop w:val="0"/>
          <w:marBottom w:val="0"/>
          <w:divBdr>
            <w:top w:val="none" w:sz="0" w:space="0" w:color="auto"/>
            <w:left w:val="none" w:sz="0" w:space="0" w:color="auto"/>
            <w:bottom w:val="none" w:sz="0" w:space="0" w:color="auto"/>
            <w:right w:val="none" w:sz="0" w:space="0" w:color="auto"/>
          </w:divBdr>
        </w:div>
        <w:div w:id="1769539324">
          <w:marLeft w:val="0"/>
          <w:marRight w:val="0"/>
          <w:marTop w:val="0"/>
          <w:marBottom w:val="0"/>
          <w:divBdr>
            <w:top w:val="none" w:sz="0" w:space="0" w:color="auto"/>
            <w:left w:val="none" w:sz="0" w:space="0" w:color="auto"/>
            <w:bottom w:val="none" w:sz="0" w:space="0" w:color="auto"/>
            <w:right w:val="none" w:sz="0" w:space="0" w:color="auto"/>
          </w:divBdr>
        </w:div>
        <w:div w:id="1779324605">
          <w:marLeft w:val="0"/>
          <w:marRight w:val="0"/>
          <w:marTop w:val="0"/>
          <w:marBottom w:val="0"/>
          <w:divBdr>
            <w:top w:val="none" w:sz="0" w:space="0" w:color="auto"/>
            <w:left w:val="none" w:sz="0" w:space="0" w:color="auto"/>
            <w:bottom w:val="none" w:sz="0" w:space="0" w:color="auto"/>
            <w:right w:val="none" w:sz="0" w:space="0" w:color="auto"/>
          </w:divBdr>
        </w:div>
        <w:div w:id="1909995568">
          <w:marLeft w:val="0"/>
          <w:marRight w:val="0"/>
          <w:marTop w:val="0"/>
          <w:marBottom w:val="0"/>
          <w:divBdr>
            <w:top w:val="none" w:sz="0" w:space="0" w:color="auto"/>
            <w:left w:val="none" w:sz="0" w:space="0" w:color="auto"/>
            <w:bottom w:val="none" w:sz="0" w:space="0" w:color="auto"/>
            <w:right w:val="none" w:sz="0" w:space="0" w:color="auto"/>
          </w:divBdr>
        </w:div>
      </w:divsChild>
    </w:div>
    <w:div w:id="669677466">
      <w:bodyDiv w:val="1"/>
      <w:marLeft w:val="0"/>
      <w:marRight w:val="0"/>
      <w:marTop w:val="0"/>
      <w:marBottom w:val="0"/>
      <w:divBdr>
        <w:top w:val="none" w:sz="0" w:space="0" w:color="auto"/>
        <w:left w:val="none" w:sz="0" w:space="0" w:color="auto"/>
        <w:bottom w:val="none" w:sz="0" w:space="0" w:color="auto"/>
        <w:right w:val="none" w:sz="0" w:space="0" w:color="auto"/>
      </w:divBdr>
    </w:div>
    <w:div w:id="689187839">
      <w:bodyDiv w:val="1"/>
      <w:marLeft w:val="0"/>
      <w:marRight w:val="0"/>
      <w:marTop w:val="0"/>
      <w:marBottom w:val="0"/>
      <w:divBdr>
        <w:top w:val="none" w:sz="0" w:space="0" w:color="auto"/>
        <w:left w:val="none" w:sz="0" w:space="0" w:color="auto"/>
        <w:bottom w:val="none" w:sz="0" w:space="0" w:color="auto"/>
        <w:right w:val="none" w:sz="0" w:space="0" w:color="auto"/>
      </w:divBdr>
    </w:div>
    <w:div w:id="707149360">
      <w:bodyDiv w:val="1"/>
      <w:marLeft w:val="0"/>
      <w:marRight w:val="0"/>
      <w:marTop w:val="0"/>
      <w:marBottom w:val="0"/>
      <w:divBdr>
        <w:top w:val="none" w:sz="0" w:space="0" w:color="auto"/>
        <w:left w:val="none" w:sz="0" w:space="0" w:color="auto"/>
        <w:bottom w:val="none" w:sz="0" w:space="0" w:color="auto"/>
        <w:right w:val="none" w:sz="0" w:space="0" w:color="auto"/>
      </w:divBdr>
    </w:div>
    <w:div w:id="727991917">
      <w:bodyDiv w:val="1"/>
      <w:marLeft w:val="0"/>
      <w:marRight w:val="0"/>
      <w:marTop w:val="0"/>
      <w:marBottom w:val="0"/>
      <w:divBdr>
        <w:top w:val="none" w:sz="0" w:space="0" w:color="auto"/>
        <w:left w:val="none" w:sz="0" w:space="0" w:color="auto"/>
        <w:bottom w:val="none" w:sz="0" w:space="0" w:color="auto"/>
        <w:right w:val="none" w:sz="0" w:space="0" w:color="auto"/>
      </w:divBdr>
    </w:div>
    <w:div w:id="756823009">
      <w:bodyDiv w:val="1"/>
      <w:marLeft w:val="0"/>
      <w:marRight w:val="0"/>
      <w:marTop w:val="0"/>
      <w:marBottom w:val="0"/>
      <w:divBdr>
        <w:top w:val="none" w:sz="0" w:space="0" w:color="auto"/>
        <w:left w:val="none" w:sz="0" w:space="0" w:color="auto"/>
        <w:bottom w:val="none" w:sz="0" w:space="0" w:color="auto"/>
        <w:right w:val="none" w:sz="0" w:space="0" w:color="auto"/>
      </w:divBdr>
    </w:div>
    <w:div w:id="770006796">
      <w:bodyDiv w:val="1"/>
      <w:marLeft w:val="0"/>
      <w:marRight w:val="0"/>
      <w:marTop w:val="0"/>
      <w:marBottom w:val="0"/>
      <w:divBdr>
        <w:top w:val="none" w:sz="0" w:space="0" w:color="auto"/>
        <w:left w:val="none" w:sz="0" w:space="0" w:color="auto"/>
        <w:bottom w:val="none" w:sz="0" w:space="0" w:color="auto"/>
        <w:right w:val="none" w:sz="0" w:space="0" w:color="auto"/>
      </w:divBdr>
    </w:div>
    <w:div w:id="789320037">
      <w:bodyDiv w:val="1"/>
      <w:marLeft w:val="0"/>
      <w:marRight w:val="0"/>
      <w:marTop w:val="0"/>
      <w:marBottom w:val="0"/>
      <w:divBdr>
        <w:top w:val="none" w:sz="0" w:space="0" w:color="auto"/>
        <w:left w:val="none" w:sz="0" w:space="0" w:color="auto"/>
        <w:bottom w:val="none" w:sz="0" w:space="0" w:color="auto"/>
        <w:right w:val="none" w:sz="0" w:space="0" w:color="auto"/>
      </w:divBdr>
    </w:div>
    <w:div w:id="824276696">
      <w:bodyDiv w:val="1"/>
      <w:marLeft w:val="0"/>
      <w:marRight w:val="0"/>
      <w:marTop w:val="0"/>
      <w:marBottom w:val="0"/>
      <w:divBdr>
        <w:top w:val="none" w:sz="0" w:space="0" w:color="auto"/>
        <w:left w:val="none" w:sz="0" w:space="0" w:color="auto"/>
        <w:bottom w:val="none" w:sz="0" w:space="0" w:color="auto"/>
        <w:right w:val="none" w:sz="0" w:space="0" w:color="auto"/>
      </w:divBdr>
    </w:div>
    <w:div w:id="835924373">
      <w:bodyDiv w:val="1"/>
      <w:marLeft w:val="0"/>
      <w:marRight w:val="0"/>
      <w:marTop w:val="0"/>
      <w:marBottom w:val="0"/>
      <w:divBdr>
        <w:top w:val="none" w:sz="0" w:space="0" w:color="auto"/>
        <w:left w:val="none" w:sz="0" w:space="0" w:color="auto"/>
        <w:bottom w:val="none" w:sz="0" w:space="0" w:color="auto"/>
        <w:right w:val="none" w:sz="0" w:space="0" w:color="auto"/>
      </w:divBdr>
    </w:div>
    <w:div w:id="848450584">
      <w:bodyDiv w:val="1"/>
      <w:marLeft w:val="0"/>
      <w:marRight w:val="0"/>
      <w:marTop w:val="0"/>
      <w:marBottom w:val="0"/>
      <w:divBdr>
        <w:top w:val="none" w:sz="0" w:space="0" w:color="auto"/>
        <w:left w:val="none" w:sz="0" w:space="0" w:color="auto"/>
        <w:bottom w:val="none" w:sz="0" w:space="0" w:color="auto"/>
        <w:right w:val="none" w:sz="0" w:space="0" w:color="auto"/>
      </w:divBdr>
    </w:div>
    <w:div w:id="926380122">
      <w:bodyDiv w:val="1"/>
      <w:marLeft w:val="0"/>
      <w:marRight w:val="0"/>
      <w:marTop w:val="0"/>
      <w:marBottom w:val="0"/>
      <w:divBdr>
        <w:top w:val="none" w:sz="0" w:space="0" w:color="auto"/>
        <w:left w:val="none" w:sz="0" w:space="0" w:color="auto"/>
        <w:bottom w:val="none" w:sz="0" w:space="0" w:color="auto"/>
        <w:right w:val="none" w:sz="0" w:space="0" w:color="auto"/>
      </w:divBdr>
    </w:div>
    <w:div w:id="942224650">
      <w:bodyDiv w:val="1"/>
      <w:marLeft w:val="0"/>
      <w:marRight w:val="0"/>
      <w:marTop w:val="0"/>
      <w:marBottom w:val="0"/>
      <w:divBdr>
        <w:top w:val="none" w:sz="0" w:space="0" w:color="auto"/>
        <w:left w:val="none" w:sz="0" w:space="0" w:color="auto"/>
        <w:bottom w:val="none" w:sz="0" w:space="0" w:color="auto"/>
        <w:right w:val="none" w:sz="0" w:space="0" w:color="auto"/>
      </w:divBdr>
    </w:div>
    <w:div w:id="972516818">
      <w:bodyDiv w:val="1"/>
      <w:marLeft w:val="0"/>
      <w:marRight w:val="0"/>
      <w:marTop w:val="0"/>
      <w:marBottom w:val="0"/>
      <w:divBdr>
        <w:top w:val="none" w:sz="0" w:space="0" w:color="auto"/>
        <w:left w:val="none" w:sz="0" w:space="0" w:color="auto"/>
        <w:bottom w:val="none" w:sz="0" w:space="0" w:color="auto"/>
        <w:right w:val="none" w:sz="0" w:space="0" w:color="auto"/>
      </w:divBdr>
    </w:div>
    <w:div w:id="1026753593">
      <w:bodyDiv w:val="1"/>
      <w:marLeft w:val="0"/>
      <w:marRight w:val="0"/>
      <w:marTop w:val="0"/>
      <w:marBottom w:val="0"/>
      <w:divBdr>
        <w:top w:val="none" w:sz="0" w:space="0" w:color="auto"/>
        <w:left w:val="none" w:sz="0" w:space="0" w:color="auto"/>
        <w:bottom w:val="none" w:sz="0" w:space="0" w:color="auto"/>
        <w:right w:val="none" w:sz="0" w:space="0" w:color="auto"/>
      </w:divBdr>
    </w:div>
    <w:div w:id="1035501036">
      <w:bodyDiv w:val="1"/>
      <w:marLeft w:val="0"/>
      <w:marRight w:val="0"/>
      <w:marTop w:val="0"/>
      <w:marBottom w:val="0"/>
      <w:divBdr>
        <w:top w:val="none" w:sz="0" w:space="0" w:color="auto"/>
        <w:left w:val="none" w:sz="0" w:space="0" w:color="auto"/>
        <w:bottom w:val="none" w:sz="0" w:space="0" w:color="auto"/>
        <w:right w:val="none" w:sz="0" w:space="0" w:color="auto"/>
      </w:divBdr>
    </w:div>
    <w:div w:id="1072041991">
      <w:bodyDiv w:val="1"/>
      <w:marLeft w:val="0"/>
      <w:marRight w:val="0"/>
      <w:marTop w:val="0"/>
      <w:marBottom w:val="0"/>
      <w:divBdr>
        <w:top w:val="none" w:sz="0" w:space="0" w:color="auto"/>
        <w:left w:val="none" w:sz="0" w:space="0" w:color="auto"/>
        <w:bottom w:val="none" w:sz="0" w:space="0" w:color="auto"/>
        <w:right w:val="none" w:sz="0" w:space="0" w:color="auto"/>
      </w:divBdr>
    </w:div>
    <w:div w:id="1077096296">
      <w:bodyDiv w:val="1"/>
      <w:marLeft w:val="0"/>
      <w:marRight w:val="0"/>
      <w:marTop w:val="0"/>
      <w:marBottom w:val="0"/>
      <w:divBdr>
        <w:top w:val="none" w:sz="0" w:space="0" w:color="auto"/>
        <w:left w:val="none" w:sz="0" w:space="0" w:color="auto"/>
        <w:bottom w:val="none" w:sz="0" w:space="0" w:color="auto"/>
        <w:right w:val="none" w:sz="0" w:space="0" w:color="auto"/>
      </w:divBdr>
    </w:div>
    <w:div w:id="1117990900">
      <w:bodyDiv w:val="1"/>
      <w:marLeft w:val="0"/>
      <w:marRight w:val="0"/>
      <w:marTop w:val="0"/>
      <w:marBottom w:val="0"/>
      <w:divBdr>
        <w:top w:val="none" w:sz="0" w:space="0" w:color="auto"/>
        <w:left w:val="none" w:sz="0" w:space="0" w:color="auto"/>
        <w:bottom w:val="none" w:sz="0" w:space="0" w:color="auto"/>
        <w:right w:val="none" w:sz="0" w:space="0" w:color="auto"/>
      </w:divBdr>
    </w:div>
    <w:div w:id="1128280749">
      <w:bodyDiv w:val="1"/>
      <w:marLeft w:val="0"/>
      <w:marRight w:val="0"/>
      <w:marTop w:val="0"/>
      <w:marBottom w:val="0"/>
      <w:divBdr>
        <w:top w:val="none" w:sz="0" w:space="0" w:color="auto"/>
        <w:left w:val="none" w:sz="0" w:space="0" w:color="auto"/>
        <w:bottom w:val="none" w:sz="0" w:space="0" w:color="auto"/>
        <w:right w:val="none" w:sz="0" w:space="0" w:color="auto"/>
      </w:divBdr>
    </w:div>
    <w:div w:id="1128822004">
      <w:bodyDiv w:val="1"/>
      <w:marLeft w:val="0"/>
      <w:marRight w:val="0"/>
      <w:marTop w:val="0"/>
      <w:marBottom w:val="0"/>
      <w:divBdr>
        <w:top w:val="none" w:sz="0" w:space="0" w:color="auto"/>
        <w:left w:val="none" w:sz="0" w:space="0" w:color="auto"/>
        <w:bottom w:val="none" w:sz="0" w:space="0" w:color="auto"/>
        <w:right w:val="none" w:sz="0" w:space="0" w:color="auto"/>
      </w:divBdr>
    </w:div>
    <w:div w:id="1144811567">
      <w:bodyDiv w:val="1"/>
      <w:marLeft w:val="0"/>
      <w:marRight w:val="0"/>
      <w:marTop w:val="0"/>
      <w:marBottom w:val="0"/>
      <w:divBdr>
        <w:top w:val="none" w:sz="0" w:space="0" w:color="auto"/>
        <w:left w:val="none" w:sz="0" w:space="0" w:color="auto"/>
        <w:bottom w:val="none" w:sz="0" w:space="0" w:color="auto"/>
        <w:right w:val="none" w:sz="0" w:space="0" w:color="auto"/>
      </w:divBdr>
    </w:div>
    <w:div w:id="1160461236">
      <w:bodyDiv w:val="1"/>
      <w:marLeft w:val="0"/>
      <w:marRight w:val="0"/>
      <w:marTop w:val="0"/>
      <w:marBottom w:val="0"/>
      <w:divBdr>
        <w:top w:val="none" w:sz="0" w:space="0" w:color="auto"/>
        <w:left w:val="none" w:sz="0" w:space="0" w:color="auto"/>
        <w:bottom w:val="none" w:sz="0" w:space="0" w:color="auto"/>
        <w:right w:val="none" w:sz="0" w:space="0" w:color="auto"/>
      </w:divBdr>
    </w:div>
    <w:div w:id="1181166020">
      <w:bodyDiv w:val="1"/>
      <w:marLeft w:val="0"/>
      <w:marRight w:val="0"/>
      <w:marTop w:val="0"/>
      <w:marBottom w:val="0"/>
      <w:divBdr>
        <w:top w:val="none" w:sz="0" w:space="0" w:color="auto"/>
        <w:left w:val="none" w:sz="0" w:space="0" w:color="auto"/>
        <w:bottom w:val="none" w:sz="0" w:space="0" w:color="auto"/>
        <w:right w:val="none" w:sz="0" w:space="0" w:color="auto"/>
      </w:divBdr>
    </w:div>
    <w:div w:id="1191453859">
      <w:bodyDiv w:val="1"/>
      <w:marLeft w:val="0"/>
      <w:marRight w:val="0"/>
      <w:marTop w:val="0"/>
      <w:marBottom w:val="0"/>
      <w:divBdr>
        <w:top w:val="none" w:sz="0" w:space="0" w:color="auto"/>
        <w:left w:val="none" w:sz="0" w:space="0" w:color="auto"/>
        <w:bottom w:val="none" w:sz="0" w:space="0" w:color="auto"/>
        <w:right w:val="none" w:sz="0" w:space="0" w:color="auto"/>
      </w:divBdr>
    </w:div>
    <w:div w:id="1193301266">
      <w:bodyDiv w:val="1"/>
      <w:marLeft w:val="0"/>
      <w:marRight w:val="0"/>
      <w:marTop w:val="0"/>
      <w:marBottom w:val="0"/>
      <w:divBdr>
        <w:top w:val="none" w:sz="0" w:space="0" w:color="auto"/>
        <w:left w:val="none" w:sz="0" w:space="0" w:color="auto"/>
        <w:bottom w:val="none" w:sz="0" w:space="0" w:color="auto"/>
        <w:right w:val="none" w:sz="0" w:space="0" w:color="auto"/>
      </w:divBdr>
      <w:divsChild>
        <w:div w:id="1928732089">
          <w:marLeft w:val="0"/>
          <w:marRight w:val="0"/>
          <w:marTop w:val="0"/>
          <w:marBottom w:val="0"/>
          <w:divBdr>
            <w:top w:val="none" w:sz="0" w:space="0" w:color="auto"/>
            <w:left w:val="none" w:sz="0" w:space="0" w:color="auto"/>
            <w:bottom w:val="none" w:sz="0" w:space="0" w:color="auto"/>
            <w:right w:val="none" w:sz="0" w:space="0" w:color="auto"/>
          </w:divBdr>
          <w:divsChild>
            <w:div w:id="711154197">
              <w:marLeft w:val="0"/>
              <w:marRight w:val="0"/>
              <w:marTop w:val="0"/>
              <w:marBottom w:val="0"/>
              <w:divBdr>
                <w:top w:val="none" w:sz="0" w:space="0" w:color="auto"/>
                <w:left w:val="none" w:sz="0" w:space="0" w:color="auto"/>
                <w:bottom w:val="none" w:sz="0" w:space="0" w:color="auto"/>
                <w:right w:val="none" w:sz="0" w:space="0" w:color="auto"/>
              </w:divBdr>
              <w:divsChild>
                <w:div w:id="1449012218">
                  <w:marLeft w:val="0"/>
                  <w:marRight w:val="0"/>
                  <w:marTop w:val="0"/>
                  <w:marBottom w:val="0"/>
                  <w:divBdr>
                    <w:top w:val="none" w:sz="0" w:space="0" w:color="auto"/>
                    <w:left w:val="none" w:sz="0" w:space="0" w:color="auto"/>
                    <w:bottom w:val="none" w:sz="0" w:space="0" w:color="auto"/>
                    <w:right w:val="none" w:sz="0" w:space="0" w:color="auto"/>
                  </w:divBdr>
                  <w:divsChild>
                    <w:div w:id="1696808676">
                      <w:marLeft w:val="0"/>
                      <w:marRight w:val="0"/>
                      <w:marTop w:val="0"/>
                      <w:marBottom w:val="0"/>
                      <w:divBdr>
                        <w:top w:val="none" w:sz="0" w:space="0" w:color="auto"/>
                        <w:left w:val="none" w:sz="0" w:space="0" w:color="auto"/>
                        <w:bottom w:val="none" w:sz="0" w:space="0" w:color="auto"/>
                        <w:right w:val="none" w:sz="0" w:space="0" w:color="auto"/>
                      </w:divBdr>
                      <w:divsChild>
                        <w:div w:id="50151778">
                          <w:marLeft w:val="0"/>
                          <w:marRight w:val="0"/>
                          <w:marTop w:val="45"/>
                          <w:marBottom w:val="0"/>
                          <w:divBdr>
                            <w:top w:val="none" w:sz="0" w:space="0" w:color="auto"/>
                            <w:left w:val="none" w:sz="0" w:space="0" w:color="auto"/>
                            <w:bottom w:val="none" w:sz="0" w:space="0" w:color="auto"/>
                            <w:right w:val="none" w:sz="0" w:space="0" w:color="auto"/>
                          </w:divBdr>
                          <w:divsChild>
                            <w:div w:id="1654866385">
                              <w:marLeft w:val="0"/>
                              <w:marRight w:val="0"/>
                              <w:marTop w:val="0"/>
                              <w:marBottom w:val="0"/>
                              <w:divBdr>
                                <w:top w:val="none" w:sz="0" w:space="0" w:color="auto"/>
                                <w:left w:val="none" w:sz="0" w:space="0" w:color="auto"/>
                                <w:bottom w:val="none" w:sz="0" w:space="0" w:color="auto"/>
                                <w:right w:val="none" w:sz="0" w:space="0" w:color="auto"/>
                              </w:divBdr>
                              <w:divsChild>
                                <w:div w:id="1553880589">
                                  <w:marLeft w:val="2070"/>
                                  <w:marRight w:val="3810"/>
                                  <w:marTop w:val="0"/>
                                  <w:marBottom w:val="0"/>
                                  <w:divBdr>
                                    <w:top w:val="none" w:sz="0" w:space="0" w:color="auto"/>
                                    <w:left w:val="none" w:sz="0" w:space="0" w:color="auto"/>
                                    <w:bottom w:val="none" w:sz="0" w:space="0" w:color="auto"/>
                                    <w:right w:val="none" w:sz="0" w:space="0" w:color="auto"/>
                                  </w:divBdr>
                                  <w:divsChild>
                                    <w:div w:id="32192922">
                                      <w:marLeft w:val="0"/>
                                      <w:marRight w:val="0"/>
                                      <w:marTop w:val="0"/>
                                      <w:marBottom w:val="0"/>
                                      <w:divBdr>
                                        <w:top w:val="none" w:sz="0" w:space="0" w:color="auto"/>
                                        <w:left w:val="none" w:sz="0" w:space="0" w:color="auto"/>
                                        <w:bottom w:val="none" w:sz="0" w:space="0" w:color="auto"/>
                                        <w:right w:val="none" w:sz="0" w:space="0" w:color="auto"/>
                                      </w:divBdr>
                                      <w:divsChild>
                                        <w:div w:id="473837608">
                                          <w:marLeft w:val="0"/>
                                          <w:marRight w:val="0"/>
                                          <w:marTop w:val="0"/>
                                          <w:marBottom w:val="0"/>
                                          <w:divBdr>
                                            <w:top w:val="none" w:sz="0" w:space="0" w:color="auto"/>
                                            <w:left w:val="none" w:sz="0" w:space="0" w:color="auto"/>
                                            <w:bottom w:val="none" w:sz="0" w:space="0" w:color="auto"/>
                                            <w:right w:val="none" w:sz="0" w:space="0" w:color="auto"/>
                                          </w:divBdr>
                                          <w:divsChild>
                                            <w:div w:id="758523754">
                                              <w:marLeft w:val="0"/>
                                              <w:marRight w:val="0"/>
                                              <w:marTop w:val="0"/>
                                              <w:marBottom w:val="0"/>
                                              <w:divBdr>
                                                <w:top w:val="none" w:sz="0" w:space="0" w:color="auto"/>
                                                <w:left w:val="none" w:sz="0" w:space="0" w:color="auto"/>
                                                <w:bottom w:val="none" w:sz="0" w:space="0" w:color="auto"/>
                                                <w:right w:val="none" w:sz="0" w:space="0" w:color="auto"/>
                                              </w:divBdr>
                                              <w:divsChild>
                                                <w:div w:id="1859348485">
                                                  <w:marLeft w:val="0"/>
                                                  <w:marRight w:val="0"/>
                                                  <w:marTop w:val="0"/>
                                                  <w:marBottom w:val="0"/>
                                                  <w:divBdr>
                                                    <w:top w:val="none" w:sz="0" w:space="0" w:color="auto"/>
                                                    <w:left w:val="none" w:sz="0" w:space="0" w:color="auto"/>
                                                    <w:bottom w:val="none" w:sz="0" w:space="0" w:color="auto"/>
                                                    <w:right w:val="none" w:sz="0" w:space="0" w:color="auto"/>
                                                  </w:divBdr>
                                                  <w:divsChild>
                                                    <w:div w:id="1447891271">
                                                      <w:marLeft w:val="0"/>
                                                      <w:marRight w:val="0"/>
                                                      <w:marTop w:val="0"/>
                                                      <w:marBottom w:val="0"/>
                                                      <w:divBdr>
                                                        <w:top w:val="none" w:sz="0" w:space="0" w:color="auto"/>
                                                        <w:left w:val="none" w:sz="0" w:space="0" w:color="auto"/>
                                                        <w:bottom w:val="none" w:sz="0" w:space="0" w:color="auto"/>
                                                        <w:right w:val="none" w:sz="0" w:space="0" w:color="auto"/>
                                                      </w:divBdr>
                                                      <w:divsChild>
                                                        <w:div w:id="1541239878">
                                                          <w:marLeft w:val="0"/>
                                                          <w:marRight w:val="0"/>
                                                          <w:marTop w:val="0"/>
                                                          <w:marBottom w:val="345"/>
                                                          <w:divBdr>
                                                            <w:top w:val="none" w:sz="0" w:space="0" w:color="auto"/>
                                                            <w:left w:val="none" w:sz="0" w:space="0" w:color="auto"/>
                                                            <w:bottom w:val="none" w:sz="0" w:space="0" w:color="auto"/>
                                                            <w:right w:val="none" w:sz="0" w:space="0" w:color="auto"/>
                                                          </w:divBdr>
                                                          <w:divsChild>
                                                            <w:div w:id="963193411">
                                                              <w:marLeft w:val="0"/>
                                                              <w:marRight w:val="0"/>
                                                              <w:marTop w:val="0"/>
                                                              <w:marBottom w:val="0"/>
                                                              <w:divBdr>
                                                                <w:top w:val="none" w:sz="0" w:space="0" w:color="auto"/>
                                                                <w:left w:val="none" w:sz="0" w:space="0" w:color="auto"/>
                                                                <w:bottom w:val="none" w:sz="0" w:space="0" w:color="auto"/>
                                                                <w:right w:val="none" w:sz="0" w:space="0" w:color="auto"/>
                                                              </w:divBdr>
                                                              <w:divsChild>
                                                                <w:div w:id="1486513197">
                                                                  <w:marLeft w:val="0"/>
                                                                  <w:marRight w:val="0"/>
                                                                  <w:marTop w:val="0"/>
                                                                  <w:marBottom w:val="0"/>
                                                                  <w:divBdr>
                                                                    <w:top w:val="none" w:sz="0" w:space="0" w:color="auto"/>
                                                                    <w:left w:val="none" w:sz="0" w:space="0" w:color="auto"/>
                                                                    <w:bottom w:val="none" w:sz="0" w:space="0" w:color="auto"/>
                                                                    <w:right w:val="none" w:sz="0" w:space="0" w:color="auto"/>
                                                                  </w:divBdr>
                                                                  <w:divsChild>
                                                                    <w:div w:id="1305039226">
                                                                      <w:marLeft w:val="0"/>
                                                                      <w:marRight w:val="0"/>
                                                                      <w:marTop w:val="0"/>
                                                                      <w:marBottom w:val="0"/>
                                                                      <w:divBdr>
                                                                        <w:top w:val="none" w:sz="0" w:space="0" w:color="auto"/>
                                                                        <w:left w:val="none" w:sz="0" w:space="0" w:color="auto"/>
                                                                        <w:bottom w:val="none" w:sz="0" w:space="0" w:color="auto"/>
                                                                        <w:right w:val="none" w:sz="0" w:space="0" w:color="auto"/>
                                                                      </w:divBdr>
                                                                      <w:divsChild>
                                                                        <w:div w:id="13060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168059">
      <w:bodyDiv w:val="1"/>
      <w:marLeft w:val="0"/>
      <w:marRight w:val="0"/>
      <w:marTop w:val="0"/>
      <w:marBottom w:val="0"/>
      <w:divBdr>
        <w:top w:val="none" w:sz="0" w:space="0" w:color="auto"/>
        <w:left w:val="none" w:sz="0" w:space="0" w:color="auto"/>
        <w:bottom w:val="none" w:sz="0" w:space="0" w:color="auto"/>
        <w:right w:val="none" w:sz="0" w:space="0" w:color="auto"/>
      </w:divBdr>
    </w:div>
    <w:div w:id="1267075252">
      <w:bodyDiv w:val="1"/>
      <w:marLeft w:val="0"/>
      <w:marRight w:val="0"/>
      <w:marTop w:val="0"/>
      <w:marBottom w:val="0"/>
      <w:divBdr>
        <w:top w:val="none" w:sz="0" w:space="0" w:color="auto"/>
        <w:left w:val="none" w:sz="0" w:space="0" w:color="auto"/>
        <w:bottom w:val="none" w:sz="0" w:space="0" w:color="auto"/>
        <w:right w:val="none" w:sz="0" w:space="0" w:color="auto"/>
      </w:divBdr>
    </w:div>
    <w:div w:id="1267540335">
      <w:bodyDiv w:val="1"/>
      <w:marLeft w:val="0"/>
      <w:marRight w:val="0"/>
      <w:marTop w:val="0"/>
      <w:marBottom w:val="0"/>
      <w:divBdr>
        <w:top w:val="none" w:sz="0" w:space="0" w:color="auto"/>
        <w:left w:val="none" w:sz="0" w:space="0" w:color="auto"/>
        <w:bottom w:val="none" w:sz="0" w:space="0" w:color="auto"/>
        <w:right w:val="none" w:sz="0" w:space="0" w:color="auto"/>
      </w:divBdr>
    </w:div>
    <w:div w:id="1279722426">
      <w:bodyDiv w:val="1"/>
      <w:marLeft w:val="0"/>
      <w:marRight w:val="0"/>
      <w:marTop w:val="0"/>
      <w:marBottom w:val="0"/>
      <w:divBdr>
        <w:top w:val="none" w:sz="0" w:space="0" w:color="auto"/>
        <w:left w:val="none" w:sz="0" w:space="0" w:color="auto"/>
        <w:bottom w:val="none" w:sz="0" w:space="0" w:color="auto"/>
        <w:right w:val="none" w:sz="0" w:space="0" w:color="auto"/>
      </w:divBdr>
    </w:div>
    <w:div w:id="1294601667">
      <w:bodyDiv w:val="1"/>
      <w:marLeft w:val="0"/>
      <w:marRight w:val="0"/>
      <w:marTop w:val="0"/>
      <w:marBottom w:val="0"/>
      <w:divBdr>
        <w:top w:val="none" w:sz="0" w:space="0" w:color="auto"/>
        <w:left w:val="none" w:sz="0" w:space="0" w:color="auto"/>
        <w:bottom w:val="none" w:sz="0" w:space="0" w:color="auto"/>
        <w:right w:val="none" w:sz="0" w:space="0" w:color="auto"/>
      </w:divBdr>
    </w:div>
    <w:div w:id="1303264995">
      <w:bodyDiv w:val="1"/>
      <w:marLeft w:val="0"/>
      <w:marRight w:val="0"/>
      <w:marTop w:val="0"/>
      <w:marBottom w:val="0"/>
      <w:divBdr>
        <w:top w:val="none" w:sz="0" w:space="0" w:color="auto"/>
        <w:left w:val="none" w:sz="0" w:space="0" w:color="auto"/>
        <w:bottom w:val="none" w:sz="0" w:space="0" w:color="auto"/>
        <w:right w:val="none" w:sz="0" w:space="0" w:color="auto"/>
      </w:divBdr>
    </w:div>
    <w:div w:id="1304188882">
      <w:bodyDiv w:val="1"/>
      <w:marLeft w:val="0"/>
      <w:marRight w:val="0"/>
      <w:marTop w:val="0"/>
      <w:marBottom w:val="0"/>
      <w:divBdr>
        <w:top w:val="none" w:sz="0" w:space="0" w:color="auto"/>
        <w:left w:val="none" w:sz="0" w:space="0" w:color="auto"/>
        <w:bottom w:val="none" w:sz="0" w:space="0" w:color="auto"/>
        <w:right w:val="none" w:sz="0" w:space="0" w:color="auto"/>
      </w:divBdr>
    </w:div>
    <w:div w:id="1310865313">
      <w:bodyDiv w:val="1"/>
      <w:marLeft w:val="0"/>
      <w:marRight w:val="0"/>
      <w:marTop w:val="0"/>
      <w:marBottom w:val="0"/>
      <w:divBdr>
        <w:top w:val="none" w:sz="0" w:space="0" w:color="auto"/>
        <w:left w:val="none" w:sz="0" w:space="0" w:color="auto"/>
        <w:bottom w:val="none" w:sz="0" w:space="0" w:color="auto"/>
        <w:right w:val="none" w:sz="0" w:space="0" w:color="auto"/>
      </w:divBdr>
    </w:div>
    <w:div w:id="1325430310">
      <w:bodyDiv w:val="1"/>
      <w:marLeft w:val="0"/>
      <w:marRight w:val="0"/>
      <w:marTop w:val="0"/>
      <w:marBottom w:val="0"/>
      <w:divBdr>
        <w:top w:val="none" w:sz="0" w:space="0" w:color="auto"/>
        <w:left w:val="none" w:sz="0" w:space="0" w:color="auto"/>
        <w:bottom w:val="none" w:sz="0" w:space="0" w:color="auto"/>
        <w:right w:val="none" w:sz="0" w:space="0" w:color="auto"/>
      </w:divBdr>
    </w:div>
    <w:div w:id="1327320699">
      <w:bodyDiv w:val="1"/>
      <w:marLeft w:val="0"/>
      <w:marRight w:val="0"/>
      <w:marTop w:val="0"/>
      <w:marBottom w:val="0"/>
      <w:divBdr>
        <w:top w:val="none" w:sz="0" w:space="0" w:color="auto"/>
        <w:left w:val="none" w:sz="0" w:space="0" w:color="auto"/>
        <w:bottom w:val="none" w:sz="0" w:space="0" w:color="auto"/>
        <w:right w:val="none" w:sz="0" w:space="0" w:color="auto"/>
      </w:divBdr>
    </w:div>
    <w:div w:id="1364598729">
      <w:bodyDiv w:val="1"/>
      <w:marLeft w:val="0"/>
      <w:marRight w:val="0"/>
      <w:marTop w:val="0"/>
      <w:marBottom w:val="0"/>
      <w:divBdr>
        <w:top w:val="none" w:sz="0" w:space="0" w:color="auto"/>
        <w:left w:val="none" w:sz="0" w:space="0" w:color="auto"/>
        <w:bottom w:val="none" w:sz="0" w:space="0" w:color="auto"/>
        <w:right w:val="none" w:sz="0" w:space="0" w:color="auto"/>
      </w:divBdr>
    </w:div>
    <w:div w:id="1365708849">
      <w:bodyDiv w:val="1"/>
      <w:marLeft w:val="0"/>
      <w:marRight w:val="0"/>
      <w:marTop w:val="0"/>
      <w:marBottom w:val="0"/>
      <w:divBdr>
        <w:top w:val="none" w:sz="0" w:space="0" w:color="auto"/>
        <w:left w:val="none" w:sz="0" w:space="0" w:color="auto"/>
        <w:bottom w:val="none" w:sz="0" w:space="0" w:color="auto"/>
        <w:right w:val="none" w:sz="0" w:space="0" w:color="auto"/>
      </w:divBdr>
    </w:div>
    <w:div w:id="1377124716">
      <w:bodyDiv w:val="1"/>
      <w:marLeft w:val="0"/>
      <w:marRight w:val="0"/>
      <w:marTop w:val="0"/>
      <w:marBottom w:val="0"/>
      <w:divBdr>
        <w:top w:val="none" w:sz="0" w:space="0" w:color="auto"/>
        <w:left w:val="none" w:sz="0" w:space="0" w:color="auto"/>
        <w:bottom w:val="none" w:sz="0" w:space="0" w:color="auto"/>
        <w:right w:val="none" w:sz="0" w:space="0" w:color="auto"/>
      </w:divBdr>
    </w:div>
    <w:div w:id="1380858413">
      <w:bodyDiv w:val="1"/>
      <w:marLeft w:val="0"/>
      <w:marRight w:val="0"/>
      <w:marTop w:val="0"/>
      <w:marBottom w:val="0"/>
      <w:divBdr>
        <w:top w:val="none" w:sz="0" w:space="0" w:color="auto"/>
        <w:left w:val="none" w:sz="0" w:space="0" w:color="auto"/>
        <w:bottom w:val="none" w:sz="0" w:space="0" w:color="auto"/>
        <w:right w:val="none" w:sz="0" w:space="0" w:color="auto"/>
      </w:divBdr>
    </w:div>
    <w:div w:id="1392383969">
      <w:bodyDiv w:val="1"/>
      <w:marLeft w:val="0"/>
      <w:marRight w:val="0"/>
      <w:marTop w:val="0"/>
      <w:marBottom w:val="0"/>
      <w:divBdr>
        <w:top w:val="none" w:sz="0" w:space="0" w:color="auto"/>
        <w:left w:val="none" w:sz="0" w:space="0" w:color="auto"/>
        <w:bottom w:val="none" w:sz="0" w:space="0" w:color="auto"/>
        <w:right w:val="none" w:sz="0" w:space="0" w:color="auto"/>
      </w:divBdr>
    </w:div>
    <w:div w:id="1447965500">
      <w:bodyDiv w:val="1"/>
      <w:marLeft w:val="0"/>
      <w:marRight w:val="0"/>
      <w:marTop w:val="0"/>
      <w:marBottom w:val="0"/>
      <w:divBdr>
        <w:top w:val="none" w:sz="0" w:space="0" w:color="auto"/>
        <w:left w:val="none" w:sz="0" w:space="0" w:color="auto"/>
        <w:bottom w:val="none" w:sz="0" w:space="0" w:color="auto"/>
        <w:right w:val="none" w:sz="0" w:space="0" w:color="auto"/>
      </w:divBdr>
    </w:div>
    <w:div w:id="1535651208">
      <w:bodyDiv w:val="1"/>
      <w:marLeft w:val="0"/>
      <w:marRight w:val="0"/>
      <w:marTop w:val="0"/>
      <w:marBottom w:val="0"/>
      <w:divBdr>
        <w:top w:val="none" w:sz="0" w:space="0" w:color="auto"/>
        <w:left w:val="none" w:sz="0" w:space="0" w:color="auto"/>
        <w:bottom w:val="none" w:sz="0" w:space="0" w:color="auto"/>
        <w:right w:val="none" w:sz="0" w:space="0" w:color="auto"/>
      </w:divBdr>
    </w:div>
    <w:div w:id="1548492450">
      <w:bodyDiv w:val="1"/>
      <w:marLeft w:val="0"/>
      <w:marRight w:val="0"/>
      <w:marTop w:val="0"/>
      <w:marBottom w:val="0"/>
      <w:divBdr>
        <w:top w:val="none" w:sz="0" w:space="0" w:color="auto"/>
        <w:left w:val="none" w:sz="0" w:space="0" w:color="auto"/>
        <w:bottom w:val="none" w:sz="0" w:space="0" w:color="auto"/>
        <w:right w:val="none" w:sz="0" w:space="0" w:color="auto"/>
      </w:divBdr>
    </w:div>
    <w:div w:id="1561861881">
      <w:bodyDiv w:val="1"/>
      <w:marLeft w:val="0"/>
      <w:marRight w:val="0"/>
      <w:marTop w:val="0"/>
      <w:marBottom w:val="0"/>
      <w:divBdr>
        <w:top w:val="none" w:sz="0" w:space="0" w:color="auto"/>
        <w:left w:val="none" w:sz="0" w:space="0" w:color="auto"/>
        <w:bottom w:val="none" w:sz="0" w:space="0" w:color="auto"/>
        <w:right w:val="none" w:sz="0" w:space="0" w:color="auto"/>
      </w:divBdr>
    </w:div>
    <w:div w:id="1562014606">
      <w:bodyDiv w:val="1"/>
      <w:marLeft w:val="0"/>
      <w:marRight w:val="0"/>
      <w:marTop w:val="0"/>
      <w:marBottom w:val="0"/>
      <w:divBdr>
        <w:top w:val="none" w:sz="0" w:space="0" w:color="auto"/>
        <w:left w:val="none" w:sz="0" w:space="0" w:color="auto"/>
        <w:bottom w:val="none" w:sz="0" w:space="0" w:color="auto"/>
        <w:right w:val="none" w:sz="0" w:space="0" w:color="auto"/>
      </w:divBdr>
    </w:div>
    <w:div w:id="1590848846">
      <w:bodyDiv w:val="1"/>
      <w:marLeft w:val="0"/>
      <w:marRight w:val="0"/>
      <w:marTop w:val="0"/>
      <w:marBottom w:val="0"/>
      <w:divBdr>
        <w:top w:val="none" w:sz="0" w:space="0" w:color="auto"/>
        <w:left w:val="none" w:sz="0" w:space="0" w:color="auto"/>
        <w:bottom w:val="none" w:sz="0" w:space="0" w:color="auto"/>
        <w:right w:val="none" w:sz="0" w:space="0" w:color="auto"/>
      </w:divBdr>
    </w:div>
    <w:div w:id="1595168882">
      <w:bodyDiv w:val="1"/>
      <w:marLeft w:val="0"/>
      <w:marRight w:val="0"/>
      <w:marTop w:val="0"/>
      <w:marBottom w:val="0"/>
      <w:divBdr>
        <w:top w:val="none" w:sz="0" w:space="0" w:color="auto"/>
        <w:left w:val="none" w:sz="0" w:space="0" w:color="auto"/>
        <w:bottom w:val="none" w:sz="0" w:space="0" w:color="auto"/>
        <w:right w:val="none" w:sz="0" w:space="0" w:color="auto"/>
      </w:divBdr>
    </w:div>
    <w:div w:id="1722751061">
      <w:bodyDiv w:val="1"/>
      <w:marLeft w:val="0"/>
      <w:marRight w:val="0"/>
      <w:marTop w:val="0"/>
      <w:marBottom w:val="0"/>
      <w:divBdr>
        <w:top w:val="none" w:sz="0" w:space="0" w:color="auto"/>
        <w:left w:val="none" w:sz="0" w:space="0" w:color="auto"/>
        <w:bottom w:val="none" w:sz="0" w:space="0" w:color="auto"/>
        <w:right w:val="none" w:sz="0" w:space="0" w:color="auto"/>
      </w:divBdr>
    </w:div>
    <w:div w:id="1723090212">
      <w:bodyDiv w:val="1"/>
      <w:marLeft w:val="0"/>
      <w:marRight w:val="0"/>
      <w:marTop w:val="0"/>
      <w:marBottom w:val="0"/>
      <w:divBdr>
        <w:top w:val="none" w:sz="0" w:space="0" w:color="auto"/>
        <w:left w:val="none" w:sz="0" w:space="0" w:color="auto"/>
        <w:bottom w:val="none" w:sz="0" w:space="0" w:color="auto"/>
        <w:right w:val="none" w:sz="0" w:space="0" w:color="auto"/>
      </w:divBdr>
    </w:div>
    <w:div w:id="1737360857">
      <w:bodyDiv w:val="1"/>
      <w:marLeft w:val="0"/>
      <w:marRight w:val="0"/>
      <w:marTop w:val="0"/>
      <w:marBottom w:val="0"/>
      <w:divBdr>
        <w:top w:val="none" w:sz="0" w:space="0" w:color="auto"/>
        <w:left w:val="none" w:sz="0" w:space="0" w:color="auto"/>
        <w:bottom w:val="none" w:sz="0" w:space="0" w:color="auto"/>
        <w:right w:val="none" w:sz="0" w:space="0" w:color="auto"/>
      </w:divBdr>
    </w:div>
    <w:div w:id="1744789975">
      <w:bodyDiv w:val="1"/>
      <w:marLeft w:val="0"/>
      <w:marRight w:val="0"/>
      <w:marTop w:val="0"/>
      <w:marBottom w:val="0"/>
      <w:divBdr>
        <w:top w:val="none" w:sz="0" w:space="0" w:color="auto"/>
        <w:left w:val="none" w:sz="0" w:space="0" w:color="auto"/>
        <w:bottom w:val="none" w:sz="0" w:space="0" w:color="auto"/>
        <w:right w:val="none" w:sz="0" w:space="0" w:color="auto"/>
      </w:divBdr>
    </w:div>
    <w:div w:id="1751585633">
      <w:bodyDiv w:val="1"/>
      <w:marLeft w:val="0"/>
      <w:marRight w:val="0"/>
      <w:marTop w:val="0"/>
      <w:marBottom w:val="0"/>
      <w:divBdr>
        <w:top w:val="none" w:sz="0" w:space="0" w:color="auto"/>
        <w:left w:val="none" w:sz="0" w:space="0" w:color="auto"/>
        <w:bottom w:val="none" w:sz="0" w:space="0" w:color="auto"/>
        <w:right w:val="none" w:sz="0" w:space="0" w:color="auto"/>
      </w:divBdr>
    </w:div>
    <w:div w:id="1755588293">
      <w:bodyDiv w:val="1"/>
      <w:marLeft w:val="0"/>
      <w:marRight w:val="0"/>
      <w:marTop w:val="0"/>
      <w:marBottom w:val="0"/>
      <w:divBdr>
        <w:top w:val="none" w:sz="0" w:space="0" w:color="auto"/>
        <w:left w:val="none" w:sz="0" w:space="0" w:color="auto"/>
        <w:bottom w:val="none" w:sz="0" w:space="0" w:color="auto"/>
        <w:right w:val="none" w:sz="0" w:space="0" w:color="auto"/>
      </w:divBdr>
    </w:div>
    <w:div w:id="1779370997">
      <w:bodyDiv w:val="1"/>
      <w:marLeft w:val="0"/>
      <w:marRight w:val="0"/>
      <w:marTop w:val="0"/>
      <w:marBottom w:val="0"/>
      <w:divBdr>
        <w:top w:val="none" w:sz="0" w:space="0" w:color="auto"/>
        <w:left w:val="none" w:sz="0" w:space="0" w:color="auto"/>
        <w:bottom w:val="none" w:sz="0" w:space="0" w:color="auto"/>
        <w:right w:val="none" w:sz="0" w:space="0" w:color="auto"/>
      </w:divBdr>
    </w:div>
    <w:div w:id="1791120548">
      <w:bodyDiv w:val="1"/>
      <w:marLeft w:val="0"/>
      <w:marRight w:val="0"/>
      <w:marTop w:val="0"/>
      <w:marBottom w:val="0"/>
      <w:divBdr>
        <w:top w:val="none" w:sz="0" w:space="0" w:color="auto"/>
        <w:left w:val="none" w:sz="0" w:space="0" w:color="auto"/>
        <w:bottom w:val="none" w:sz="0" w:space="0" w:color="auto"/>
        <w:right w:val="none" w:sz="0" w:space="0" w:color="auto"/>
      </w:divBdr>
    </w:div>
    <w:div w:id="1803768857">
      <w:bodyDiv w:val="1"/>
      <w:marLeft w:val="0"/>
      <w:marRight w:val="0"/>
      <w:marTop w:val="0"/>
      <w:marBottom w:val="0"/>
      <w:divBdr>
        <w:top w:val="none" w:sz="0" w:space="0" w:color="auto"/>
        <w:left w:val="none" w:sz="0" w:space="0" w:color="auto"/>
        <w:bottom w:val="none" w:sz="0" w:space="0" w:color="auto"/>
        <w:right w:val="none" w:sz="0" w:space="0" w:color="auto"/>
      </w:divBdr>
    </w:div>
    <w:div w:id="1841266483">
      <w:bodyDiv w:val="1"/>
      <w:marLeft w:val="0"/>
      <w:marRight w:val="0"/>
      <w:marTop w:val="0"/>
      <w:marBottom w:val="0"/>
      <w:divBdr>
        <w:top w:val="none" w:sz="0" w:space="0" w:color="auto"/>
        <w:left w:val="none" w:sz="0" w:space="0" w:color="auto"/>
        <w:bottom w:val="none" w:sz="0" w:space="0" w:color="auto"/>
        <w:right w:val="none" w:sz="0" w:space="0" w:color="auto"/>
      </w:divBdr>
    </w:div>
    <w:div w:id="1893343602">
      <w:bodyDiv w:val="1"/>
      <w:marLeft w:val="0"/>
      <w:marRight w:val="0"/>
      <w:marTop w:val="0"/>
      <w:marBottom w:val="0"/>
      <w:divBdr>
        <w:top w:val="none" w:sz="0" w:space="0" w:color="auto"/>
        <w:left w:val="none" w:sz="0" w:space="0" w:color="auto"/>
        <w:bottom w:val="none" w:sz="0" w:space="0" w:color="auto"/>
        <w:right w:val="none" w:sz="0" w:space="0" w:color="auto"/>
      </w:divBdr>
    </w:div>
    <w:div w:id="1917589782">
      <w:bodyDiv w:val="1"/>
      <w:marLeft w:val="0"/>
      <w:marRight w:val="0"/>
      <w:marTop w:val="0"/>
      <w:marBottom w:val="0"/>
      <w:divBdr>
        <w:top w:val="none" w:sz="0" w:space="0" w:color="auto"/>
        <w:left w:val="none" w:sz="0" w:space="0" w:color="auto"/>
        <w:bottom w:val="none" w:sz="0" w:space="0" w:color="auto"/>
        <w:right w:val="none" w:sz="0" w:space="0" w:color="auto"/>
      </w:divBdr>
    </w:div>
    <w:div w:id="1960338836">
      <w:bodyDiv w:val="1"/>
      <w:marLeft w:val="0"/>
      <w:marRight w:val="0"/>
      <w:marTop w:val="0"/>
      <w:marBottom w:val="0"/>
      <w:divBdr>
        <w:top w:val="none" w:sz="0" w:space="0" w:color="auto"/>
        <w:left w:val="none" w:sz="0" w:space="0" w:color="auto"/>
        <w:bottom w:val="none" w:sz="0" w:space="0" w:color="auto"/>
        <w:right w:val="none" w:sz="0" w:space="0" w:color="auto"/>
      </w:divBdr>
    </w:div>
    <w:div w:id="1968777193">
      <w:bodyDiv w:val="1"/>
      <w:marLeft w:val="0"/>
      <w:marRight w:val="0"/>
      <w:marTop w:val="0"/>
      <w:marBottom w:val="0"/>
      <w:divBdr>
        <w:top w:val="none" w:sz="0" w:space="0" w:color="auto"/>
        <w:left w:val="none" w:sz="0" w:space="0" w:color="auto"/>
        <w:bottom w:val="none" w:sz="0" w:space="0" w:color="auto"/>
        <w:right w:val="none" w:sz="0" w:space="0" w:color="auto"/>
      </w:divBdr>
    </w:div>
    <w:div w:id="2001763710">
      <w:bodyDiv w:val="1"/>
      <w:marLeft w:val="0"/>
      <w:marRight w:val="0"/>
      <w:marTop w:val="0"/>
      <w:marBottom w:val="0"/>
      <w:divBdr>
        <w:top w:val="none" w:sz="0" w:space="0" w:color="auto"/>
        <w:left w:val="none" w:sz="0" w:space="0" w:color="auto"/>
        <w:bottom w:val="none" w:sz="0" w:space="0" w:color="auto"/>
        <w:right w:val="none" w:sz="0" w:space="0" w:color="auto"/>
      </w:divBdr>
    </w:div>
    <w:div w:id="2023585105">
      <w:bodyDiv w:val="1"/>
      <w:marLeft w:val="0"/>
      <w:marRight w:val="0"/>
      <w:marTop w:val="0"/>
      <w:marBottom w:val="0"/>
      <w:divBdr>
        <w:top w:val="none" w:sz="0" w:space="0" w:color="auto"/>
        <w:left w:val="none" w:sz="0" w:space="0" w:color="auto"/>
        <w:bottom w:val="none" w:sz="0" w:space="0" w:color="auto"/>
        <w:right w:val="none" w:sz="0" w:space="0" w:color="auto"/>
      </w:divBdr>
    </w:div>
    <w:div w:id="2043821282">
      <w:bodyDiv w:val="1"/>
      <w:marLeft w:val="0"/>
      <w:marRight w:val="0"/>
      <w:marTop w:val="0"/>
      <w:marBottom w:val="0"/>
      <w:divBdr>
        <w:top w:val="none" w:sz="0" w:space="0" w:color="auto"/>
        <w:left w:val="none" w:sz="0" w:space="0" w:color="auto"/>
        <w:bottom w:val="none" w:sz="0" w:space="0" w:color="auto"/>
        <w:right w:val="none" w:sz="0" w:space="0" w:color="auto"/>
      </w:divBdr>
    </w:div>
    <w:div w:id="2070491326">
      <w:bodyDiv w:val="1"/>
      <w:marLeft w:val="0"/>
      <w:marRight w:val="0"/>
      <w:marTop w:val="0"/>
      <w:marBottom w:val="0"/>
      <w:divBdr>
        <w:top w:val="none" w:sz="0" w:space="0" w:color="auto"/>
        <w:left w:val="none" w:sz="0" w:space="0" w:color="auto"/>
        <w:bottom w:val="none" w:sz="0" w:space="0" w:color="auto"/>
        <w:right w:val="none" w:sz="0" w:space="0" w:color="auto"/>
      </w:divBdr>
    </w:div>
    <w:div w:id="2078896012">
      <w:bodyDiv w:val="1"/>
      <w:marLeft w:val="0"/>
      <w:marRight w:val="0"/>
      <w:marTop w:val="0"/>
      <w:marBottom w:val="0"/>
      <w:divBdr>
        <w:top w:val="none" w:sz="0" w:space="0" w:color="auto"/>
        <w:left w:val="none" w:sz="0" w:space="0" w:color="auto"/>
        <w:bottom w:val="none" w:sz="0" w:space="0" w:color="auto"/>
        <w:right w:val="none" w:sz="0" w:space="0" w:color="auto"/>
      </w:divBdr>
    </w:div>
    <w:div w:id="2096700826">
      <w:bodyDiv w:val="1"/>
      <w:marLeft w:val="0"/>
      <w:marRight w:val="0"/>
      <w:marTop w:val="0"/>
      <w:marBottom w:val="0"/>
      <w:divBdr>
        <w:top w:val="none" w:sz="0" w:space="0" w:color="auto"/>
        <w:left w:val="none" w:sz="0" w:space="0" w:color="auto"/>
        <w:bottom w:val="none" w:sz="0" w:space="0" w:color="auto"/>
        <w:right w:val="none" w:sz="0" w:space="0" w:color="auto"/>
      </w:divBdr>
      <w:divsChild>
        <w:div w:id="1408112208">
          <w:marLeft w:val="0"/>
          <w:marRight w:val="0"/>
          <w:marTop w:val="0"/>
          <w:marBottom w:val="0"/>
          <w:divBdr>
            <w:top w:val="none" w:sz="0" w:space="0" w:color="auto"/>
            <w:left w:val="none" w:sz="0" w:space="0" w:color="auto"/>
            <w:bottom w:val="none" w:sz="0" w:space="0" w:color="auto"/>
            <w:right w:val="none" w:sz="0" w:space="0" w:color="auto"/>
          </w:divBdr>
          <w:divsChild>
            <w:div w:id="12641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95.emf"/><Relationship Id="rId21" Type="http://schemas.openxmlformats.org/officeDocument/2006/relationships/image" Target="media/image15.jpeg"/><Relationship Id="rId42" Type="http://schemas.openxmlformats.org/officeDocument/2006/relationships/footer" Target="footer3.xml"/><Relationship Id="rId47" Type="http://schemas.openxmlformats.org/officeDocument/2006/relationships/image" Target="media/image29.tiff"/><Relationship Id="rId63" Type="http://schemas.openxmlformats.org/officeDocument/2006/relationships/image" Target="media/image43.emf"/><Relationship Id="rId68" Type="http://schemas.openxmlformats.org/officeDocument/2006/relationships/image" Target="media/image48.png"/><Relationship Id="rId84" Type="http://schemas.openxmlformats.org/officeDocument/2006/relationships/image" Target="media/image62.emf"/><Relationship Id="rId89" Type="http://schemas.openxmlformats.org/officeDocument/2006/relationships/image" Target="media/image67.png"/><Relationship Id="rId112" Type="http://schemas.openxmlformats.org/officeDocument/2006/relationships/image" Target="media/image90.emf"/><Relationship Id="rId133" Type="http://schemas.openxmlformats.org/officeDocument/2006/relationships/image" Target="media/image111.emf"/><Relationship Id="rId16" Type="http://schemas.openxmlformats.org/officeDocument/2006/relationships/image" Target="media/image10.jpeg"/><Relationship Id="rId107" Type="http://schemas.openxmlformats.org/officeDocument/2006/relationships/image" Target="media/image85.tiff"/><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header" Target="header1.xml"/><Relationship Id="rId53" Type="http://schemas.openxmlformats.org/officeDocument/2006/relationships/image" Target="media/image34.emf"/><Relationship Id="rId58" Type="http://schemas.openxmlformats.org/officeDocument/2006/relationships/image" Target="media/image38.emf"/><Relationship Id="rId74" Type="http://schemas.openxmlformats.org/officeDocument/2006/relationships/image" Target="media/image52.jpeg"/><Relationship Id="rId79" Type="http://schemas.openxmlformats.org/officeDocument/2006/relationships/image" Target="media/image57.jpeg"/><Relationship Id="rId102" Type="http://schemas.openxmlformats.org/officeDocument/2006/relationships/image" Target="media/image80.png"/><Relationship Id="rId123" Type="http://schemas.openxmlformats.org/officeDocument/2006/relationships/image" Target="media/image101.emf"/><Relationship Id="rId128" Type="http://schemas.openxmlformats.org/officeDocument/2006/relationships/image" Target="media/image106.emf"/><Relationship Id="rId5" Type="http://schemas.openxmlformats.org/officeDocument/2006/relationships/footnotes" Target="footnotes.xml"/><Relationship Id="rId90" Type="http://schemas.openxmlformats.org/officeDocument/2006/relationships/image" Target="media/image68.png"/><Relationship Id="rId95" Type="http://schemas.openxmlformats.org/officeDocument/2006/relationships/image" Target="media/image7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png"/><Relationship Id="rId43" Type="http://schemas.openxmlformats.org/officeDocument/2006/relationships/footer" Target="footer4.xml"/><Relationship Id="rId48" Type="http://schemas.openxmlformats.org/officeDocument/2006/relationships/image" Target="media/image30.emf"/><Relationship Id="rId56" Type="http://schemas.openxmlformats.org/officeDocument/2006/relationships/hyperlink" Target="https://www.environment.gov.au/water/cewo/publications/cewo-ltim-lower-murray-2016" TargetMode="External"/><Relationship Id="rId64" Type="http://schemas.openxmlformats.org/officeDocument/2006/relationships/image" Target="media/image44.jpeg"/><Relationship Id="rId69" Type="http://schemas.openxmlformats.org/officeDocument/2006/relationships/image" Target="media/image49.emf"/><Relationship Id="rId77" Type="http://schemas.openxmlformats.org/officeDocument/2006/relationships/image" Target="media/image55.jpeg"/><Relationship Id="rId100" Type="http://schemas.openxmlformats.org/officeDocument/2006/relationships/image" Target="media/image78.png"/><Relationship Id="rId105" Type="http://schemas.openxmlformats.org/officeDocument/2006/relationships/image" Target="media/image83.jpeg"/><Relationship Id="rId113" Type="http://schemas.openxmlformats.org/officeDocument/2006/relationships/image" Target="media/image91.emf"/><Relationship Id="rId118" Type="http://schemas.openxmlformats.org/officeDocument/2006/relationships/image" Target="media/image96.tiff"/><Relationship Id="rId126" Type="http://schemas.openxmlformats.org/officeDocument/2006/relationships/image" Target="media/image104.emf"/><Relationship Id="rId13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2.emf"/><Relationship Id="rId72" Type="http://schemas.openxmlformats.org/officeDocument/2006/relationships/footer" Target="footer8.xml"/><Relationship Id="rId80" Type="http://schemas.openxmlformats.org/officeDocument/2006/relationships/image" Target="media/image58.jpe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e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2.xml"/><Relationship Id="rId46" Type="http://schemas.openxmlformats.org/officeDocument/2006/relationships/footer" Target="footer7.xml"/><Relationship Id="rId59" Type="http://schemas.openxmlformats.org/officeDocument/2006/relationships/image" Target="media/image39.emf"/><Relationship Id="rId67" Type="http://schemas.openxmlformats.org/officeDocument/2006/relationships/image" Target="media/image47.png"/><Relationship Id="rId103" Type="http://schemas.openxmlformats.org/officeDocument/2006/relationships/image" Target="media/image81.png"/><Relationship Id="rId108" Type="http://schemas.openxmlformats.org/officeDocument/2006/relationships/image" Target="media/image86.tiff"/><Relationship Id="rId116" Type="http://schemas.openxmlformats.org/officeDocument/2006/relationships/image" Target="media/image94.emf"/><Relationship Id="rId124" Type="http://schemas.openxmlformats.org/officeDocument/2006/relationships/image" Target="media/image102.emf"/><Relationship Id="rId129" Type="http://schemas.openxmlformats.org/officeDocument/2006/relationships/image" Target="media/image107.emf"/><Relationship Id="rId20" Type="http://schemas.openxmlformats.org/officeDocument/2006/relationships/image" Target="media/image14.jpeg"/><Relationship Id="rId41" Type="http://schemas.openxmlformats.org/officeDocument/2006/relationships/header" Target="header3.xml"/><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hyperlink" Target="http://www.environment.sa.gov.au" TargetMode="External"/><Relationship Id="rId75" Type="http://schemas.openxmlformats.org/officeDocument/2006/relationships/image" Target="media/image53.jpeg"/><Relationship Id="rId83" Type="http://schemas.openxmlformats.org/officeDocument/2006/relationships/image" Target="media/image61.emf"/><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9.emf"/><Relationship Id="rId132" Type="http://schemas.openxmlformats.org/officeDocument/2006/relationships/image" Target="media/image110.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cid:image001.png@01CF3236.F571C350" TargetMode="External"/><Relationship Id="rId49" Type="http://schemas.openxmlformats.org/officeDocument/2006/relationships/hyperlink" Target="http://www.environment.gov.au/water/cewo" TargetMode="External"/><Relationship Id="rId57" Type="http://schemas.openxmlformats.org/officeDocument/2006/relationships/image" Target="media/image37.emf"/><Relationship Id="rId106" Type="http://schemas.openxmlformats.org/officeDocument/2006/relationships/image" Target="media/image84.tiff"/><Relationship Id="rId114" Type="http://schemas.openxmlformats.org/officeDocument/2006/relationships/image" Target="media/image92.emf"/><Relationship Id="rId119" Type="http://schemas.openxmlformats.org/officeDocument/2006/relationships/image" Target="media/image97.emf"/><Relationship Id="rId127" Type="http://schemas.openxmlformats.org/officeDocument/2006/relationships/image" Target="media/image105.emf"/><Relationship Id="rId10" Type="http://schemas.openxmlformats.org/officeDocument/2006/relationships/image" Target="media/image4.png"/><Relationship Id="rId31" Type="http://schemas.openxmlformats.org/officeDocument/2006/relationships/image" Target="media/image25.emf"/><Relationship Id="rId44" Type="http://schemas.openxmlformats.org/officeDocument/2006/relationships/footer" Target="footer5.xml"/><Relationship Id="rId52" Type="http://schemas.openxmlformats.org/officeDocument/2006/relationships/image" Target="media/image33.emf"/><Relationship Id="rId60" Type="http://schemas.openxmlformats.org/officeDocument/2006/relationships/image" Target="media/image40.png"/><Relationship Id="rId65" Type="http://schemas.openxmlformats.org/officeDocument/2006/relationships/image" Target="media/image45.jpeg"/><Relationship Id="rId73" Type="http://schemas.openxmlformats.org/officeDocument/2006/relationships/image" Target="media/image51.png"/><Relationship Id="rId78" Type="http://schemas.openxmlformats.org/officeDocument/2006/relationships/image" Target="media/image56.jpeg"/><Relationship Id="rId81" Type="http://schemas.openxmlformats.org/officeDocument/2006/relationships/image" Target="media/image59.emf"/><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emf"/><Relationship Id="rId130" Type="http://schemas.openxmlformats.org/officeDocument/2006/relationships/image" Target="media/image108.emf"/><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footer" Target="footer1.xml"/><Relationship Id="rId109" Type="http://schemas.openxmlformats.org/officeDocument/2006/relationships/image" Target="media/image87.emf"/><Relationship Id="rId34" Type="http://schemas.openxmlformats.org/officeDocument/2006/relationships/hyperlink" Target="http://www.waterconnect.sa.gov.au" TargetMode="External"/><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54.jpe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emf"/><Relationship Id="rId125" Type="http://schemas.openxmlformats.org/officeDocument/2006/relationships/image" Target="media/image103.emf"/><Relationship Id="rId7" Type="http://schemas.openxmlformats.org/officeDocument/2006/relationships/image" Target="media/image1.jpeg"/><Relationship Id="rId71" Type="http://schemas.openxmlformats.org/officeDocument/2006/relationships/image" Target="media/image50.emf"/><Relationship Id="rId92" Type="http://schemas.openxmlformats.org/officeDocument/2006/relationships/image" Target="media/image70.pn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footer" Target="footer2.xml"/><Relationship Id="rId45" Type="http://schemas.openxmlformats.org/officeDocument/2006/relationships/footer" Target="footer6.xml"/><Relationship Id="rId66" Type="http://schemas.openxmlformats.org/officeDocument/2006/relationships/image" Target="media/image46.emf"/><Relationship Id="rId87" Type="http://schemas.openxmlformats.org/officeDocument/2006/relationships/image" Target="media/image65.png"/><Relationship Id="rId110" Type="http://schemas.openxmlformats.org/officeDocument/2006/relationships/image" Target="media/image88.emf"/><Relationship Id="rId115" Type="http://schemas.openxmlformats.org/officeDocument/2006/relationships/image" Target="media/image93.emf"/><Relationship Id="rId131" Type="http://schemas.openxmlformats.org/officeDocument/2006/relationships/image" Target="media/image109.emf"/><Relationship Id="rId61" Type="http://schemas.openxmlformats.org/officeDocument/2006/relationships/image" Target="media/image41.png"/><Relationship Id="rId82" Type="http://schemas.openxmlformats.org/officeDocument/2006/relationships/image" Target="media/image60.emf"/><Relationship Id="rId1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75D42950.dotm</Template>
  <TotalTime>0</TotalTime>
  <Pages>204</Pages>
  <Words>45044</Words>
  <Characters>256751</Characters>
  <Application>Microsoft Office Word</Application>
  <DocSecurity>0</DocSecurity>
  <Lines>2139</Lines>
  <Paragraphs>602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Long-Term Intervention Monitoring of the Ecological Responses to Commonwealth Environmental Water Delivered to the Lower Murray River Selected Area in 2015/16</dc:title>
  <dc:subject/>
  <dc:creator>The South Australian Research and Development Institute for the Commonwealth Environmental Water Office</dc:creator>
  <cp:keywords/>
  <dc:description/>
  <cp:lastModifiedBy>Durack, Bec</cp:lastModifiedBy>
  <cp:revision>2</cp:revision>
  <dcterms:created xsi:type="dcterms:W3CDTF">2017-03-31T07:09:00Z</dcterms:created>
  <dcterms:modified xsi:type="dcterms:W3CDTF">2017-03-31T07:09:00Z</dcterms:modified>
</cp:coreProperties>
</file>